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C385511" w14:textId="5C4C51BB" w:rsidR="00E84981" w:rsidRDefault="00E24639" w:rsidP="00362251">
      <w:pPr>
        <w:rPr>
          <w:color w:val="2E74B5"/>
          <w:sz w:val="44"/>
          <w:szCs w:val="44"/>
        </w:rPr>
      </w:pPr>
      <w:bookmarkStart w:id="0" w:name="_heading=h.i09r05sxcjny" w:colFirst="0" w:colLast="0"/>
      <w:bookmarkEnd w:id="0"/>
      <w:r w:rsidRPr="00357D58">
        <w:rPr>
          <w:noProof/>
        </w:rPr>
        <w:drawing>
          <wp:anchor distT="0" distB="0" distL="114300" distR="114300" simplePos="0" relativeHeight="251856896" behindDoc="0" locked="0" layoutInCell="1" allowOverlap="1" wp14:anchorId="76E85F5A" wp14:editId="0FE6F6E7">
            <wp:simplePos x="0" y="0"/>
            <wp:positionH relativeFrom="column">
              <wp:posOffset>-691035</wp:posOffset>
            </wp:positionH>
            <wp:positionV relativeFrom="paragraph">
              <wp:posOffset>-844599</wp:posOffset>
            </wp:positionV>
            <wp:extent cx="950400" cy="1296000"/>
            <wp:effectExtent l="0" t="0" r="2540" b="0"/>
            <wp:wrapNone/>
            <wp:docPr id="329665740" name="Image 3296657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0400" cy="1296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4E85">
        <w:rPr>
          <w:noProof/>
        </w:rPr>
        <w:drawing>
          <wp:anchor distT="0" distB="0" distL="114300" distR="114300" simplePos="0" relativeHeight="251838464" behindDoc="0" locked="0" layoutInCell="1" hidden="0" allowOverlap="1" wp14:anchorId="1734677A" wp14:editId="675D05FD">
            <wp:simplePos x="0" y="0"/>
            <wp:positionH relativeFrom="margin">
              <wp:align>right</wp:align>
            </wp:positionH>
            <wp:positionV relativeFrom="paragraph">
              <wp:posOffset>193</wp:posOffset>
            </wp:positionV>
            <wp:extent cx="2159672" cy="1440000"/>
            <wp:effectExtent l="0" t="0" r="0" b="8255"/>
            <wp:wrapSquare wrapText="bothSides" distT="0" distB="0" distL="114300" distR="114300"/>
            <wp:docPr id="83808877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9"/>
                    <a:srcRect/>
                    <a:stretch>
                      <a:fillRect/>
                    </a:stretch>
                  </pic:blipFill>
                  <pic:spPr>
                    <a:xfrm>
                      <a:off x="0" y="0"/>
                      <a:ext cx="2159672" cy="1440000"/>
                    </a:xfrm>
                    <a:prstGeom prst="rect">
                      <a:avLst/>
                    </a:prstGeom>
                    <a:ln/>
                  </pic:spPr>
                </pic:pic>
              </a:graphicData>
            </a:graphic>
          </wp:anchor>
        </w:drawing>
      </w:r>
    </w:p>
    <w:p w14:paraId="3B8B012C" w14:textId="71F53966" w:rsidR="00876EF8" w:rsidRPr="00A54E85" w:rsidRDefault="00876EF8" w:rsidP="00362251">
      <w:pPr>
        <w:rPr>
          <w:color w:val="2E74B5"/>
          <w:sz w:val="14"/>
          <w:szCs w:val="14"/>
        </w:rPr>
      </w:pPr>
      <w:bookmarkStart w:id="1" w:name="_heading=h.okbxcyd5wsjy" w:colFirst="0" w:colLast="0"/>
      <w:bookmarkEnd w:id="1"/>
    </w:p>
    <w:p w14:paraId="30F39325" w14:textId="2BB52778" w:rsidR="00876EF8" w:rsidRPr="00E84981" w:rsidRDefault="00E84981" w:rsidP="00E84981">
      <w:pPr>
        <w:pStyle w:val="Titre1"/>
      </w:pPr>
      <w:r w:rsidRPr="00E84981">
        <w:t>Item </w:t>
      </w:r>
      <w:bookmarkStart w:id="2" w:name="_heading=h.j7k05ddw17s6" w:colFirst="0" w:colLast="0"/>
      <w:bookmarkEnd w:id="2"/>
      <w:r w:rsidR="00A54E85">
        <w:t>207 – Opacités et masses intra-thoraciques</w:t>
      </w:r>
    </w:p>
    <w:p w14:paraId="58CCE89C" w14:textId="77777777" w:rsidR="00876EF8" w:rsidRDefault="00876EF8" w:rsidP="00362251"/>
    <w:p w14:paraId="1D7886DB" w14:textId="77777777" w:rsidR="00E84981" w:rsidRDefault="00E84981" w:rsidP="00362251">
      <w:pPr>
        <w:rPr>
          <w:sz w:val="10"/>
          <w:szCs w:val="10"/>
        </w:rPr>
      </w:pPr>
    </w:p>
    <w:p w14:paraId="42228953" w14:textId="77777777" w:rsidR="00717C5F" w:rsidRPr="00E84981" w:rsidRDefault="00717C5F" w:rsidP="00362251">
      <w:pPr>
        <w:rPr>
          <w:sz w:val="10"/>
          <w:szCs w:val="10"/>
        </w:rPr>
      </w:pPr>
    </w:p>
    <w:tbl>
      <w:tblPr>
        <w:tblW w:w="9012" w:type="dxa"/>
        <w:tblInd w:w="55"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640"/>
        <w:gridCol w:w="1994"/>
        <w:gridCol w:w="6378"/>
      </w:tblGrid>
      <w:tr w:rsidR="0087650C" w:rsidRPr="00A54E85" w14:paraId="38EB26A0" w14:textId="77777777" w:rsidTr="00717C5F">
        <w:trPr>
          <w:trHeight w:val="201"/>
        </w:trPr>
        <w:tc>
          <w:tcPr>
            <w:tcW w:w="640" w:type="dxa"/>
            <w:shd w:val="clear" w:color="auto" w:fill="D1D1D1" w:themeFill="background2" w:themeFillShade="E6"/>
            <w:vAlign w:val="center"/>
          </w:tcPr>
          <w:p w14:paraId="4E8BCBCE" w14:textId="77777777" w:rsidR="0087650C" w:rsidRPr="00A54E85" w:rsidRDefault="0087650C" w:rsidP="00F44AC4">
            <w:pPr>
              <w:spacing w:line="240"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Rang</w:t>
            </w:r>
          </w:p>
        </w:tc>
        <w:tc>
          <w:tcPr>
            <w:tcW w:w="1994" w:type="dxa"/>
            <w:shd w:val="clear" w:color="auto" w:fill="D1D1D1" w:themeFill="background2" w:themeFillShade="E6"/>
            <w:vAlign w:val="center"/>
          </w:tcPr>
          <w:p w14:paraId="64166F82" w14:textId="77777777" w:rsidR="0087650C" w:rsidRPr="00A54E85" w:rsidRDefault="0087650C" w:rsidP="00F44AC4">
            <w:pPr>
              <w:spacing w:line="240"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Rubrique</w:t>
            </w:r>
          </w:p>
        </w:tc>
        <w:tc>
          <w:tcPr>
            <w:tcW w:w="6378" w:type="dxa"/>
            <w:shd w:val="clear" w:color="auto" w:fill="D1D1D1" w:themeFill="background2" w:themeFillShade="E6"/>
          </w:tcPr>
          <w:p w14:paraId="4BC0A79E" w14:textId="77777777" w:rsidR="0087650C" w:rsidRPr="00A54E85" w:rsidRDefault="0087650C" w:rsidP="00F44AC4">
            <w:pPr>
              <w:spacing w:line="240"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Intitulé des connaissances</w:t>
            </w:r>
          </w:p>
        </w:tc>
      </w:tr>
      <w:tr w:rsidR="00A54E85" w:rsidRPr="00A54E85" w14:paraId="544C774E" w14:textId="77777777" w:rsidTr="00717C5F">
        <w:trPr>
          <w:trHeight w:val="32"/>
        </w:trPr>
        <w:tc>
          <w:tcPr>
            <w:tcW w:w="640" w:type="dxa"/>
            <w:vAlign w:val="center"/>
          </w:tcPr>
          <w:p w14:paraId="303593E1" w14:textId="5044B951" w:rsidR="00A54E85" w:rsidRPr="00A54E85" w:rsidRDefault="00A54E85" w:rsidP="00A54E85">
            <w:pPr>
              <w:spacing w:line="240" w:lineRule="auto"/>
              <w:jc w:val="center"/>
              <w:rPr>
                <w:rFonts w:ascii="Calibri" w:eastAsia="Calibri" w:hAnsi="Calibri" w:cs="Calibri"/>
              </w:rPr>
            </w:pPr>
            <w:r w:rsidRPr="00A54E85">
              <w:rPr>
                <w:rFonts w:ascii="Calibri" w:hAnsi="Calibri" w:cs="Calibri"/>
              </w:rPr>
              <w:t>A</w:t>
            </w:r>
          </w:p>
        </w:tc>
        <w:tc>
          <w:tcPr>
            <w:tcW w:w="1994" w:type="dxa"/>
            <w:vAlign w:val="center"/>
          </w:tcPr>
          <w:p w14:paraId="1276EAB8" w14:textId="73C73AEA" w:rsidR="00A54E85" w:rsidRPr="00A54E85" w:rsidRDefault="00A54E85" w:rsidP="00A54E85">
            <w:pPr>
              <w:spacing w:line="240" w:lineRule="auto"/>
              <w:jc w:val="left"/>
              <w:rPr>
                <w:rFonts w:ascii="Calibri" w:eastAsia="Calibri" w:hAnsi="Calibri" w:cs="Calibri"/>
              </w:rPr>
            </w:pPr>
            <w:r w:rsidRPr="00A54E85">
              <w:rPr>
                <w:rFonts w:ascii="Calibri" w:hAnsi="Calibri" w:cs="Calibri"/>
              </w:rPr>
              <w:t>Diagnostic positif</w:t>
            </w:r>
          </w:p>
        </w:tc>
        <w:tc>
          <w:tcPr>
            <w:tcW w:w="6378" w:type="dxa"/>
            <w:vAlign w:val="center"/>
          </w:tcPr>
          <w:p w14:paraId="77174F5C" w14:textId="5E5E823F" w:rsidR="00A54E85" w:rsidRPr="00A54E85" w:rsidRDefault="00A54E85" w:rsidP="00A54E85">
            <w:pPr>
              <w:spacing w:line="240" w:lineRule="auto"/>
              <w:rPr>
                <w:rFonts w:ascii="Calibri" w:eastAsia="Calibri" w:hAnsi="Calibri" w:cs="Calibri"/>
              </w:rPr>
            </w:pPr>
            <w:r w:rsidRPr="00A54E85">
              <w:rPr>
                <w:rFonts w:ascii="Calibri" w:hAnsi="Calibri" w:cs="Calibri"/>
              </w:rPr>
              <w:t>Connaître les modalités de prescription d’une radiographie thoracique en urgence</w:t>
            </w:r>
          </w:p>
        </w:tc>
      </w:tr>
      <w:tr w:rsidR="00A54E85" w:rsidRPr="00A54E85" w14:paraId="464EB220" w14:textId="77777777" w:rsidTr="00717C5F">
        <w:trPr>
          <w:trHeight w:val="32"/>
        </w:trPr>
        <w:tc>
          <w:tcPr>
            <w:tcW w:w="640" w:type="dxa"/>
            <w:vAlign w:val="center"/>
          </w:tcPr>
          <w:p w14:paraId="1489C0FB" w14:textId="1F3A706C" w:rsidR="00A54E85" w:rsidRPr="00A54E85" w:rsidRDefault="00A54E85" w:rsidP="00A54E85">
            <w:pPr>
              <w:spacing w:line="240" w:lineRule="auto"/>
              <w:jc w:val="center"/>
              <w:rPr>
                <w:rFonts w:ascii="Calibri" w:eastAsia="Calibri" w:hAnsi="Calibri" w:cs="Calibri"/>
              </w:rPr>
            </w:pPr>
            <w:r w:rsidRPr="00A54E85">
              <w:rPr>
                <w:rFonts w:ascii="Calibri" w:hAnsi="Calibri" w:cs="Calibri"/>
              </w:rPr>
              <w:t>A</w:t>
            </w:r>
          </w:p>
        </w:tc>
        <w:tc>
          <w:tcPr>
            <w:tcW w:w="1994" w:type="dxa"/>
            <w:vAlign w:val="center"/>
          </w:tcPr>
          <w:p w14:paraId="03BD2844" w14:textId="7BC093E0" w:rsidR="00A54E85" w:rsidRPr="00A54E85" w:rsidRDefault="00A54E85" w:rsidP="00A54E85">
            <w:pPr>
              <w:spacing w:line="240" w:lineRule="auto"/>
              <w:jc w:val="left"/>
              <w:rPr>
                <w:rFonts w:ascii="Calibri" w:eastAsia="Calibri" w:hAnsi="Calibri" w:cs="Calibri"/>
              </w:rPr>
            </w:pPr>
            <w:r w:rsidRPr="00A54E85">
              <w:rPr>
                <w:rFonts w:ascii="Calibri" w:hAnsi="Calibri" w:cs="Calibri"/>
              </w:rPr>
              <w:t>Diagnostic positif</w:t>
            </w:r>
          </w:p>
        </w:tc>
        <w:tc>
          <w:tcPr>
            <w:tcW w:w="6378" w:type="dxa"/>
            <w:vAlign w:val="center"/>
          </w:tcPr>
          <w:p w14:paraId="0ABE6C55" w14:textId="67768123" w:rsidR="00A54E85" w:rsidRPr="00A54E85" w:rsidRDefault="00A54E85" w:rsidP="00A54E85">
            <w:pPr>
              <w:spacing w:line="240" w:lineRule="auto"/>
              <w:rPr>
                <w:rFonts w:ascii="Calibri" w:eastAsia="Calibri" w:hAnsi="Calibri" w:cs="Calibri"/>
              </w:rPr>
            </w:pPr>
            <w:r w:rsidRPr="00A54E85">
              <w:rPr>
                <w:rFonts w:ascii="Calibri" w:hAnsi="Calibri" w:cs="Calibri"/>
              </w:rPr>
              <w:t xml:space="preserve">Connaître les modalités du diagnostic d’une opacité pulmonaire </w:t>
            </w:r>
          </w:p>
        </w:tc>
      </w:tr>
      <w:tr w:rsidR="00A54E85" w:rsidRPr="00A54E85" w14:paraId="6D286967" w14:textId="77777777" w:rsidTr="00717C5F">
        <w:trPr>
          <w:trHeight w:val="201"/>
        </w:trPr>
        <w:tc>
          <w:tcPr>
            <w:tcW w:w="640" w:type="dxa"/>
            <w:vAlign w:val="center"/>
          </w:tcPr>
          <w:p w14:paraId="541446C5" w14:textId="18CF3749" w:rsidR="00A54E85" w:rsidRPr="00A54E85" w:rsidRDefault="00A54E85" w:rsidP="00A54E85">
            <w:pPr>
              <w:spacing w:line="240" w:lineRule="auto"/>
              <w:jc w:val="center"/>
              <w:rPr>
                <w:rFonts w:ascii="Calibri" w:eastAsia="Calibri" w:hAnsi="Calibri" w:cs="Calibri"/>
                <w:i/>
                <w:iCs/>
                <w:color w:val="2E74B5"/>
              </w:rPr>
            </w:pPr>
            <w:r w:rsidRPr="00A54E85">
              <w:rPr>
                <w:rFonts w:ascii="Calibri" w:hAnsi="Calibri" w:cs="Calibri"/>
              </w:rPr>
              <w:t>A</w:t>
            </w:r>
          </w:p>
        </w:tc>
        <w:tc>
          <w:tcPr>
            <w:tcW w:w="1994" w:type="dxa"/>
            <w:vAlign w:val="center"/>
          </w:tcPr>
          <w:p w14:paraId="28EBE8E8" w14:textId="77422C09" w:rsidR="00A54E85" w:rsidRPr="00A54E85" w:rsidRDefault="00A54E85" w:rsidP="00A54E85">
            <w:pPr>
              <w:spacing w:line="240" w:lineRule="auto"/>
              <w:jc w:val="left"/>
              <w:rPr>
                <w:rFonts w:ascii="Calibri" w:eastAsia="Calibri" w:hAnsi="Calibri" w:cs="Calibri"/>
                <w:i/>
                <w:iCs/>
                <w:color w:val="2E74B5"/>
              </w:rPr>
            </w:pPr>
            <w:r w:rsidRPr="00A54E85">
              <w:rPr>
                <w:rFonts w:ascii="Calibri" w:hAnsi="Calibri" w:cs="Calibri"/>
              </w:rPr>
              <w:t xml:space="preserve">Diagnostic positif </w:t>
            </w:r>
          </w:p>
        </w:tc>
        <w:tc>
          <w:tcPr>
            <w:tcW w:w="6378" w:type="dxa"/>
            <w:vAlign w:val="center"/>
          </w:tcPr>
          <w:p w14:paraId="7D52D0FD" w14:textId="5F3B9476" w:rsidR="00A54E85" w:rsidRPr="00A54E85" w:rsidRDefault="00A54E85" w:rsidP="00A54E85">
            <w:pPr>
              <w:spacing w:line="240" w:lineRule="auto"/>
              <w:rPr>
                <w:rFonts w:ascii="Calibri" w:eastAsia="Calibri" w:hAnsi="Calibri" w:cs="Calibri"/>
                <w:i/>
                <w:iCs/>
                <w:color w:val="2E74B5"/>
              </w:rPr>
            </w:pPr>
            <w:r w:rsidRPr="00A54E85">
              <w:rPr>
                <w:rFonts w:ascii="Calibri" w:hAnsi="Calibri" w:cs="Calibri"/>
              </w:rPr>
              <w:t xml:space="preserve">Connaître les modalités du diagnostic d’un épanchement pleural liquidien </w:t>
            </w:r>
          </w:p>
        </w:tc>
      </w:tr>
      <w:tr w:rsidR="00A54E85" w:rsidRPr="00A54E85" w14:paraId="39CC79FB" w14:textId="77777777" w:rsidTr="00717C5F">
        <w:trPr>
          <w:trHeight w:val="201"/>
        </w:trPr>
        <w:tc>
          <w:tcPr>
            <w:tcW w:w="640" w:type="dxa"/>
            <w:vAlign w:val="center"/>
          </w:tcPr>
          <w:p w14:paraId="4260790C" w14:textId="2F548111" w:rsidR="00A54E85" w:rsidRPr="00A54E85" w:rsidRDefault="00A54E85" w:rsidP="00A54E85">
            <w:pPr>
              <w:spacing w:line="240" w:lineRule="auto"/>
              <w:jc w:val="center"/>
              <w:rPr>
                <w:rFonts w:ascii="Calibri" w:eastAsia="Calibri" w:hAnsi="Calibri" w:cs="Calibri"/>
              </w:rPr>
            </w:pPr>
            <w:r w:rsidRPr="00A54E85">
              <w:rPr>
                <w:rFonts w:ascii="Calibri" w:hAnsi="Calibri" w:cs="Calibri"/>
              </w:rPr>
              <w:t>A</w:t>
            </w:r>
          </w:p>
        </w:tc>
        <w:tc>
          <w:tcPr>
            <w:tcW w:w="1994" w:type="dxa"/>
            <w:vAlign w:val="center"/>
          </w:tcPr>
          <w:p w14:paraId="0A10991B" w14:textId="053198B0" w:rsidR="00A54E85" w:rsidRPr="00A54E85" w:rsidRDefault="00A54E85" w:rsidP="00A54E85">
            <w:pPr>
              <w:spacing w:line="240" w:lineRule="auto"/>
              <w:jc w:val="left"/>
              <w:rPr>
                <w:rFonts w:ascii="Calibri" w:eastAsia="Calibri" w:hAnsi="Calibri" w:cs="Calibri"/>
              </w:rPr>
            </w:pPr>
            <w:r w:rsidRPr="00A54E85">
              <w:rPr>
                <w:rFonts w:ascii="Calibri" w:hAnsi="Calibri" w:cs="Calibri"/>
              </w:rPr>
              <w:t xml:space="preserve">Diagnostic positif </w:t>
            </w:r>
          </w:p>
        </w:tc>
        <w:tc>
          <w:tcPr>
            <w:tcW w:w="6378" w:type="dxa"/>
            <w:vAlign w:val="center"/>
          </w:tcPr>
          <w:p w14:paraId="39CE48D2" w14:textId="5F20897B" w:rsidR="00A54E85" w:rsidRPr="00A54E85" w:rsidRDefault="00A54E85" w:rsidP="00A54E85">
            <w:pPr>
              <w:spacing w:line="240" w:lineRule="auto"/>
              <w:rPr>
                <w:rFonts w:ascii="Calibri" w:eastAsia="Calibri" w:hAnsi="Calibri" w:cs="Calibri"/>
              </w:rPr>
            </w:pPr>
            <w:r w:rsidRPr="00A54E85">
              <w:rPr>
                <w:rFonts w:ascii="Calibri" w:hAnsi="Calibri" w:cs="Calibri"/>
              </w:rPr>
              <w:t xml:space="preserve">Connaître les modalités du diagnostic d’un épanchement pleural gazeux  </w:t>
            </w:r>
          </w:p>
        </w:tc>
      </w:tr>
      <w:tr w:rsidR="00A54E85" w:rsidRPr="00A54E85" w14:paraId="74C87BC5" w14:textId="77777777" w:rsidTr="00717C5F">
        <w:trPr>
          <w:trHeight w:val="201"/>
        </w:trPr>
        <w:tc>
          <w:tcPr>
            <w:tcW w:w="640" w:type="dxa"/>
            <w:vAlign w:val="center"/>
          </w:tcPr>
          <w:p w14:paraId="747055EA" w14:textId="067A03E2" w:rsidR="00A54E85" w:rsidRPr="00A54E85" w:rsidRDefault="00A54E85" w:rsidP="00A54E85">
            <w:pPr>
              <w:spacing w:line="240" w:lineRule="auto"/>
              <w:jc w:val="center"/>
              <w:rPr>
                <w:rFonts w:ascii="Calibri" w:eastAsia="Calibri" w:hAnsi="Calibri" w:cs="Calibri"/>
                <w:color w:val="2E74B5"/>
              </w:rPr>
            </w:pPr>
            <w:r w:rsidRPr="00A54E85">
              <w:rPr>
                <w:rFonts w:ascii="Calibri" w:hAnsi="Calibri" w:cs="Calibri"/>
                <w:color w:val="0070C0"/>
              </w:rPr>
              <w:t>B</w:t>
            </w:r>
          </w:p>
        </w:tc>
        <w:tc>
          <w:tcPr>
            <w:tcW w:w="1994" w:type="dxa"/>
            <w:vAlign w:val="center"/>
          </w:tcPr>
          <w:p w14:paraId="149CFA01" w14:textId="4A2717FE" w:rsidR="00A54E85" w:rsidRPr="00A54E85" w:rsidRDefault="00A54E85" w:rsidP="00A54E85">
            <w:pPr>
              <w:spacing w:line="240" w:lineRule="auto"/>
              <w:jc w:val="left"/>
              <w:rPr>
                <w:rFonts w:ascii="Calibri" w:eastAsia="Calibri" w:hAnsi="Calibri" w:cs="Calibri"/>
                <w:color w:val="2E74B5"/>
              </w:rPr>
            </w:pPr>
            <w:r w:rsidRPr="00A54E85">
              <w:rPr>
                <w:rFonts w:ascii="Calibri" w:hAnsi="Calibri" w:cs="Calibri"/>
                <w:color w:val="0070C0"/>
              </w:rPr>
              <w:t xml:space="preserve">Diagnostic positif </w:t>
            </w:r>
          </w:p>
        </w:tc>
        <w:tc>
          <w:tcPr>
            <w:tcW w:w="6378" w:type="dxa"/>
            <w:vAlign w:val="center"/>
          </w:tcPr>
          <w:p w14:paraId="652FC5EA" w14:textId="47770C89" w:rsidR="00A54E85" w:rsidRPr="00A54E85" w:rsidRDefault="00A54E85" w:rsidP="00A54E85">
            <w:pPr>
              <w:spacing w:line="240" w:lineRule="auto"/>
              <w:rPr>
                <w:rFonts w:ascii="Calibri" w:eastAsia="Calibri" w:hAnsi="Calibri" w:cs="Calibri"/>
                <w:color w:val="2E74B5"/>
              </w:rPr>
            </w:pPr>
            <w:r w:rsidRPr="00A54E85">
              <w:rPr>
                <w:rFonts w:ascii="Calibri" w:hAnsi="Calibri" w:cs="Calibri"/>
                <w:color w:val="0070C0"/>
              </w:rPr>
              <w:t>Connaître les modalités du diagnostic d’un syndrome alvéolaire</w:t>
            </w:r>
          </w:p>
        </w:tc>
      </w:tr>
      <w:tr w:rsidR="00A54E85" w:rsidRPr="00A54E85" w14:paraId="491B4C61" w14:textId="77777777" w:rsidTr="00717C5F">
        <w:trPr>
          <w:trHeight w:val="201"/>
        </w:trPr>
        <w:tc>
          <w:tcPr>
            <w:tcW w:w="640" w:type="dxa"/>
            <w:vAlign w:val="center"/>
          </w:tcPr>
          <w:p w14:paraId="4A4125A2" w14:textId="613241FF" w:rsidR="00A54E85" w:rsidRPr="00A54E85" w:rsidRDefault="00A54E85" w:rsidP="00A54E85">
            <w:pPr>
              <w:spacing w:line="240" w:lineRule="auto"/>
              <w:jc w:val="center"/>
              <w:rPr>
                <w:rFonts w:ascii="Calibri" w:eastAsia="Calibri" w:hAnsi="Calibri" w:cs="Calibri"/>
                <w:color w:val="2E74B5"/>
              </w:rPr>
            </w:pPr>
            <w:r w:rsidRPr="00A54E85">
              <w:rPr>
                <w:rFonts w:ascii="Calibri" w:hAnsi="Calibri" w:cs="Calibri"/>
                <w:color w:val="0070C0"/>
              </w:rPr>
              <w:t>B</w:t>
            </w:r>
          </w:p>
        </w:tc>
        <w:tc>
          <w:tcPr>
            <w:tcW w:w="1994" w:type="dxa"/>
            <w:vAlign w:val="center"/>
          </w:tcPr>
          <w:p w14:paraId="404D9570" w14:textId="7A1C3763" w:rsidR="00A54E85" w:rsidRPr="00A54E85" w:rsidRDefault="00A54E85" w:rsidP="00A54E85">
            <w:pPr>
              <w:spacing w:line="240" w:lineRule="auto"/>
              <w:jc w:val="left"/>
              <w:rPr>
                <w:rFonts w:ascii="Calibri" w:eastAsia="Calibri" w:hAnsi="Calibri" w:cs="Calibri"/>
                <w:color w:val="2E74B5"/>
              </w:rPr>
            </w:pPr>
            <w:r w:rsidRPr="00A54E85">
              <w:rPr>
                <w:rFonts w:ascii="Calibri" w:hAnsi="Calibri" w:cs="Calibri"/>
                <w:color w:val="0070C0"/>
              </w:rPr>
              <w:t xml:space="preserve">Diagnostic positif </w:t>
            </w:r>
          </w:p>
        </w:tc>
        <w:tc>
          <w:tcPr>
            <w:tcW w:w="6378" w:type="dxa"/>
            <w:vAlign w:val="center"/>
          </w:tcPr>
          <w:p w14:paraId="7B6ABE81" w14:textId="51A5482A" w:rsidR="00A54E85" w:rsidRPr="00A54E85" w:rsidRDefault="00A54E85" w:rsidP="00A54E85">
            <w:pPr>
              <w:spacing w:line="240" w:lineRule="auto"/>
              <w:rPr>
                <w:rFonts w:ascii="Calibri" w:eastAsia="Calibri" w:hAnsi="Calibri" w:cs="Calibri"/>
                <w:color w:val="2E74B5"/>
              </w:rPr>
            </w:pPr>
            <w:r w:rsidRPr="00A54E85">
              <w:rPr>
                <w:rFonts w:ascii="Calibri" w:hAnsi="Calibri" w:cs="Calibri"/>
                <w:color w:val="0070C0"/>
              </w:rPr>
              <w:t>Connaître les modalités du diagnostic d’un syndrome interstitiel</w:t>
            </w:r>
          </w:p>
        </w:tc>
      </w:tr>
      <w:tr w:rsidR="00A54E85" w:rsidRPr="00A54E85" w14:paraId="4414EA75" w14:textId="77777777" w:rsidTr="00717C5F">
        <w:trPr>
          <w:trHeight w:val="201"/>
        </w:trPr>
        <w:tc>
          <w:tcPr>
            <w:tcW w:w="640" w:type="dxa"/>
            <w:vAlign w:val="center"/>
          </w:tcPr>
          <w:p w14:paraId="374E0645" w14:textId="2111AE06" w:rsidR="00A54E85" w:rsidRPr="00A54E85" w:rsidRDefault="00A54E85" w:rsidP="00A54E85">
            <w:pPr>
              <w:spacing w:line="240" w:lineRule="auto"/>
              <w:jc w:val="center"/>
              <w:rPr>
                <w:rFonts w:ascii="Calibri" w:eastAsia="Calibri" w:hAnsi="Calibri" w:cs="Calibri"/>
                <w:i/>
                <w:iCs/>
                <w:color w:val="2E74B5"/>
              </w:rPr>
            </w:pPr>
            <w:r w:rsidRPr="00A54E85">
              <w:rPr>
                <w:rFonts w:ascii="Calibri" w:hAnsi="Calibri" w:cs="Calibri"/>
                <w:color w:val="0070C0"/>
              </w:rPr>
              <w:t>B</w:t>
            </w:r>
          </w:p>
        </w:tc>
        <w:tc>
          <w:tcPr>
            <w:tcW w:w="1994" w:type="dxa"/>
            <w:vAlign w:val="center"/>
          </w:tcPr>
          <w:p w14:paraId="47536786" w14:textId="4D34EE66" w:rsidR="00A54E85" w:rsidRPr="00A54E85" w:rsidRDefault="00A54E85" w:rsidP="00A54E85">
            <w:pPr>
              <w:spacing w:line="240" w:lineRule="auto"/>
              <w:jc w:val="left"/>
              <w:rPr>
                <w:rFonts w:ascii="Calibri" w:eastAsia="Calibri" w:hAnsi="Calibri" w:cs="Calibri"/>
                <w:i/>
                <w:iCs/>
                <w:color w:val="2E74B5"/>
              </w:rPr>
            </w:pPr>
            <w:r w:rsidRPr="00A54E85">
              <w:rPr>
                <w:rFonts w:ascii="Calibri" w:hAnsi="Calibri" w:cs="Calibri"/>
                <w:color w:val="0070C0"/>
              </w:rPr>
              <w:t xml:space="preserve">Diagnostic positif </w:t>
            </w:r>
          </w:p>
        </w:tc>
        <w:tc>
          <w:tcPr>
            <w:tcW w:w="6378" w:type="dxa"/>
            <w:vAlign w:val="center"/>
          </w:tcPr>
          <w:p w14:paraId="65B74D14" w14:textId="63C7113C" w:rsidR="00A54E85" w:rsidRPr="00A54E85" w:rsidRDefault="00A54E85" w:rsidP="00A54E85">
            <w:pPr>
              <w:spacing w:line="240" w:lineRule="auto"/>
              <w:rPr>
                <w:rFonts w:ascii="Calibri" w:eastAsia="Calibri" w:hAnsi="Calibri" w:cs="Calibri"/>
                <w:i/>
                <w:iCs/>
                <w:color w:val="2E74B5"/>
              </w:rPr>
            </w:pPr>
            <w:r w:rsidRPr="00A54E85">
              <w:rPr>
                <w:rFonts w:ascii="Calibri" w:hAnsi="Calibri" w:cs="Calibri"/>
                <w:color w:val="0070C0"/>
              </w:rPr>
              <w:t>Connaître les modalités du diagnostic d’une anomalie médiastinale</w:t>
            </w:r>
          </w:p>
        </w:tc>
      </w:tr>
      <w:tr w:rsidR="00A54E85" w:rsidRPr="00A54E85" w14:paraId="770A2B74" w14:textId="77777777" w:rsidTr="00717C5F">
        <w:trPr>
          <w:trHeight w:val="201"/>
        </w:trPr>
        <w:tc>
          <w:tcPr>
            <w:tcW w:w="640" w:type="dxa"/>
            <w:vAlign w:val="center"/>
          </w:tcPr>
          <w:p w14:paraId="774C2E64" w14:textId="31220400" w:rsidR="00A54E85" w:rsidRPr="00A54E85" w:rsidRDefault="00A54E85" w:rsidP="00A54E85">
            <w:pPr>
              <w:spacing w:line="240" w:lineRule="auto"/>
              <w:jc w:val="center"/>
              <w:rPr>
                <w:rFonts w:ascii="Calibri" w:eastAsia="Calibri" w:hAnsi="Calibri" w:cs="Calibri"/>
              </w:rPr>
            </w:pPr>
            <w:r w:rsidRPr="00A54E85">
              <w:rPr>
                <w:rFonts w:ascii="Calibri" w:hAnsi="Calibri" w:cs="Calibri"/>
                <w:color w:val="0070C0"/>
              </w:rPr>
              <w:t>B</w:t>
            </w:r>
          </w:p>
        </w:tc>
        <w:tc>
          <w:tcPr>
            <w:tcW w:w="1994" w:type="dxa"/>
            <w:vAlign w:val="center"/>
          </w:tcPr>
          <w:p w14:paraId="409CA63E" w14:textId="7F8F72A0" w:rsidR="00A54E85" w:rsidRPr="00A54E85" w:rsidRDefault="00A54E85" w:rsidP="00A54E85">
            <w:pPr>
              <w:spacing w:line="240" w:lineRule="auto"/>
              <w:jc w:val="left"/>
              <w:rPr>
                <w:rFonts w:ascii="Calibri" w:eastAsia="Calibri" w:hAnsi="Calibri" w:cs="Calibri"/>
              </w:rPr>
            </w:pPr>
            <w:r w:rsidRPr="00A54E85">
              <w:rPr>
                <w:rFonts w:ascii="Calibri" w:hAnsi="Calibri" w:cs="Calibri"/>
                <w:color w:val="0070C0"/>
              </w:rPr>
              <w:t xml:space="preserve">Diagnostic positif </w:t>
            </w:r>
          </w:p>
        </w:tc>
        <w:tc>
          <w:tcPr>
            <w:tcW w:w="6378" w:type="dxa"/>
            <w:vAlign w:val="center"/>
          </w:tcPr>
          <w:p w14:paraId="54A2725D" w14:textId="0FE7D965" w:rsidR="00A54E85" w:rsidRPr="00A54E85" w:rsidRDefault="00A54E85" w:rsidP="00A54E85">
            <w:pPr>
              <w:spacing w:line="240" w:lineRule="auto"/>
              <w:rPr>
                <w:rFonts w:ascii="Calibri" w:eastAsia="Calibri" w:hAnsi="Calibri" w:cs="Calibri"/>
              </w:rPr>
            </w:pPr>
            <w:r w:rsidRPr="00A54E85">
              <w:rPr>
                <w:rFonts w:ascii="Calibri" w:hAnsi="Calibri" w:cs="Calibri"/>
                <w:color w:val="0070C0"/>
              </w:rPr>
              <w:t>Connaître les modalités du diagnostic d’une atélectasie</w:t>
            </w:r>
          </w:p>
        </w:tc>
      </w:tr>
      <w:tr w:rsidR="00A54E85" w:rsidRPr="00A54E85" w14:paraId="6959E82F" w14:textId="77777777" w:rsidTr="00717C5F">
        <w:trPr>
          <w:trHeight w:val="201"/>
        </w:trPr>
        <w:tc>
          <w:tcPr>
            <w:tcW w:w="640" w:type="dxa"/>
            <w:vAlign w:val="center"/>
          </w:tcPr>
          <w:p w14:paraId="4E1EE5DA" w14:textId="4C8BA1A7" w:rsidR="00A54E85" w:rsidRPr="00A54E85" w:rsidRDefault="00A54E85" w:rsidP="00A54E85">
            <w:pPr>
              <w:spacing w:line="240" w:lineRule="auto"/>
              <w:jc w:val="center"/>
              <w:rPr>
                <w:rFonts w:ascii="Calibri" w:eastAsia="Calibri" w:hAnsi="Calibri" w:cs="Calibri"/>
                <w:color w:val="2E74B5"/>
              </w:rPr>
            </w:pPr>
            <w:r w:rsidRPr="00A54E85">
              <w:rPr>
                <w:rFonts w:ascii="Calibri" w:hAnsi="Calibri" w:cs="Calibri"/>
                <w:color w:val="0070C0"/>
              </w:rPr>
              <w:t>B</w:t>
            </w:r>
          </w:p>
        </w:tc>
        <w:tc>
          <w:tcPr>
            <w:tcW w:w="1994" w:type="dxa"/>
            <w:vAlign w:val="center"/>
          </w:tcPr>
          <w:p w14:paraId="1264C9BE" w14:textId="23C552B8" w:rsidR="00A54E85" w:rsidRPr="00A54E85" w:rsidRDefault="00A54E85" w:rsidP="00A54E85">
            <w:pPr>
              <w:spacing w:line="240" w:lineRule="auto"/>
              <w:jc w:val="left"/>
              <w:rPr>
                <w:rFonts w:ascii="Calibri" w:eastAsia="Calibri" w:hAnsi="Calibri" w:cs="Calibri"/>
                <w:color w:val="2E74B5"/>
              </w:rPr>
            </w:pPr>
            <w:r w:rsidRPr="00A54E85">
              <w:rPr>
                <w:rFonts w:ascii="Calibri" w:hAnsi="Calibri" w:cs="Calibri"/>
                <w:color w:val="0070C0"/>
              </w:rPr>
              <w:t>Étiologies</w:t>
            </w:r>
          </w:p>
        </w:tc>
        <w:tc>
          <w:tcPr>
            <w:tcW w:w="6378" w:type="dxa"/>
            <w:vAlign w:val="center"/>
          </w:tcPr>
          <w:p w14:paraId="3F9C46EE" w14:textId="64032885" w:rsidR="00A54E85" w:rsidRPr="00A54E85" w:rsidRDefault="00A54E85" w:rsidP="00A54E85">
            <w:pPr>
              <w:spacing w:line="240" w:lineRule="auto"/>
              <w:rPr>
                <w:rFonts w:ascii="Calibri" w:eastAsia="Calibri" w:hAnsi="Calibri" w:cs="Calibri"/>
                <w:color w:val="2E74B5"/>
              </w:rPr>
            </w:pPr>
            <w:r w:rsidRPr="00A54E85">
              <w:rPr>
                <w:rFonts w:ascii="Calibri" w:hAnsi="Calibri" w:cs="Calibri"/>
                <w:color w:val="0070C0"/>
              </w:rPr>
              <w:t>Connaître les principales hypothèses diagnostiques devant une anomalie médiastinale selon la topographie</w:t>
            </w:r>
          </w:p>
        </w:tc>
      </w:tr>
    </w:tbl>
    <w:p w14:paraId="33D4B065" w14:textId="77777777" w:rsidR="00AC56AB" w:rsidRDefault="00AC56AB" w:rsidP="00362251"/>
    <w:p w14:paraId="2CE31358" w14:textId="77777777" w:rsidR="00A54E85" w:rsidRDefault="00A54E85" w:rsidP="00A54E85">
      <w:pPr>
        <w:rPr>
          <w:b/>
          <w:bCs/>
        </w:rPr>
      </w:pPr>
      <w:r>
        <w:rPr>
          <w:b/>
          <w:bCs/>
        </w:rPr>
        <w:t>NB : Les aspects pédiatriques de cet item ne sont pas traités ici, mais dans les documents pédagogiques rédigés par le collège de pédiatrie.</w:t>
      </w:r>
    </w:p>
    <w:p w14:paraId="1E69E3B3" w14:textId="77777777" w:rsidR="00A54E85" w:rsidRDefault="00A54E85" w:rsidP="00A54E85">
      <w:pPr>
        <w:rPr>
          <w:b/>
          <w:bCs/>
        </w:rPr>
      </w:pPr>
    </w:p>
    <w:p w14:paraId="5F50FD80" w14:textId="77777777" w:rsidR="00A54E85" w:rsidRDefault="00A54E85" w:rsidP="00A54E85">
      <w:pPr>
        <w:rPr>
          <w:b/>
          <w:bCs/>
          <w:i/>
          <w:iCs/>
          <w:color w:val="FF0000"/>
        </w:rPr>
      </w:pPr>
      <w:r>
        <w:rPr>
          <w:b/>
          <w:bCs/>
          <w:i/>
          <w:iCs/>
          <w:color w:val="FF0000"/>
        </w:rPr>
        <w:t>Le collège des enseignants de pneumologie considère comme des objectifs de rang A :</w:t>
      </w:r>
    </w:p>
    <w:p w14:paraId="411A0F89" w14:textId="77777777" w:rsidR="00A54E85" w:rsidRDefault="00A54E85" w:rsidP="00A54E85">
      <w:pPr>
        <w:spacing w:line="240" w:lineRule="auto"/>
      </w:pPr>
      <w:r>
        <w:t>- Les arguments pour la nature maligne ou bénigne d’un nodule pulmonaire.</w:t>
      </w:r>
    </w:p>
    <w:p w14:paraId="1D20E6A6" w14:textId="4E7E3350" w:rsidR="00A54E85" w:rsidRDefault="00A54E85" w:rsidP="00A54E85">
      <w:pPr>
        <w:spacing w:line="240" w:lineRule="auto"/>
      </w:pPr>
      <w:r>
        <w:t>- La base de l’orientation étiologique face à une masse du médiastin (localisation précise de la lésion dans le médiastin).</w:t>
      </w:r>
    </w:p>
    <w:p w14:paraId="4E3A47D8" w14:textId="77777777" w:rsidR="00A54E85" w:rsidRDefault="00A54E85" w:rsidP="00362251"/>
    <w:p w14:paraId="7F04C889" w14:textId="47959A67" w:rsidR="00717C5F" w:rsidRDefault="00876EF8" w:rsidP="00717C5F">
      <w:pPr>
        <w:jc w:val="center"/>
        <w:rPr>
          <w:color w:val="0070C0"/>
        </w:rPr>
      </w:pPr>
      <w:r w:rsidRPr="00362251">
        <w:rPr>
          <w:noProof/>
          <w:color w:val="0070C0"/>
        </w:rPr>
        <w:drawing>
          <wp:anchor distT="0" distB="0" distL="114300" distR="114300" simplePos="0" relativeHeight="251659264" behindDoc="0" locked="0" layoutInCell="1" hidden="0" allowOverlap="1" wp14:anchorId="6E037DFD" wp14:editId="2B6F045A">
            <wp:simplePos x="0" y="0"/>
            <wp:positionH relativeFrom="column">
              <wp:posOffset>987587</wp:posOffset>
            </wp:positionH>
            <wp:positionV relativeFrom="paragraph">
              <wp:posOffset>9525</wp:posOffset>
            </wp:positionV>
            <wp:extent cx="153670" cy="137160"/>
            <wp:effectExtent l="0" t="0" r="0" b="0"/>
            <wp:wrapNone/>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Pr="00362251">
        <w:rPr>
          <w:color w:val="0070C0"/>
        </w:rPr>
        <w:t>Les objectifs de rang B apparaissent en bleu dans le texte.</w:t>
      </w:r>
    </w:p>
    <w:p w14:paraId="358057FC" w14:textId="77777777" w:rsidR="00A54E85" w:rsidRDefault="00A54E85" w:rsidP="00A54E85">
      <w:pPr>
        <w:spacing w:line="240" w:lineRule="auto"/>
        <w:jc w:val="center"/>
        <w:rPr>
          <w:i/>
          <w:iCs/>
          <w:color w:val="2E74B5"/>
        </w:rPr>
      </w:pPr>
    </w:p>
    <w:p w14:paraId="17BC317F" w14:textId="4BDD28EC" w:rsidR="00A54E85" w:rsidRDefault="00A54E85" w:rsidP="00A54E85">
      <w:pPr>
        <w:spacing w:line="240" w:lineRule="auto"/>
        <w:ind w:left="3"/>
        <w:jc w:val="center"/>
        <w:rPr>
          <w:color w:val="0070C0"/>
        </w:rPr>
      </w:pPr>
      <w:r>
        <w:rPr>
          <w:noProof/>
        </w:rPr>
        <w:drawing>
          <wp:anchor distT="0" distB="0" distL="114300" distR="114300" simplePos="0" relativeHeight="251840512" behindDoc="0" locked="0" layoutInCell="1" hidden="0" allowOverlap="1" wp14:anchorId="29C38B89" wp14:editId="4AD4ABEC">
            <wp:simplePos x="0" y="0"/>
            <wp:positionH relativeFrom="column">
              <wp:posOffset>880994</wp:posOffset>
            </wp:positionH>
            <wp:positionV relativeFrom="paragraph">
              <wp:posOffset>5715</wp:posOffset>
            </wp:positionV>
            <wp:extent cx="136444" cy="138458"/>
            <wp:effectExtent l="0" t="0" r="0" b="0"/>
            <wp:wrapNone/>
            <wp:docPr id="198141560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136444" cy="138458"/>
                    </a:xfrm>
                    <a:prstGeom prst="rect">
                      <a:avLst/>
                    </a:prstGeom>
                    <a:ln/>
                  </pic:spPr>
                </pic:pic>
              </a:graphicData>
            </a:graphic>
          </wp:anchor>
        </w:drawing>
      </w:r>
      <w:r>
        <w:rPr>
          <w:color w:val="00B050"/>
        </w:rPr>
        <w:t>Les informations de rang C apparaissent en vert dans le texte.</w:t>
      </w:r>
    </w:p>
    <w:p w14:paraId="78A62DC1" w14:textId="77777777" w:rsidR="00447337" w:rsidRPr="00447337" w:rsidRDefault="00447337" w:rsidP="00447337">
      <w:pPr>
        <w:jc w:val="center"/>
        <w:rPr>
          <w:color w:val="0070C0"/>
        </w:rPr>
      </w:pPr>
    </w:p>
    <w:p w14:paraId="1A91D4E0" w14:textId="77777777" w:rsidR="00896114" w:rsidRDefault="00876EF8" w:rsidP="00896114">
      <w:pPr>
        <w:pStyle w:val="Pointscls"/>
      </w:pPr>
      <w:r>
        <w:t>Points clés</w:t>
      </w:r>
    </w:p>
    <w:p w14:paraId="7FDD5E93" w14:textId="77777777" w:rsidR="00A54E85" w:rsidRPr="00D20C82" w:rsidRDefault="00A54E85" w:rsidP="00D20C82">
      <w:pPr>
        <w:pStyle w:val="pointscls1"/>
        <w:numPr>
          <w:ilvl w:val="0"/>
          <w:numId w:val="0"/>
        </w:numPr>
        <w:ind w:left="426" w:hanging="284"/>
        <w:rPr>
          <w:b/>
          <w:bCs/>
          <w:i/>
          <w:iCs/>
        </w:rPr>
      </w:pPr>
      <w:r w:rsidRPr="00D20C82">
        <w:rPr>
          <w:b/>
          <w:bCs/>
          <w:i/>
          <w:iCs/>
        </w:rPr>
        <w:t>Nodules et masses intrathoraciques</w:t>
      </w:r>
    </w:p>
    <w:p w14:paraId="6A822609" w14:textId="77777777" w:rsidR="00A54E85" w:rsidRPr="00D20C82" w:rsidRDefault="00A54E85" w:rsidP="00D20C82">
      <w:pPr>
        <w:pStyle w:val="pointscls1"/>
      </w:pPr>
      <w:r w:rsidRPr="00D20C82">
        <w:t xml:space="preserve">Un nodule pulmonaire est une opacité intra-parenchymateuse pulmonaire de moins de 3 cm de diamètre. Un micronodule a une taille inférieure à 3 mm, une masse a une taille supérieure à 3 cm. </w:t>
      </w:r>
    </w:p>
    <w:p w14:paraId="1DFA1232" w14:textId="77777777" w:rsidR="00A54E85" w:rsidRDefault="00A54E85" w:rsidP="00D20C82">
      <w:pPr>
        <w:pStyle w:val="pointscls1"/>
      </w:pPr>
      <w:r>
        <w:t>L’examen d’imagerie clé est le scanner thoracique.</w:t>
      </w:r>
    </w:p>
    <w:p w14:paraId="1D98C35C" w14:textId="77777777" w:rsidR="00A54E85" w:rsidRDefault="00A54E85" w:rsidP="00D20C82">
      <w:pPr>
        <w:pStyle w:val="pointscls1"/>
      </w:pPr>
      <w:r>
        <w:t xml:space="preserve">La présomption de malignité repose sur : le terrain, les facteurs de risque (tabagisme notamment), la taille, la morphologie, la fixation en TEP-TDM au 18FDG et l’évolution (en diamètre ou en volume). </w:t>
      </w:r>
    </w:p>
    <w:p w14:paraId="088B66EF" w14:textId="77777777" w:rsidR="00A54E85" w:rsidRDefault="00A54E85" w:rsidP="00D20C82">
      <w:pPr>
        <w:pStyle w:val="pointscls1"/>
      </w:pPr>
      <w:r>
        <w:t>La nature cancéreuse d’un nodule est affirmée par l’examen anatomopathologique.</w:t>
      </w:r>
    </w:p>
    <w:p w14:paraId="66F88F60" w14:textId="77777777" w:rsidR="00A54E85" w:rsidRDefault="00A54E85" w:rsidP="00D20C82">
      <w:pPr>
        <w:pStyle w:val="pointscls1"/>
        <w:numPr>
          <w:ilvl w:val="0"/>
          <w:numId w:val="0"/>
        </w:numPr>
        <w:ind w:left="142"/>
      </w:pPr>
    </w:p>
    <w:p w14:paraId="68A14AB0" w14:textId="77777777" w:rsidR="00A54E85" w:rsidRPr="00D20C82" w:rsidRDefault="00A54E85" w:rsidP="00D20C82">
      <w:pPr>
        <w:pStyle w:val="pointscls1"/>
        <w:numPr>
          <w:ilvl w:val="0"/>
          <w:numId w:val="0"/>
        </w:numPr>
        <w:ind w:left="426" w:hanging="284"/>
        <w:rPr>
          <w:b/>
          <w:bCs/>
          <w:i/>
          <w:iCs/>
        </w:rPr>
      </w:pPr>
      <w:r w:rsidRPr="00D20C82">
        <w:rPr>
          <w:b/>
          <w:bCs/>
          <w:i/>
          <w:iCs/>
        </w:rPr>
        <w:t xml:space="preserve">Masses médiastinales </w:t>
      </w:r>
    </w:p>
    <w:p w14:paraId="0EBB2299" w14:textId="77777777" w:rsidR="00A54E85" w:rsidRDefault="00A54E85" w:rsidP="00D20C82">
      <w:pPr>
        <w:pStyle w:val="pointscls1"/>
        <w:numPr>
          <w:ilvl w:val="0"/>
          <w:numId w:val="22"/>
        </w:numPr>
      </w:pPr>
      <w:r>
        <w:t>L’orientation étiologique s’appuie sur la localisation de la lésion dans l’une des 9 loges médiastinales.</w:t>
      </w:r>
    </w:p>
    <w:p w14:paraId="3C2B0732" w14:textId="77777777" w:rsidR="00A54E85" w:rsidRDefault="00A54E85" w:rsidP="00D20C82">
      <w:pPr>
        <w:pStyle w:val="pointscls1"/>
      </w:pPr>
      <w:r>
        <w:t xml:space="preserve">L’examen tomodensitométrique est l’examen clé pour les masses du médiastin antérieur et moyen. Il doit être complété par une IRM pour les masses du médiastin postérieur. </w:t>
      </w:r>
    </w:p>
    <w:p w14:paraId="59BFEB2B" w14:textId="77777777" w:rsidR="00A54E85" w:rsidRDefault="00A54E85" w:rsidP="00D20C82">
      <w:pPr>
        <w:pStyle w:val="pointscls1"/>
      </w:pPr>
      <w:r>
        <w:lastRenderedPageBreak/>
        <w:t xml:space="preserve">Les lésions typiques (goitres et kystes) ne nécessitent pas de confirmation histologique. </w:t>
      </w:r>
    </w:p>
    <w:p w14:paraId="0D118E1C" w14:textId="77777777" w:rsidR="00896114" w:rsidRDefault="00896114">
      <w:pPr>
        <w:spacing w:after="160"/>
        <w:jc w:val="left"/>
        <w:rPr>
          <w:b/>
          <w:bCs/>
          <w:color w:val="FFFFFF"/>
          <w:sz w:val="22"/>
          <w:szCs w:val="22"/>
        </w:rPr>
      </w:pPr>
      <w:r>
        <w:br w:type="page"/>
      </w:r>
    </w:p>
    <w:p w14:paraId="47CE8171" w14:textId="0CF1A0F2" w:rsidR="00A54E85" w:rsidRDefault="00A54E85" w:rsidP="00A54E85">
      <w:pPr>
        <w:pStyle w:val="titredepartie"/>
        <w:numPr>
          <w:ilvl w:val="0"/>
          <w:numId w:val="33"/>
        </w:numPr>
      </w:pPr>
      <w:r>
        <w:lastRenderedPageBreak/>
        <w:t>nodules et masses intraparencHymateux Thoraciques</w:t>
      </w:r>
    </w:p>
    <w:p w14:paraId="58489F4C" w14:textId="0514FAEE" w:rsidR="00A54E85" w:rsidRDefault="00A54E85" w:rsidP="00A54E85">
      <w:pPr>
        <w:pStyle w:val="titredesous-partie"/>
        <w:numPr>
          <w:ilvl w:val="1"/>
          <w:numId w:val="37"/>
        </w:numPr>
      </w:pPr>
      <w:r>
        <w:rPr>
          <w:shd w:val="clear" w:color="auto" w:fill="auto"/>
        </w:rPr>
        <w:t>Définitions</w:t>
      </w:r>
    </w:p>
    <w:p w14:paraId="7513F8E1" w14:textId="77777777" w:rsidR="00A54E85" w:rsidRDefault="00A54E85" w:rsidP="00A54E85">
      <w:pPr>
        <w:widowControl w:val="0"/>
        <w:spacing w:line="276" w:lineRule="auto"/>
      </w:pPr>
      <w:r>
        <w:t>Les opacités intra-parenchymateuses peuvent être :</w:t>
      </w:r>
    </w:p>
    <w:p w14:paraId="1A3FBA84" w14:textId="77777777" w:rsidR="00A54E85" w:rsidRDefault="00A54E85" w:rsidP="00A54E85">
      <w:pPr>
        <w:widowControl w:val="0"/>
        <w:spacing w:line="276" w:lineRule="auto"/>
      </w:pPr>
      <w:r>
        <w:t>- Uniques ou multiples.</w:t>
      </w:r>
    </w:p>
    <w:p w14:paraId="19E3074A" w14:textId="77777777" w:rsidR="00A54E85" w:rsidRDefault="00A54E85" w:rsidP="00A54E85">
      <w:pPr>
        <w:widowControl w:val="0"/>
        <w:spacing w:line="276" w:lineRule="auto"/>
      </w:pPr>
      <w:r>
        <w:t>- De densité solide, en verre dépoli pur ou mixte (Figure 1).</w:t>
      </w:r>
    </w:p>
    <w:p w14:paraId="359B513D" w14:textId="77777777" w:rsidR="00A54E85" w:rsidRDefault="00A54E85" w:rsidP="00A54E85">
      <w:pPr>
        <w:widowControl w:val="0"/>
        <w:spacing w:line="276" w:lineRule="auto"/>
      </w:pPr>
      <w:r>
        <w:t>- Définies en fonction de leur taille appréciée au scanner, on parle de :</w:t>
      </w:r>
    </w:p>
    <w:tbl>
      <w:tblPr>
        <w:tblW w:w="4077" w:type="dxa"/>
        <w:jc w:val="cente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2518"/>
        <w:gridCol w:w="1559"/>
      </w:tblGrid>
      <w:tr w:rsidR="00A54E85" w14:paraId="32548B3F" w14:textId="77777777" w:rsidTr="00A54E85">
        <w:trPr>
          <w:jc w:val="center"/>
        </w:trPr>
        <w:tc>
          <w:tcPr>
            <w:tcW w:w="2518" w:type="dxa"/>
            <w:shd w:val="clear" w:color="auto" w:fill="D1D1D1" w:themeFill="background2" w:themeFillShade="E6"/>
          </w:tcPr>
          <w:p w14:paraId="22886335" w14:textId="77777777" w:rsidR="00A54E85" w:rsidRPr="00A54E85" w:rsidRDefault="00A54E85" w:rsidP="00A54E85">
            <w:pPr>
              <w:spacing w:line="276"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Définitions</w:t>
            </w:r>
          </w:p>
        </w:tc>
        <w:tc>
          <w:tcPr>
            <w:tcW w:w="1559" w:type="dxa"/>
            <w:shd w:val="clear" w:color="auto" w:fill="D1D1D1" w:themeFill="background2" w:themeFillShade="E6"/>
          </w:tcPr>
          <w:p w14:paraId="6552BE1F" w14:textId="77777777" w:rsidR="00A54E85" w:rsidRPr="00A54E85" w:rsidRDefault="00A54E85" w:rsidP="00A54E85">
            <w:pPr>
              <w:spacing w:line="276"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Ø</w:t>
            </w:r>
          </w:p>
        </w:tc>
      </w:tr>
      <w:tr w:rsidR="00A54E85" w14:paraId="589B3979" w14:textId="77777777" w:rsidTr="00A54E85">
        <w:trPr>
          <w:jc w:val="center"/>
        </w:trPr>
        <w:tc>
          <w:tcPr>
            <w:tcW w:w="2518" w:type="dxa"/>
            <w:shd w:val="clear" w:color="auto" w:fill="FFFFFF"/>
          </w:tcPr>
          <w:p w14:paraId="706EBD83" w14:textId="77777777" w:rsidR="00A54E85" w:rsidRDefault="00A54E85" w:rsidP="00A54E85">
            <w:pPr>
              <w:spacing w:line="276" w:lineRule="auto"/>
              <w:jc w:val="left"/>
              <w:rPr>
                <w:rFonts w:ascii="Calibri" w:eastAsia="Calibri" w:hAnsi="Calibri" w:cs="Calibri"/>
              </w:rPr>
            </w:pPr>
            <w:r>
              <w:rPr>
                <w:rFonts w:ascii="Calibri" w:eastAsia="Calibri" w:hAnsi="Calibri" w:cs="Calibri"/>
              </w:rPr>
              <w:t>Micronodules</w:t>
            </w:r>
            <w:r>
              <w:rPr>
                <w:rFonts w:ascii="Calibri" w:eastAsia="Calibri" w:hAnsi="Calibri" w:cs="Calibri"/>
              </w:rPr>
              <w:tab/>
            </w:r>
          </w:p>
          <w:p w14:paraId="63692B52" w14:textId="77777777" w:rsidR="00A54E85" w:rsidRDefault="00A54E85" w:rsidP="00A54E85">
            <w:pPr>
              <w:spacing w:line="276" w:lineRule="auto"/>
              <w:rPr>
                <w:rFonts w:ascii="Calibri" w:eastAsia="Calibri" w:hAnsi="Calibri" w:cs="Calibri"/>
              </w:rPr>
            </w:pPr>
            <w:r>
              <w:rPr>
                <w:rFonts w:ascii="Calibri" w:eastAsia="Calibri" w:hAnsi="Calibri" w:cs="Calibri"/>
              </w:rPr>
              <w:t>Nodules</w:t>
            </w:r>
            <w:r>
              <w:rPr>
                <w:rFonts w:ascii="Calibri" w:eastAsia="Calibri" w:hAnsi="Calibri" w:cs="Calibri"/>
              </w:rPr>
              <w:tab/>
            </w:r>
          </w:p>
          <w:p w14:paraId="54AFD5CF" w14:textId="77777777" w:rsidR="00A54E85" w:rsidRDefault="00A54E85" w:rsidP="00A54E85">
            <w:pPr>
              <w:spacing w:line="276" w:lineRule="auto"/>
              <w:rPr>
                <w:rFonts w:ascii="Calibri" w:eastAsia="Calibri" w:hAnsi="Calibri" w:cs="Calibri"/>
              </w:rPr>
            </w:pPr>
            <w:r>
              <w:rPr>
                <w:rFonts w:ascii="Calibri" w:eastAsia="Calibri" w:hAnsi="Calibri" w:cs="Calibri"/>
              </w:rPr>
              <w:t>Masse</w:t>
            </w:r>
            <w:r>
              <w:rPr>
                <w:rFonts w:ascii="Calibri" w:eastAsia="Calibri" w:hAnsi="Calibri" w:cs="Calibri"/>
              </w:rPr>
              <w:tab/>
            </w:r>
          </w:p>
        </w:tc>
        <w:tc>
          <w:tcPr>
            <w:tcW w:w="1559" w:type="dxa"/>
            <w:shd w:val="clear" w:color="auto" w:fill="FFFFFF"/>
          </w:tcPr>
          <w:p w14:paraId="78AA4B0D" w14:textId="77777777" w:rsidR="00A54E85" w:rsidRDefault="00A54E85" w:rsidP="00A54E85">
            <w:pPr>
              <w:spacing w:line="276" w:lineRule="auto"/>
              <w:rPr>
                <w:rFonts w:ascii="Calibri" w:eastAsia="Calibri" w:hAnsi="Calibri" w:cs="Calibri"/>
              </w:rPr>
            </w:pPr>
            <w:r>
              <w:rPr>
                <w:rFonts w:ascii="Calibri" w:eastAsia="Calibri" w:hAnsi="Calibri" w:cs="Calibri"/>
              </w:rPr>
              <w:t>&lt; 3 mm</w:t>
            </w:r>
          </w:p>
          <w:p w14:paraId="380E1E4B" w14:textId="77777777" w:rsidR="00A54E85" w:rsidRDefault="00A54E85" w:rsidP="00A54E85">
            <w:pPr>
              <w:spacing w:line="276" w:lineRule="auto"/>
              <w:rPr>
                <w:rFonts w:ascii="Calibri" w:eastAsia="Calibri" w:hAnsi="Calibri" w:cs="Calibri"/>
              </w:rPr>
            </w:pPr>
            <w:r>
              <w:rPr>
                <w:rFonts w:ascii="Calibri" w:eastAsia="Calibri" w:hAnsi="Calibri" w:cs="Calibri"/>
              </w:rPr>
              <w:t>3 - 30 mm</w:t>
            </w:r>
          </w:p>
          <w:p w14:paraId="10AD04BB" w14:textId="77777777" w:rsidR="00A54E85" w:rsidRDefault="00A54E85" w:rsidP="00A54E85">
            <w:pPr>
              <w:spacing w:line="276" w:lineRule="auto"/>
              <w:rPr>
                <w:rFonts w:ascii="Calibri" w:eastAsia="Calibri" w:hAnsi="Calibri" w:cs="Calibri"/>
              </w:rPr>
            </w:pPr>
            <w:r>
              <w:rPr>
                <w:rFonts w:ascii="Calibri" w:eastAsia="Calibri" w:hAnsi="Calibri" w:cs="Calibri"/>
              </w:rPr>
              <w:t>&gt; 3 cm</w:t>
            </w:r>
          </w:p>
        </w:tc>
      </w:tr>
    </w:tbl>
    <w:p w14:paraId="55F8B1FE" w14:textId="16ED0512" w:rsidR="00A54E85" w:rsidRDefault="00A54E85" w:rsidP="00A54E85">
      <w:pPr>
        <w:widowControl w:val="0"/>
        <w:spacing w:line="276" w:lineRule="auto"/>
        <w:rPr>
          <w:i/>
          <w:iCs/>
        </w:rPr>
      </w:pPr>
      <w:r>
        <w:rPr>
          <w:noProof/>
        </w:rPr>
        <w:drawing>
          <wp:anchor distT="0" distB="0" distL="114300" distR="114300" simplePos="0" relativeHeight="251842560" behindDoc="0" locked="0" layoutInCell="1" hidden="0" allowOverlap="1" wp14:anchorId="68D2FFAD" wp14:editId="29BC32B8">
            <wp:simplePos x="0" y="0"/>
            <wp:positionH relativeFrom="margin">
              <wp:posOffset>-268301</wp:posOffset>
            </wp:positionH>
            <wp:positionV relativeFrom="paragraph">
              <wp:posOffset>184150</wp:posOffset>
            </wp:positionV>
            <wp:extent cx="153670" cy="137160"/>
            <wp:effectExtent l="0" t="0" r="0" b="0"/>
            <wp:wrapSquare wrapText="bothSides" distT="0" distB="0" distL="114300" distR="1143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p>
    <w:p w14:paraId="40D151B6" w14:textId="72A09E7D" w:rsidR="00A54E85" w:rsidRDefault="00A54E85" w:rsidP="00A54E85">
      <w:pPr>
        <w:widowControl w:val="0"/>
        <w:spacing w:line="276" w:lineRule="auto"/>
        <w:rPr>
          <w:color w:val="0070C0"/>
        </w:rPr>
      </w:pPr>
      <w:r w:rsidRPr="00A54E85">
        <w:rPr>
          <w:color w:val="0070C0"/>
        </w:rPr>
        <w:t>Pour les nodules ≤ 10 mm, la taille du nodule est la moyenne du grand axe et du petit axe perpendiculaire.</w:t>
      </w:r>
    </w:p>
    <w:p w14:paraId="3938974C" w14:textId="77777777" w:rsidR="00A54E85" w:rsidRDefault="00A54E85" w:rsidP="00A54E85">
      <w:pPr>
        <w:widowControl w:val="0"/>
        <w:spacing w:line="276" w:lineRule="auto"/>
        <w:rPr>
          <w:color w:val="0070C0"/>
        </w:rPr>
      </w:pPr>
      <w:r>
        <w:rPr>
          <w:color w:val="0070C0"/>
        </w:rPr>
        <w:t xml:space="preserve">Pour les nodules &gt; 10 mm ou les nodules de forme ronde, la mesure du plus grand diamètre suffit. </w:t>
      </w:r>
    </w:p>
    <w:p w14:paraId="4B1112D4" w14:textId="77777777" w:rsidR="00A54E85" w:rsidRDefault="00A54E85" w:rsidP="00A54E85">
      <w:pPr>
        <w:widowControl w:val="0"/>
        <w:spacing w:line="276" w:lineRule="auto"/>
        <w:ind w:left="708"/>
      </w:pPr>
    </w:p>
    <w:p w14:paraId="690C2F25" w14:textId="77777777" w:rsidR="00A54E85" w:rsidRDefault="00A54E85" w:rsidP="00A54E85">
      <w:pPr>
        <w:widowControl w:val="0"/>
        <w:spacing w:line="276" w:lineRule="auto"/>
      </w:pPr>
      <w:r>
        <w:t>De plus en plus, les nodules solides sont appréciés par leur volume (déterminé par mesure assistée par ordinateur par le radiologue), exprimé en mm</w:t>
      </w:r>
      <w:r>
        <w:rPr>
          <w:vertAlign w:val="superscript"/>
        </w:rPr>
        <w:t>3</w:t>
      </w:r>
      <w:r>
        <w:t xml:space="preserve">. </w:t>
      </w:r>
    </w:p>
    <w:p w14:paraId="1379A05F" w14:textId="77777777" w:rsidR="00A54E85" w:rsidRDefault="00A54E85" w:rsidP="00A54E85">
      <w:pPr>
        <w:widowControl w:val="0"/>
        <w:spacing w:line="276" w:lineRule="auto"/>
      </w:pPr>
      <w:r>
        <w:t>Elles sont à distinguer des opacités rondes extra-parenchymateuses développées à partir de la paroi thoracique ou de la plèvre.</w:t>
      </w:r>
    </w:p>
    <w:p w14:paraId="3C0A0EA4" w14:textId="77777777" w:rsidR="00A54E85" w:rsidRDefault="00A54E85" w:rsidP="00A54E85">
      <w:pPr>
        <w:widowControl w:val="0"/>
        <w:spacing w:line="276" w:lineRule="auto"/>
        <w:jc w:val="center"/>
      </w:pPr>
    </w:p>
    <w:p w14:paraId="68E070E8" w14:textId="77777777" w:rsidR="00A54E85" w:rsidRDefault="00A54E85" w:rsidP="00A54E85">
      <w:pPr>
        <w:pStyle w:val="lgende"/>
      </w:pPr>
      <w:r>
        <w:t>Figure 1 : Les 3 types de lésions nodulaires élémentaires.</w:t>
      </w:r>
    </w:p>
    <w:p w14:paraId="0558717E" w14:textId="77777777" w:rsidR="00A54E85" w:rsidRDefault="00A54E85" w:rsidP="00A54E85">
      <w:pPr>
        <w:widowControl w:val="0"/>
        <w:spacing w:line="276" w:lineRule="auto"/>
        <w:jc w:val="center"/>
      </w:pPr>
      <w:r>
        <w:rPr>
          <w:noProof/>
        </w:rPr>
        <w:drawing>
          <wp:inline distT="0" distB="0" distL="0" distR="0" wp14:anchorId="0EE1B2DD" wp14:editId="039776E5">
            <wp:extent cx="5422071" cy="2937636"/>
            <wp:effectExtent l="0" t="0" r="0" b="0"/>
            <wp:docPr id="26"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2"/>
                    <a:srcRect/>
                    <a:stretch>
                      <a:fillRect/>
                    </a:stretch>
                  </pic:blipFill>
                  <pic:spPr>
                    <a:xfrm>
                      <a:off x="0" y="0"/>
                      <a:ext cx="5422071" cy="2937636"/>
                    </a:xfrm>
                    <a:prstGeom prst="rect">
                      <a:avLst/>
                    </a:prstGeom>
                    <a:ln/>
                  </pic:spPr>
                </pic:pic>
              </a:graphicData>
            </a:graphic>
          </wp:inline>
        </w:drawing>
      </w:r>
    </w:p>
    <w:p w14:paraId="2D068FE5" w14:textId="77777777" w:rsidR="00A54E85" w:rsidRDefault="00A54E85" w:rsidP="00A54E85">
      <w:pPr>
        <w:widowControl w:val="0"/>
        <w:spacing w:line="276" w:lineRule="auto"/>
        <w:rPr>
          <w:b/>
          <w:bCs/>
          <w:i/>
          <w:iCs/>
        </w:rPr>
      </w:pPr>
    </w:p>
    <w:p w14:paraId="6FCB029B" w14:textId="369D5468" w:rsidR="00A54E85" w:rsidRDefault="00A54E85" w:rsidP="00A54E85">
      <w:pPr>
        <w:pStyle w:val="titredesous-partie"/>
        <w:numPr>
          <w:ilvl w:val="1"/>
          <w:numId w:val="37"/>
        </w:numPr>
      </w:pPr>
      <w:r>
        <w:rPr>
          <w:shd w:val="clear" w:color="auto" w:fill="auto"/>
        </w:rPr>
        <w:t xml:space="preserve">Circonstances de dÉcouverte  </w:t>
      </w:r>
    </w:p>
    <w:p w14:paraId="5A2FD9E9" w14:textId="77777777" w:rsidR="00A54E85" w:rsidRDefault="00A54E85" w:rsidP="00A54E85">
      <w:pPr>
        <w:widowControl w:val="0"/>
        <w:spacing w:line="276" w:lineRule="auto"/>
      </w:pPr>
      <w:r>
        <w:t>Les circonstances de découvertes sont variables :</w:t>
      </w:r>
    </w:p>
    <w:p w14:paraId="78C7A52B" w14:textId="77777777" w:rsidR="00A54E85" w:rsidRDefault="00A54E85" w:rsidP="00A54E85">
      <w:pPr>
        <w:widowControl w:val="0"/>
        <w:spacing w:line="276" w:lineRule="auto"/>
      </w:pPr>
      <w:r>
        <w:t>1. La découverte au cours d’un bilan médical :</w:t>
      </w:r>
    </w:p>
    <w:p w14:paraId="1E18678C" w14:textId="77777777" w:rsidR="00A54E85" w:rsidRDefault="00A54E85" w:rsidP="00A54E85">
      <w:pPr>
        <w:widowControl w:val="0"/>
        <w:spacing w:line="276" w:lineRule="auto"/>
      </w:pPr>
      <w:r>
        <w:lastRenderedPageBreak/>
        <w:t xml:space="preserve">- Soit lors du bilan d’une maladie respiratoire (suite d’une pneumopathie, bilan de BPCO, bilan de toux, bilan d’exposition à l’amiante). </w:t>
      </w:r>
    </w:p>
    <w:p w14:paraId="29492254" w14:textId="77777777" w:rsidR="00A54E85" w:rsidRDefault="00A54E85" w:rsidP="00A54E85">
      <w:pPr>
        <w:widowControl w:val="0"/>
        <w:spacing w:line="276" w:lineRule="auto"/>
      </w:pPr>
      <w:r>
        <w:t xml:space="preserve">- Soit dans le cadre du bilan d’une autre maladie, comme certains bilans d’extension de cancer, ou de certaines maladies de système. Dans les deux cas, la découverte d’opacité doit être interprétée à l’aune du terrain (tabagisme, exposition professionnelle…).  </w:t>
      </w:r>
    </w:p>
    <w:p w14:paraId="75B6BA64" w14:textId="77777777" w:rsidR="00A54E85" w:rsidRDefault="00A54E85" w:rsidP="00A54E85">
      <w:pPr>
        <w:widowControl w:val="0"/>
        <w:spacing w:line="276" w:lineRule="auto"/>
      </w:pPr>
    </w:p>
    <w:p w14:paraId="7E199246" w14:textId="77777777" w:rsidR="00A54E85" w:rsidRDefault="00A54E85" w:rsidP="00A54E85">
      <w:pPr>
        <w:widowControl w:val="0"/>
        <w:spacing w:line="276" w:lineRule="auto"/>
      </w:pPr>
      <w:r>
        <w:t>2. La découverte fortuite ou dans le cadre d’un dépistage chez un sujet asymptomatique :</w:t>
      </w:r>
    </w:p>
    <w:p w14:paraId="360D82B0" w14:textId="77777777" w:rsidR="00A54E85" w:rsidRDefault="00A54E85" w:rsidP="00A54E85">
      <w:pPr>
        <w:widowControl w:val="0"/>
        <w:spacing w:line="276" w:lineRule="auto"/>
      </w:pPr>
      <w:r>
        <w:t>- Au décours d’un examen pratiqué pour une autre raison : angioscanner des Troncs Supra-Aortique, Scanner abdominal…</w:t>
      </w:r>
    </w:p>
    <w:p w14:paraId="3F5B6C22" w14:textId="77777777" w:rsidR="00A54E85" w:rsidRDefault="00A54E85" w:rsidP="00A54E85">
      <w:pPr>
        <w:widowControl w:val="0"/>
        <w:spacing w:line="276" w:lineRule="auto"/>
      </w:pPr>
      <w:r>
        <w:t xml:space="preserve">- Au décours d’un examen de dépistage opportuniste pratiqué chez un sujet éligible, ou dans le cadre du programme de dépistage national (IMPULSION). </w:t>
      </w:r>
    </w:p>
    <w:p w14:paraId="31503828" w14:textId="77777777" w:rsidR="00A54E85" w:rsidRDefault="00A54E85" w:rsidP="00A54E85">
      <w:pPr>
        <w:widowControl w:val="0"/>
        <w:spacing w:line="276" w:lineRule="auto"/>
      </w:pPr>
    </w:p>
    <w:tbl>
      <w:tblPr>
        <w:tblW w:w="9067" w:type="dxa"/>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9067"/>
      </w:tblGrid>
      <w:tr w:rsidR="00A54E85" w14:paraId="05DD15AE" w14:textId="77777777" w:rsidTr="00A54E85">
        <w:trPr>
          <w:trHeight w:val="54"/>
        </w:trPr>
        <w:tc>
          <w:tcPr>
            <w:tcW w:w="9067" w:type="dxa"/>
            <w:vAlign w:val="center"/>
          </w:tcPr>
          <w:p w14:paraId="6D872E45" w14:textId="77777777" w:rsidR="00A54E85" w:rsidRDefault="00A54E85" w:rsidP="00A54E85">
            <w:pPr>
              <w:spacing w:line="276" w:lineRule="auto"/>
              <w:rPr>
                <w:sz w:val="6"/>
                <w:szCs w:val="6"/>
              </w:rPr>
            </w:pPr>
            <w:r>
              <w:t xml:space="preserve">On notera ici que la radiographie thoracique n’est pas adaptée pour la découverte et la description des nodules et micronodules. </w:t>
            </w:r>
            <w:r>
              <w:rPr>
                <w:noProof/>
              </w:rPr>
              <w:drawing>
                <wp:anchor distT="0" distB="0" distL="114300" distR="114300" simplePos="0" relativeHeight="251843584" behindDoc="0" locked="0" layoutInCell="1" hidden="0" allowOverlap="1" wp14:anchorId="64B8ED6B" wp14:editId="2579093D">
                  <wp:simplePos x="0" y="0"/>
                  <wp:positionH relativeFrom="column">
                    <wp:posOffset>-641349</wp:posOffset>
                  </wp:positionH>
                  <wp:positionV relativeFrom="paragraph">
                    <wp:posOffset>33020</wp:posOffset>
                  </wp:positionV>
                  <wp:extent cx="548640" cy="660400"/>
                  <wp:effectExtent l="0" t="0" r="0" b="0"/>
                  <wp:wrapSquare wrapText="bothSides" distT="0" distB="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48640" cy="660400"/>
                          </a:xfrm>
                          <a:prstGeom prst="rect">
                            <a:avLst/>
                          </a:prstGeom>
                          <a:ln/>
                        </pic:spPr>
                      </pic:pic>
                    </a:graphicData>
                  </a:graphic>
                </wp:anchor>
              </w:drawing>
            </w:r>
          </w:p>
          <w:p w14:paraId="760701CD" w14:textId="77777777" w:rsidR="00A54E85" w:rsidRDefault="00A54E85" w:rsidP="00A54E85">
            <w:pPr>
              <w:widowControl w:val="0"/>
              <w:spacing w:line="276" w:lineRule="auto"/>
            </w:pPr>
            <w:r>
              <w:t xml:space="preserve">De même, la radiographie thoracique n’a aucune place dans le dépistage des cancers pulmonaires. </w:t>
            </w:r>
          </w:p>
        </w:tc>
      </w:tr>
    </w:tbl>
    <w:p w14:paraId="0D955F99" w14:textId="28E7F0BF" w:rsidR="00A54E85" w:rsidRDefault="00A54E85" w:rsidP="00A54E85">
      <w:pPr>
        <w:widowControl w:val="0"/>
        <w:spacing w:line="276" w:lineRule="auto"/>
      </w:pPr>
    </w:p>
    <w:p w14:paraId="36812A94" w14:textId="650B8FE6" w:rsidR="00A54E85" w:rsidRDefault="00A54E85" w:rsidP="00A54E85">
      <w:pPr>
        <w:widowControl w:val="0"/>
        <w:spacing w:line="276" w:lineRule="auto"/>
        <w:rPr>
          <w:color w:val="0070C0"/>
        </w:rPr>
      </w:pPr>
      <w:r>
        <w:rPr>
          <w:noProof/>
        </w:rPr>
        <w:drawing>
          <wp:anchor distT="0" distB="0" distL="114300" distR="114300" simplePos="0" relativeHeight="251844608" behindDoc="0" locked="0" layoutInCell="1" hidden="0" allowOverlap="1" wp14:anchorId="2F641F69" wp14:editId="21D5E153">
            <wp:simplePos x="0" y="0"/>
            <wp:positionH relativeFrom="leftMargin">
              <wp:posOffset>456869</wp:posOffset>
            </wp:positionH>
            <wp:positionV relativeFrom="paragraph">
              <wp:posOffset>1905</wp:posOffset>
            </wp:positionV>
            <wp:extent cx="153670" cy="137160"/>
            <wp:effectExtent l="0" t="0" r="0" b="0"/>
            <wp:wrapSquare wrapText="bothSides" distT="0" distB="0" distL="114300" distR="114300"/>
            <wp:docPr id="2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Pr>
          <w:color w:val="0070C0"/>
        </w:rPr>
        <w:t xml:space="preserve">Dépistage du cancer du poumon (CP) : </w:t>
      </w:r>
    </w:p>
    <w:p w14:paraId="144B39DF" w14:textId="77777777" w:rsidR="00A54E85" w:rsidRDefault="00A54E85" w:rsidP="00A54E85">
      <w:pPr>
        <w:spacing w:line="276" w:lineRule="auto"/>
        <w:rPr>
          <w:i/>
          <w:iCs/>
          <w:color w:val="92D050"/>
        </w:rPr>
      </w:pPr>
      <w:r>
        <w:rPr>
          <w:color w:val="0070C0"/>
        </w:rPr>
        <w:t>- Le programme IMPULSION, lancé par l’Institut national du cancer en 2026, vise à tester la faisabilité d’un dépistage organisé du cancer du poumon en France</w:t>
      </w:r>
      <w:r>
        <w:rPr>
          <w:i/>
          <w:iCs/>
          <w:color w:val="92D050"/>
        </w:rPr>
        <w:t xml:space="preserve">. </w:t>
      </w:r>
    </w:p>
    <w:p w14:paraId="24F7EC24" w14:textId="77777777" w:rsidR="00A54E85" w:rsidRDefault="00A54E85" w:rsidP="00A54E85">
      <w:pPr>
        <w:spacing w:line="276" w:lineRule="auto"/>
        <w:rPr>
          <w:color w:val="0070C0"/>
        </w:rPr>
      </w:pPr>
      <w:r>
        <w:rPr>
          <w:color w:val="0070C0"/>
        </w:rPr>
        <w:t>- Il concerne des sujets âgés de 50 à 74 ans, fumeurs ou ex-fumeurs, avec une consommation tabagique cumulée d’au moins 20 paquets-années.</w:t>
      </w:r>
    </w:p>
    <w:p w14:paraId="562AE988" w14:textId="77777777" w:rsidR="00A54E85" w:rsidRDefault="00A54E85" w:rsidP="00A54E85">
      <w:pPr>
        <w:spacing w:line="276" w:lineRule="auto"/>
        <w:rPr>
          <w:color w:val="00B050"/>
        </w:rPr>
      </w:pPr>
      <w:r>
        <w:rPr>
          <w:color w:val="00B050"/>
        </w:rPr>
        <w:t>Ce programme pilote, qui débutera en avril 2026, inclura 20 000 participants. Le dépistage repose sur un scanner thoracique à faible dose et s’accompagne d’une proposition de sevrage tabagique. Les scanners seront pris en charge à 100 % par l’Assurance maladie. Ce programme est une première étape vers un dépistage généralisé du cancer du poumon en France, visant à détecter le cancer à un stade précoce et à réduire la mortalité liée à cette maladie.</w:t>
      </w:r>
      <w:r>
        <w:rPr>
          <w:noProof/>
        </w:rPr>
        <w:drawing>
          <wp:anchor distT="0" distB="0" distL="114300" distR="114300" simplePos="0" relativeHeight="251845632" behindDoc="0" locked="0" layoutInCell="1" hidden="0" allowOverlap="1" wp14:anchorId="715DADCE" wp14:editId="31E1BA4A">
            <wp:simplePos x="0" y="0"/>
            <wp:positionH relativeFrom="column">
              <wp:posOffset>-230200</wp:posOffset>
            </wp:positionH>
            <wp:positionV relativeFrom="paragraph">
              <wp:posOffset>635</wp:posOffset>
            </wp:positionV>
            <wp:extent cx="136444" cy="138458"/>
            <wp:effectExtent l="0" t="0" r="0" b="0"/>
            <wp:wrapSquare wrapText="bothSides" distT="0" distB="0" distL="114300" distR="11430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136444" cy="138458"/>
                    </a:xfrm>
                    <a:prstGeom prst="rect">
                      <a:avLst/>
                    </a:prstGeom>
                    <a:ln/>
                  </pic:spPr>
                </pic:pic>
              </a:graphicData>
            </a:graphic>
          </wp:anchor>
        </w:drawing>
      </w:r>
    </w:p>
    <w:p w14:paraId="474DF90C" w14:textId="77777777" w:rsidR="00A54E85" w:rsidRDefault="00A54E85" w:rsidP="00A54E85">
      <w:pPr>
        <w:widowControl w:val="0"/>
        <w:spacing w:line="276" w:lineRule="auto"/>
        <w:rPr>
          <w:b/>
          <w:bCs/>
        </w:rPr>
      </w:pPr>
    </w:p>
    <w:p w14:paraId="155817C1" w14:textId="36E17480" w:rsidR="00A54E85" w:rsidRDefault="00A54E85" w:rsidP="00A54E85">
      <w:pPr>
        <w:pStyle w:val="titredesous-partie"/>
        <w:numPr>
          <w:ilvl w:val="1"/>
          <w:numId w:val="37"/>
        </w:numPr>
      </w:pPr>
      <w:r>
        <w:rPr>
          <w:shd w:val="clear" w:color="auto" w:fill="auto"/>
        </w:rPr>
        <w:t xml:space="preserve">Diagnostic étiologique </w:t>
      </w:r>
    </w:p>
    <w:p w14:paraId="6F940B25" w14:textId="77777777" w:rsidR="00A54E85" w:rsidRDefault="00A54E85" w:rsidP="00A54E85">
      <w:pPr>
        <w:widowControl w:val="0"/>
        <w:spacing w:line="276" w:lineRule="auto"/>
      </w:pPr>
      <w:r>
        <w:t xml:space="preserve">La démarche diagnostique dépend essentiellement du terrain, des facteurs de risque (notamment le tabagisme), de la taille de la lésion, de sa morphologie TDM, de son évolution et de son activité métabolique à l’imagerie en tomographie à émission de positons (TEP-TDM au 18FDG) (item 309). </w:t>
      </w:r>
    </w:p>
    <w:p w14:paraId="1D7C87F3" w14:textId="77777777" w:rsidR="00A54E85" w:rsidRDefault="00A54E85" w:rsidP="00A54E85">
      <w:pPr>
        <w:widowControl w:val="0"/>
        <w:spacing w:line="276" w:lineRule="auto"/>
      </w:pPr>
    </w:p>
    <w:p w14:paraId="4D783258" w14:textId="77777777" w:rsidR="00A54E85" w:rsidRDefault="00A54E85" w:rsidP="00A54E85">
      <w:pPr>
        <w:widowControl w:val="0"/>
        <w:spacing w:line="276" w:lineRule="auto"/>
      </w:pPr>
      <w:r>
        <w:t xml:space="preserve">L’imagerie TEP-FDG a profondément modifié l’arbre décisionnel devant un nodule pulmonaire, avec, en cas de positivité, un rapport de vraisemblance en faveur du cancer de l’ordre de 4 (rapport entre vrais et faux positifs). </w:t>
      </w:r>
    </w:p>
    <w:p w14:paraId="1730353C" w14:textId="5D3E820F" w:rsidR="00A54E85" w:rsidRDefault="00A54E85" w:rsidP="00A54E85">
      <w:pPr>
        <w:widowControl w:val="0"/>
        <w:spacing w:line="276" w:lineRule="auto"/>
        <w:rPr>
          <w:i/>
          <w:iCs/>
        </w:rPr>
      </w:pPr>
    </w:p>
    <w:p w14:paraId="2F76FB6A" w14:textId="42105264" w:rsidR="00A54E85" w:rsidRDefault="00A54E85" w:rsidP="00A54E85">
      <w:pPr>
        <w:widowControl w:val="0"/>
        <w:spacing w:line="276" w:lineRule="auto"/>
        <w:rPr>
          <w:color w:val="0070C0"/>
        </w:rPr>
      </w:pPr>
      <w:r>
        <w:rPr>
          <w:noProof/>
        </w:rPr>
        <w:drawing>
          <wp:anchor distT="0" distB="0" distL="114300" distR="114300" simplePos="0" relativeHeight="251846656" behindDoc="0" locked="0" layoutInCell="1" hidden="0" allowOverlap="1" wp14:anchorId="3BB46580" wp14:editId="2D0C9D4A">
            <wp:simplePos x="0" y="0"/>
            <wp:positionH relativeFrom="column">
              <wp:posOffset>-263525</wp:posOffset>
            </wp:positionH>
            <wp:positionV relativeFrom="paragraph">
              <wp:posOffset>1270</wp:posOffset>
            </wp:positionV>
            <wp:extent cx="153670" cy="137160"/>
            <wp:effectExtent l="0" t="0" r="0" b="0"/>
            <wp:wrapSquare wrapText="bothSides" distT="0" distB="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Pr>
          <w:color w:val="0070C0"/>
        </w:rPr>
        <w:t>Des faux négatifs sont possibles lorsque la taille du nodule est inférieure à 1 cm, et lorsqu’il s’agit d’un nodule en verre dépoli pur.</w:t>
      </w:r>
    </w:p>
    <w:p w14:paraId="0297E954" w14:textId="77777777" w:rsidR="00A54E85" w:rsidRDefault="00A54E85" w:rsidP="00A54E85">
      <w:pPr>
        <w:widowControl w:val="0"/>
        <w:spacing w:line="276" w:lineRule="auto"/>
        <w:rPr>
          <w:color w:val="0070C0"/>
        </w:rPr>
      </w:pPr>
      <w:r>
        <w:rPr>
          <w:color w:val="0070C0"/>
        </w:rPr>
        <w:t xml:space="preserve">Inversement, des faux positifs sont rencontrés en rapport avec des processus inflammatoires granulomateux, ou infectieux. </w:t>
      </w:r>
    </w:p>
    <w:p w14:paraId="18DEEA80" w14:textId="77777777" w:rsidR="00A54E85" w:rsidRDefault="00A54E85" w:rsidP="00A54E85">
      <w:pPr>
        <w:widowControl w:val="0"/>
        <w:spacing w:line="276" w:lineRule="auto"/>
        <w:rPr>
          <w:color w:val="0070C0"/>
        </w:rPr>
      </w:pPr>
      <w:r>
        <w:rPr>
          <w:color w:val="0070C0"/>
        </w:rPr>
        <w:t>En France, outre les foyers infectieux chroniques (actinomycose, nocardiose), les mycobactérioses, les aspergilloses et la sarcoïdose sont générateurs de faux positifs.</w:t>
      </w:r>
    </w:p>
    <w:p w14:paraId="05817F98" w14:textId="77777777" w:rsidR="0010133D" w:rsidRDefault="0010133D" w:rsidP="00A54E85">
      <w:pPr>
        <w:widowControl w:val="0"/>
        <w:spacing w:line="276" w:lineRule="auto"/>
        <w:rPr>
          <w:color w:val="0070C0"/>
        </w:rPr>
      </w:pPr>
    </w:p>
    <w:p w14:paraId="6726C366" w14:textId="77777777" w:rsidR="0010133D" w:rsidRDefault="0010133D" w:rsidP="00A54E85">
      <w:pPr>
        <w:widowControl w:val="0"/>
        <w:spacing w:line="276" w:lineRule="auto"/>
        <w:rPr>
          <w:color w:val="0070C0"/>
        </w:rPr>
      </w:pPr>
    </w:p>
    <w:p w14:paraId="3AD6DFB5" w14:textId="77777777" w:rsidR="00A54E85" w:rsidRDefault="00A54E85" w:rsidP="00A54E85">
      <w:pPr>
        <w:widowControl w:val="0"/>
        <w:spacing w:line="276" w:lineRule="auto"/>
        <w:rPr>
          <w:color w:val="0070C0"/>
        </w:rPr>
      </w:pPr>
    </w:p>
    <w:p w14:paraId="6A729F44" w14:textId="77777777" w:rsidR="00A54E85" w:rsidRPr="00A54E85" w:rsidRDefault="00A54E85" w:rsidP="00A54E85">
      <w:pPr>
        <w:pStyle w:val="Paragraphedeliste"/>
        <w:numPr>
          <w:ilvl w:val="0"/>
          <w:numId w:val="4"/>
        </w:numPr>
        <w:pBdr>
          <w:top w:val="nil"/>
          <w:left w:val="nil"/>
          <w:bottom w:val="nil"/>
          <w:right w:val="nil"/>
          <w:between w:val="nil"/>
        </w:pBdr>
        <w:spacing w:after="240"/>
        <w:outlineLvl w:val="3"/>
        <w:rPr>
          <w:b/>
          <w:bCs/>
          <w:vanish/>
        </w:rPr>
      </w:pPr>
    </w:p>
    <w:p w14:paraId="36495209" w14:textId="77777777" w:rsidR="00A54E85" w:rsidRPr="00A54E85" w:rsidRDefault="00A54E85" w:rsidP="00A54E85">
      <w:pPr>
        <w:pStyle w:val="Paragraphedeliste"/>
        <w:numPr>
          <w:ilvl w:val="1"/>
          <w:numId w:val="4"/>
        </w:numPr>
        <w:pBdr>
          <w:top w:val="nil"/>
          <w:left w:val="nil"/>
          <w:bottom w:val="nil"/>
          <w:right w:val="nil"/>
          <w:between w:val="nil"/>
        </w:pBdr>
        <w:spacing w:after="240"/>
        <w:outlineLvl w:val="3"/>
        <w:rPr>
          <w:b/>
          <w:bCs/>
          <w:vanish/>
        </w:rPr>
      </w:pPr>
    </w:p>
    <w:p w14:paraId="77042E14" w14:textId="77777777" w:rsidR="00A54E85" w:rsidRPr="00A54E85" w:rsidRDefault="00A54E85" w:rsidP="00A54E85">
      <w:pPr>
        <w:pStyle w:val="Paragraphedeliste"/>
        <w:numPr>
          <w:ilvl w:val="1"/>
          <w:numId w:val="4"/>
        </w:numPr>
        <w:pBdr>
          <w:top w:val="nil"/>
          <w:left w:val="nil"/>
          <w:bottom w:val="nil"/>
          <w:right w:val="nil"/>
          <w:between w:val="nil"/>
        </w:pBdr>
        <w:spacing w:after="240"/>
        <w:outlineLvl w:val="3"/>
        <w:rPr>
          <w:b/>
          <w:bCs/>
          <w:vanish/>
        </w:rPr>
      </w:pPr>
    </w:p>
    <w:p w14:paraId="27B3890A" w14:textId="77777777" w:rsidR="00A54E85" w:rsidRPr="00A54E85" w:rsidRDefault="00A54E85" w:rsidP="00A54E85">
      <w:pPr>
        <w:pStyle w:val="Paragraphedeliste"/>
        <w:numPr>
          <w:ilvl w:val="1"/>
          <w:numId w:val="4"/>
        </w:numPr>
        <w:pBdr>
          <w:top w:val="nil"/>
          <w:left w:val="nil"/>
          <w:bottom w:val="nil"/>
          <w:right w:val="nil"/>
          <w:between w:val="nil"/>
        </w:pBdr>
        <w:spacing w:after="240"/>
        <w:outlineLvl w:val="3"/>
        <w:rPr>
          <w:b/>
          <w:bCs/>
          <w:vanish/>
        </w:rPr>
      </w:pPr>
    </w:p>
    <w:p w14:paraId="6050FDDD" w14:textId="7668A5F4" w:rsidR="00A54E85" w:rsidRDefault="00A54E85" w:rsidP="00A54E85">
      <w:pPr>
        <w:pStyle w:val="Titre4"/>
      </w:pPr>
      <w:r>
        <w:t>Orientation radio-clinique en faveur de la bénignité ou de la malignité</w:t>
      </w:r>
    </w:p>
    <w:p w14:paraId="1E2802B2" w14:textId="77777777" w:rsidR="00A54E85" w:rsidRDefault="00A54E85" w:rsidP="00A54E85">
      <w:pPr>
        <w:pStyle w:val="lgende"/>
      </w:pPr>
      <w:r>
        <w:t>Tableau 1 : Critères de risque de malignité (adapté des recommandations de la Fleischner Society).</w:t>
      </w:r>
    </w:p>
    <w:tbl>
      <w:tblPr>
        <w:tblW w:w="9072" w:type="dxa"/>
        <w:jc w:val="center"/>
        <w:tblBorders>
          <w:top w:val="single" w:sz="4" w:space="0" w:color="747474" w:themeColor="background2" w:themeShade="80"/>
          <w:left w:val="single" w:sz="4" w:space="0" w:color="747474" w:themeColor="background2" w:themeShade="80"/>
          <w:bottom w:val="single" w:sz="4" w:space="0" w:color="747474" w:themeColor="background2" w:themeShade="80"/>
          <w:right w:val="single" w:sz="4" w:space="0" w:color="747474" w:themeColor="background2" w:themeShade="80"/>
          <w:insideH w:val="single" w:sz="4" w:space="0" w:color="747474" w:themeColor="background2" w:themeShade="80"/>
          <w:insideV w:val="single" w:sz="4" w:space="0" w:color="747474" w:themeColor="background2" w:themeShade="80"/>
        </w:tblBorders>
        <w:tblLayout w:type="fixed"/>
        <w:tblLook w:val="0400" w:firstRow="0" w:lastRow="0" w:firstColumn="0" w:lastColumn="0" w:noHBand="0" w:noVBand="1"/>
      </w:tblPr>
      <w:tblGrid>
        <w:gridCol w:w="1326"/>
        <w:gridCol w:w="4198"/>
        <w:gridCol w:w="3548"/>
      </w:tblGrid>
      <w:tr w:rsidR="00A54E85" w14:paraId="17F2BF02" w14:textId="77777777" w:rsidTr="00A54E85">
        <w:trPr>
          <w:jc w:val="center"/>
        </w:trPr>
        <w:tc>
          <w:tcPr>
            <w:tcW w:w="1326" w:type="dxa"/>
            <w:shd w:val="clear" w:color="auto" w:fill="D1D1D1" w:themeFill="background2" w:themeFillShade="E6"/>
            <w:vAlign w:val="center"/>
          </w:tcPr>
          <w:p w14:paraId="7FFC205B" w14:textId="77777777" w:rsidR="00A54E85" w:rsidRPr="00A54E85" w:rsidRDefault="00A54E85" w:rsidP="00A54E85">
            <w:pPr>
              <w:spacing w:line="276" w:lineRule="auto"/>
              <w:rPr>
                <w:rFonts w:ascii="Calibri" w:eastAsia="Calibri" w:hAnsi="Calibri" w:cs="Calibri"/>
                <w:color w:val="000000" w:themeColor="text1"/>
              </w:rPr>
            </w:pPr>
          </w:p>
        </w:tc>
        <w:tc>
          <w:tcPr>
            <w:tcW w:w="4198" w:type="dxa"/>
            <w:shd w:val="clear" w:color="auto" w:fill="D1D1D1" w:themeFill="background2" w:themeFillShade="E6"/>
            <w:vAlign w:val="center"/>
          </w:tcPr>
          <w:p w14:paraId="06723E05" w14:textId="77777777" w:rsidR="00A54E85" w:rsidRPr="00A54E85" w:rsidRDefault="00A54E85" w:rsidP="00A54E85">
            <w:pPr>
              <w:spacing w:line="276"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Faible Risque</w:t>
            </w:r>
          </w:p>
        </w:tc>
        <w:tc>
          <w:tcPr>
            <w:tcW w:w="3548" w:type="dxa"/>
            <w:shd w:val="clear" w:color="auto" w:fill="D1D1D1" w:themeFill="background2" w:themeFillShade="E6"/>
            <w:vAlign w:val="center"/>
          </w:tcPr>
          <w:p w14:paraId="67C1FC23" w14:textId="77777777" w:rsidR="00A54E85" w:rsidRPr="00A54E85" w:rsidRDefault="00A54E85" w:rsidP="00A54E85">
            <w:pPr>
              <w:spacing w:line="276" w:lineRule="auto"/>
              <w:jc w:val="center"/>
              <w:rPr>
                <w:rFonts w:ascii="Calibri" w:eastAsia="Calibri" w:hAnsi="Calibri" w:cs="Calibri"/>
                <w:b/>
                <w:bCs/>
                <w:color w:val="000000" w:themeColor="text1"/>
              </w:rPr>
            </w:pPr>
            <w:r w:rsidRPr="00A54E85">
              <w:rPr>
                <w:rFonts w:ascii="Calibri" w:eastAsia="Calibri" w:hAnsi="Calibri" w:cs="Calibri"/>
                <w:b/>
                <w:bCs/>
                <w:color w:val="000000" w:themeColor="text1"/>
              </w:rPr>
              <w:t>Haut Risque</w:t>
            </w:r>
          </w:p>
        </w:tc>
      </w:tr>
      <w:tr w:rsidR="00A54E85" w14:paraId="373CF10F" w14:textId="77777777" w:rsidTr="00A54E85">
        <w:trPr>
          <w:trHeight w:val="339"/>
          <w:jc w:val="center"/>
        </w:trPr>
        <w:tc>
          <w:tcPr>
            <w:tcW w:w="1326" w:type="dxa"/>
            <w:shd w:val="clear" w:color="auto" w:fill="F2F2F2"/>
            <w:vAlign w:val="center"/>
          </w:tcPr>
          <w:p w14:paraId="56965F9B"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Clinique*</w:t>
            </w:r>
          </w:p>
        </w:tc>
        <w:tc>
          <w:tcPr>
            <w:tcW w:w="4198" w:type="dxa"/>
            <w:shd w:val="clear" w:color="auto" w:fill="F2F2F2"/>
            <w:vAlign w:val="center"/>
          </w:tcPr>
          <w:p w14:paraId="61DE99C5"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Jeune âge</w:t>
            </w:r>
          </w:p>
          <w:p w14:paraId="33BDF9F4"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Non/faiblement fumeur</w:t>
            </w:r>
          </w:p>
        </w:tc>
        <w:tc>
          <w:tcPr>
            <w:tcW w:w="3548" w:type="dxa"/>
            <w:shd w:val="clear" w:color="auto" w:fill="F2F2F2"/>
            <w:vAlign w:val="center"/>
          </w:tcPr>
          <w:p w14:paraId="1A2AC1E3"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Plus âgé</w:t>
            </w:r>
          </w:p>
          <w:p w14:paraId="755CD670"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Fumeur</w:t>
            </w:r>
          </w:p>
          <w:p w14:paraId="059B70A4"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ATCD de cancer</w:t>
            </w:r>
          </w:p>
        </w:tc>
      </w:tr>
      <w:tr w:rsidR="00A54E85" w14:paraId="14AC2468" w14:textId="77777777" w:rsidTr="00A54E85">
        <w:trPr>
          <w:trHeight w:val="339"/>
          <w:jc w:val="center"/>
        </w:trPr>
        <w:tc>
          <w:tcPr>
            <w:tcW w:w="1326" w:type="dxa"/>
            <w:shd w:val="clear" w:color="auto" w:fill="FFFFFF"/>
            <w:vAlign w:val="center"/>
          </w:tcPr>
          <w:p w14:paraId="37F8B01B"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Nodule* (scanner)</w:t>
            </w:r>
          </w:p>
        </w:tc>
        <w:tc>
          <w:tcPr>
            <w:tcW w:w="4198" w:type="dxa"/>
            <w:shd w:val="clear" w:color="auto" w:fill="FFFFFF"/>
            <w:vAlign w:val="center"/>
          </w:tcPr>
          <w:p w14:paraId="5A88C59D"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Petite taille</w:t>
            </w:r>
          </w:p>
          <w:p w14:paraId="4C11EEA7"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Contours réguliers</w:t>
            </w:r>
          </w:p>
          <w:p w14:paraId="66FD559B"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Hors lobes supérieurs</w:t>
            </w:r>
          </w:p>
        </w:tc>
        <w:tc>
          <w:tcPr>
            <w:tcW w:w="3548" w:type="dxa"/>
            <w:shd w:val="clear" w:color="auto" w:fill="FFFFFF"/>
            <w:vAlign w:val="center"/>
          </w:tcPr>
          <w:p w14:paraId="1FCA0C74"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Taille plus élevée</w:t>
            </w:r>
          </w:p>
          <w:p w14:paraId="254C7C42"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Contours irréguliers, spiculés, attirant les structures de voisinage</w:t>
            </w:r>
          </w:p>
          <w:p w14:paraId="0247B9B6"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Localisation lobaire supérieure</w:t>
            </w:r>
          </w:p>
        </w:tc>
      </w:tr>
      <w:tr w:rsidR="00A54E85" w14:paraId="5FA4130A" w14:textId="77777777" w:rsidTr="00A54E85">
        <w:trPr>
          <w:trHeight w:val="339"/>
          <w:jc w:val="center"/>
        </w:trPr>
        <w:tc>
          <w:tcPr>
            <w:tcW w:w="1326" w:type="dxa"/>
            <w:shd w:val="clear" w:color="auto" w:fill="F2F2F2"/>
            <w:vAlign w:val="center"/>
          </w:tcPr>
          <w:p w14:paraId="2AFD607C"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TEP</w:t>
            </w:r>
          </w:p>
        </w:tc>
        <w:tc>
          <w:tcPr>
            <w:tcW w:w="4198" w:type="dxa"/>
            <w:shd w:val="clear" w:color="auto" w:fill="F2F2F2"/>
            <w:vAlign w:val="center"/>
          </w:tcPr>
          <w:p w14:paraId="556B3017"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Fixation faible ou nulle</w:t>
            </w:r>
          </w:p>
        </w:tc>
        <w:tc>
          <w:tcPr>
            <w:tcW w:w="3548" w:type="dxa"/>
            <w:shd w:val="clear" w:color="auto" w:fill="F2F2F2"/>
            <w:vAlign w:val="center"/>
          </w:tcPr>
          <w:p w14:paraId="0C20C14B"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Fixation élevée</w:t>
            </w:r>
          </w:p>
        </w:tc>
      </w:tr>
      <w:tr w:rsidR="00A54E85" w14:paraId="6C236451" w14:textId="77777777" w:rsidTr="00A54E85">
        <w:trPr>
          <w:trHeight w:val="339"/>
          <w:jc w:val="center"/>
        </w:trPr>
        <w:tc>
          <w:tcPr>
            <w:tcW w:w="1326" w:type="dxa"/>
            <w:shd w:val="clear" w:color="auto" w:fill="FFFFFF"/>
            <w:vAlign w:val="center"/>
          </w:tcPr>
          <w:p w14:paraId="347B5AB3"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Évolutivité (scanner)</w:t>
            </w:r>
          </w:p>
        </w:tc>
        <w:tc>
          <w:tcPr>
            <w:tcW w:w="4198" w:type="dxa"/>
            <w:shd w:val="clear" w:color="auto" w:fill="FFFFFF"/>
            <w:vAlign w:val="center"/>
          </w:tcPr>
          <w:p w14:paraId="7B53465D"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(Quasi) disparition</w:t>
            </w:r>
          </w:p>
          <w:p w14:paraId="44BF469C"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 xml:space="preserve">Diminution en taille </w:t>
            </w:r>
          </w:p>
          <w:p w14:paraId="7904AD01"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Absence d’évolution à 2 ans (solides) ou 3-5 ans (verre dépolis)</w:t>
            </w:r>
          </w:p>
        </w:tc>
        <w:tc>
          <w:tcPr>
            <w:tcW w:w="3548" w:type="dxa"/>
            <w:shd w:val="clear" w:color="auto" w:fill="FFFFFF"/>
            <w:vAlign w:val="center"/>
          </w:tcPr>
          <w:p w14:paraId="436DF381" w14:textId="77777777" w:rsidR="00A54E85" w:rsidRDefault="00A54E85" w:rsidP="00A54E85">
            <w:pPr>
              <w:spacing w:line="276" w:lineRule="auto"/>
              <w:jc w:val="center"/>
              <w:rPr>
                <w:rFonts w:ascii="Calibri" w:eastAsia="Calibri" w:hAnsi="Calibri" w:cs="Calibri"/>
              </w:rPr>
            </w:pPr>
            <w:r>
              <w:rPr>
                <w:rFonts w:ascii="Calibri" w:eastAsia="Calibri" w:hAnsi="Calibri" w:cs="Calibri"/>
              </w:rPr>
              <w:t>Progression en taille ou en volume</w:t>
            </w:r>
          </w:p>
        </w:tc>
      </w:tr>
    </w:tbl>
    <w:p w14:paraId="24CC6A11" w14:textId="77777777" w:rsidR="00A54E85" w:rsidRDefault="00A54E85" w:rsidP="00A54E85">
      <w:pPr>
        <w:pStyle w:val="lgende"/>
      </w:pPr>
      <w:r>
        <w:t>* Pas de valeur seuil (jugement clinique).</w:t>
      </w:r>
    </w:p>
    <w:p w14:paraId="510DE4B8" w14:textId="77777777" w:rsidR="00A54E85" w:rsidRDefault="00A54E85" w:rsidP="00A54E85">
      <w:pPr>
        <w:pStyle w:val="lgende"/>
      </w:pPr>
      <w:r>
        <w:t>Aucun argument ne peut être formel. Seule l’histologie permet d’avoir un diagnostic de certitude.</w:t>
      </w:r>
    </w:p>
    <w:p w14:paraId="68DF3E26" w14:textId="77777777" w:rsidR="0010133D" w:rsidRDefault="0010133D" w:rsidP="00A54E85">
      <w:pPr>
        <w:pStyle w:val="lgende"/>
      </w:pPr>
    </w:p>
    <w:p w14:paraId="59E1AD48" w14:textId="605B07AF" w:rsidR="0010133D" w:rsidRDefault="0010133D" w:rsidP="00A54E85">
      <w:pPr>
        <w:pStyle w:val="lgende"/>
      </w:pPr>
      <w:r>
        <w:t>1.3.2 Etiologies (tableau 2)</w:t>
      </w:r>
    </w:p>
    <w:p w14:paraId="4DD391FA" w14:textId="77777777" w:rsidR="0010133D" w:rsidRPr="005F05D0" w:rsidRDefault="0010133D" w:rsidP="0010133D">
      <w:pPr>
        <w:pStyle w:val="lgende"/>
        <w:rPr>
          <w:color w:val="0070C0"/>
        </w:rPr>
      </w:pPr>
      <w:r w:rsidRPr="005F05D0">
        <w:rPr>
          <w:color w:val="0070C0"/>
        </w:rPr>
        <w:t>Tableau 2 : Étiologies principales des nodules pulmonaires.</w:t>
      </w:r>
    </w:p>
    <w:tbl>
      <w:tblPr>
        <w:tblW w:w="8926"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000" w:firstRow="0" w:lastRow="0" w:firstColumn="0" w:lastColumn="0" w:noHBand="0" w:noVBand="0"/>
      </w:tblPr>
      <w:tblGrid>
        <w:gridCol w:w="4077"/>
        <w:gridCol w:w="2014"/>
        <w:gridCol w:w="2835"/>
      </w:tblGrid>
      <w:tr w:rsidR="0010133D" w:rsidRPr="005F05D0" w14:paraId="516C2E51" w14:textId="77777777" w:rsidTr="00647226">
        <w:trPr>
          <w:trHeight w:val="261"/>
        </w:trPr>
        <w:tc>
          <w:tcPr>
            <w:tcW w:w="4077" w:type="dxa"/>
            <w:shd w:val="clear" w:color="auto" w:fill="0070C0"/>
            <w:vAlign w:val="center"/>
          </w:tcPr>
          <w:p w14:paraId="489411BD" w14:textId="77777777" w:rsidR="0010133D" w:rsidRPr="005F05D0" w:rsidRDefault="0010133D" w:rsidP="00647226">
            <w:pPr>
              <w:spacing w:line="276" w:lineRule="auto"/>
              <w:jc w:val="center"/>
              <w:rPr>
                <w:rFonts w:ascii="Calibri" w:hAnsi="Calibri" w:cs="Calibri"/>
                <w:b/>
                <w:bCs/>
                <w:color w:val="FFFFFF"/>
              </w:rPr>
            </w:pPr>
            <w:r w:rsidRPr="005F05D0">
              <w:rPr>
                <w:rFonts w:ascii="Calibri" w:hAnsi="Calibri" w:cs="Calibri"/>
                <w:b/>
                <w:bCs/>
                <w:color w:val="FFFFFF"/>
              </w:rPr>
              <w:t>Tumeurs malignes</w:t>
            </w:r>
          </w:p>
        </w:tc>
        <w:tc>
          <w:tcPr>
            <w:tcW w:w="2014" w:type="dxa"/>
            <w:shd w:val="clear" w:color="auto" w:fill="0070C0"/>
            <w:vAlign w:val="center"/>
          </w:tcPr>
          <w:p w14:paraId="73796B67" w14:textId="77777777" w:rsidR="0010133D" w:rsidRPr="005F05D0" w:rsidRDefault="0010133D" w:rsidP="00647226">
            <w:pPr>
              <w:spacing w:line="276" w:lineRule="auto"/>
              <w:jc w:val="center"/>
              <w:rPr>
                <w:rFonts w:ascii="Calibri" w:hAnsi="Calibri" w:cs="Calibri"/>
                <w:b/>
                <w:bCs/>
                <w:color w:val="FFFFFF"/>
              </w:rPr>
            </w:pPr>
            <w:r w:rsidRPr="005F05D0">
              <w:rPr>
                <w:rFonts w:ascii="Calibri" w:hAnsi="Calibri" w:cs="Calibri"/>
                <w:b/>
                <w:bCs/>
                <w:color w:val="FFFFFF"/>
              </w:rPr>
              <w:t>Tumeurs bénignes</w:t>
            </w:r>
          </w:p>
        </w:tc>
        <w:tc>
          <w:tcPr>
            <w:tcW w:w="2835" w:type="dxa"/>
            <w:shd w:val="clear" w:color="auto" w:fill="0070C0"/>
            <w:vAlign w:val="center"/>
          </w:tcPr>
          <w:p w14:paraId="141A5644" w14:textId="77777777" w:rsidR="0010133D" w:rsidRPr="005F05D0" w:rsidRDefault="0010133D" w:rsidP="00647226">
            <w:pPr>
              <w:spacing w:line="276" w:lineRule="auto"/>
              <w:jc w:val="center"/>
              <w:rPr>
                <w:rFonts w:ascii="Calibri" w:hAnsi="Calibri" w:cs="Calibri"/>
                <w:b/>
                <w:bCs/>
                <w:color w:val="FFFFFF"/>
              </w:rPr>
            </w:pPr>
            <w:r w:rsidRPr="005F05D0">
              <w:rPr>
                <w:rFonts w:ascii="Calibri" w:hAnsi="Calibri" w:cs="Calibri"/>
                <w:b/>
                <w:bCs/>
                <w:color w:val="FFFFFF"/>
              </w:rPr>
              <w:t>Opacités non tumorales</w:t>
            </w:r>
          </w:p>
        </w:tc>
      </w:tr>
      <w:tr w:rsidR="0010133D" w:rsidRPr="005F05D0" w14:paraId="62B2C1AB" w14:textId="77777777" w:rsidTr="00647226">
        <w:trPr>
          <w:trHeight w:val="513"/>
        </w:trPr>
        <w:tc>
          <w:tcPr>
            <w:tcW w:w="4077" w:type="dxa"/>
          </w:tcPr>
          <w:p w14:paraId="3E39BB6F"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Cancers broncho-pulmonaires primitifs (dont carcinoïdes bronchiques)</w:t>
            </w:r>
          </w:p>
          <w:p w14:paraId="47D85B47" w14:textId="77777777" w:rsidR="0010133D" w:rsidRPr="005F05D0" w:rsidRDefault="0010133D" w:rsidP="00647226">
            <w:pPr>
              <w:spacing w:line="276" w:lineRule="auto"/>
              <w:ind w:left="357" w:hanging="357"/>
              <w:jc w:val="left"/>
              <w:rPr>
                <w:rFonts w:ascii="Calibri" w:hAnsi="Calibri" w:cs="Calibri"/>
                <w:color w:val="0070C0"/>
              </w:rPr>
            </w:pPr>
            <w:r w:rsidRPr="005F05D0">
              <w:rPr>
                <w:rFonts w:ascii="Calibri" w:hAnsi="Calibri" w:cs="Calibri"/>
                <w:color w:val="0070C0"/>
              </w:rPr>
              <w:t xml:space="preserve">Tumeurs secondaires (métastases) : </w:t>
            </w:r>
          </w:p>
          <w:p w14:paraId="52329759"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 Broncho-pulmonaire</w:t>
            </w:r>
          </w:p>
          <w:p w14:paraId="79E50207"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 Colon</w:t>
            </w:r>
          </w:p>
          <w:p w14:paraId="618BB86F"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 Rein</w:t>
            </w:r>
          </w:p>
          <w:p w14:paraId="482F57C2"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 Thyroïde</w:t>
            </w:r>
          </w:p>
          <w:p w14:paraId="5B469AB8"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 ORL</w:t>
            </w:r>
          </w:p>
          <w:p w14:paraId="3EAA7E9A"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 Mélanome</w:t>
            </w:r>
          </w:p>
          <w:p w14:paraId="2DC7BA28"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 Testicule</w:t>
            </w:r>
          </w:p>
          <w:p w14:paraId="623D4CB2"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 Sein, prostate</w:t>
            </w:r>
          </w:p>
          <w:p w14:paraId="64B44365"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 Primitif osseux</w:t>
            </w:r>
          </w:p>
        </w:tc>
        <w:tc>
          <w:tcPr>
            <w:tcW w:w="2014" w:type="dxa"/>
          </w:tcPr>
          <w:p w14:paraId="728A67C2"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 xml:space="preserve">Hamartochondrome </w:t>
            </w:r>
          </w:p>
          <w:p w14:paraId="42BB7729" w14:textId="77777777" w:rsidR="0010133D" w:rsidRPr="005F05D0" w:rsidRDefault="0010133D" w:rsidP="00647226">
            <w:pPr>
              <w:spacing w:line="276" w:lineRule="auto"/>
              <w:jc w:val="left"/>
              <w:rPr>
                <w:rFonts w:ascii="Calibri" w:hAnsi="Calibri" w:cs="Calibri"/>
                <w:color w:val="0070C0"/>
              </w:rPr>
            </w:pPr>
          </w:p>
        </w:tc>
        <w:tc>
          <w:tcPr>
            <w:tcW w:w="2835" w:type="dxa"/>
          </w:tcPr>
          <w:p w14:paraId="2CD73923"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Ganglion intra-pulmonaire Granulomatose avec polyangéite (GPA)</w:t>
            </w:r>
          </w:p>
          <w:p w14:paraId="57B7B401"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Nodules rhumatoïdes</w:t>
            </w:r>
          </w:p>
          <w:p w14:paraId="3D815E5C"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Kyste hydatique</w:t>
            </w:r>
          </w:p>
          <w:p w14:paraId="270DBAA7"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Aspergillome</w:t>
            </w:r>
          </w:p>
          <w:p w14:paraId="54BE5A3B"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Abcès</w:t>
            </w:r>
          </w:p>
          <w:p w14:paraId="259860CD"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Tuberculome</w:t>
            </w:r>
          </w:p>
          <w:p w14:paraId="61C66A5E"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Atélectasie ronde</w:t>
            </w:r>
          </w:p>
          <w:p w14:paraId="13EB8672"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Masses silicotiques</w:t>
            </w:r>
          </w:p>
          <w:p w14:paraId="4D918547" w14:textId="77777777" w:rsidR="0010133D" w:rsidRPr="005F05D0" w:rsidRDefault="0010133D" w:rsidP="00647226">
            <w:pPr>
              <w:spacing w:line="276" w:lineRule="auto"/>
              <w:jc w:val="left"/>
              <w:rPr>
                <w:rFonts w:ascii="Calibri" w:hAnsi="Calibri" w:cs="Calibri"/>
                <w:color w:val="0070C0"/>
              </w:rPr>
            </w:pPr>
            <w:r w:rsidRPr="005F05D0">
              <w:rPr>
                <w:rFonts w:ascii="Calibri" w:hAnsi="Calibri" w:cs="Calibri"/>
                <w:color w:val="0070C0"/>
              </w:rPr>
              <w:t>Vasculaires</w:t>
            </w:r>
          </w:p>
        </w:tc>
      </w:tr>
    </w:tbl>
    <w:p w14:paraId="1DAB406F" w14:textId="77777777" w:rsidR="0010133D" w:rsidRDefault="0010133D" w:rsidP="0010133D">
      <w:pPr>
        <w:pStyle w:val="lgende"/>
      </w:pPr>
    </w:p>
    <w:p w14:paraId="390FD9B6" w14:textId="77777777" w:rsidR="00A54E85" w:rsidRDefault="00A54E85" w:rsidP="00A54E85">
      <w:pPr>
        <w:pStyle w:val="Titre4"/>
      </w:pPr>
      <w:r>
        <w:t>Étiologies (tableau 2)</w:t>
      </w:r>
    </w:p>
    <w:p w14:paraId="301FF435" w14:textId="77777777" w:rsidR="00A54E85" w:rsidRPr="00AD3F49" w:rsidRDefault="00A54E85" w:rsidP="00AD3F49">
      <w:pPr>
        <w:pStyle w:val="Titre5"/>
      </w:pPr>
      <w:r w:rsidRPr="00AD3F49">
        <w:t>Causes néoplasiques</w:t>
      </w:r>
    </w:p>
    <w:p w14:paraId="54E86DF8" w14:textId="77777777" w:rsidR="00A54E85" w:rsidRDefault="00A54E85" w:rsidP="00A54E85">
      <w:pPr>
        <w:tabs>
          <w:tab w:val="left" w:pos="9000"/>
        </w:tabs>
        <w:spacing w:line="276" w:lineRule="auto"/>
        <w:ind w:right="66"/>
      </w:pPr>
      <w:r>
        <w:t>Cancers bronchopulmonaires primitifs :</w:t>
      </w:r>
    </w:p>
    <w:p w14:paraId="73CF9F54" w14:textId="77777777" w:rsidR="00A54E85" w:rsidRDefault="00A54E85" w:rsidP="00A54E85">
      <w:pPr>
        <w:tabs>
          <w:tab w:val="left" w:pos="9000"/>
        </w:tabs>
        <w:spacing w:line="276" w:lineRule="auto"/>
        <w:ind w:right="66"/>
      </w:pPr>
      <w:r>
        <w:t>- Nodules solides : adénocarcinomes pulmonaires, type histologique le plus fréquent. Les autres types histologiques de cancers bronchiques non à petites cellules (CBNPC) sont également possibles : carcinome épidermoïde ou autres histologies.</w:t>
      </w:r>
    </w:p>
    <w:p w14:paraId="7F204A5B" w14:textId="77777777" w:rsidR="00A54E85" w:rsidRDefault="00A54E85" w:rsidP="00A54E85">
      <w:pPr>
        <w:numPr>
          <w:ilvl w:val="1"/>
          <w:numId w:val="29"/>
        </w:numPr>
        <w:tabs>
          <w:tab w:val="left" w:pos="9000"/>
        </w:tabs>
        <w:spacing w:line="276" w:lineRule="auto"/>
        <w:ind w:left="284" w:right="66" w:hanging="142"/>
      </w:pPr>
      <w:r>
        <w:lastRenderedPageBreak/>
        <w:t>Surtout chez les plus de 50 ans, fumeur (figure 2, 3).</w:t>
      </w:r>
    </w:p>
    <w:p w14:paraId="14D1742E" w14:textId="77777777" w:rsidR="00A54E85" w:rsidRDefault="00A54E85" w:rsidP="00A54E85">
      <w:pPr>
        <w:numPr>
          <w:ilvl w:val="1"/>
          <w:numId w:val="29"/>
        </w:numPr>
        <w:tabs>
          <w:tab w:val="left" w:pos="9000"/>
        </w:tabs>
        <w:spacing w:line="276" w:lineRule="auto"/>
        <w:ind w:left="284" w:right="66" w:hanging="142"/>
      </w:pPr>
      <w:r>
        <w:t xml:space="preserve">Apparaissent le plus souvent comme un </w:t>
      </w:r>
      <w:r>
        <w:rPr>
          <w:b/>
          <w:bCs/>
        </w:rPr>
        <w:t xml:space="preserve">nodule pulmonaire </w:t>
      </w:r>
      <w:r>
        <w:rPr>
          <w:b/>
          <w:bCs/>
          <w:u w:val="single"/>
        </w:rPr>
        <w:t>solitaire</w:t>
      </w:r>
      <w:r>
        <w:rPr>
          <w:b/>
          <w:bCs/>
        </w:rPr>
        <w:t>.</w:t>
      </w:r>
    </w:p>
    <w:p w14:paraId="4262CA93" w14:textId="77777777" w:rsidR="00A54E85" w:rsidRDefault="00A54E85" w:rsidP="00A54E85">
      <w:pPr>
        <w:tabs>
          <w:tab w:val="left" w:pos="9000"/>
        </w:tabs>
        <w:spacing w:line="276" w:lineRule="auto"/>
        <w:ind w:right="66"/>
      </w:pPr>
      <w:r>
        <w:t>- Nodules en verre dépoli pur ou mixte : les néoplasies pulmonaires se présentant comme un nodule pulmonaire en verre dépoli pur ou mixte sont classiquement des adénocarcinomes (figure 4).</w:t>
      </w:r>
    </w:p>
    <w:p w14:paraId="63023647" w14:textId="77777777" w:rsidR="00A54E85" w:rsidRDefault="00A54E85" w:rsidP="00A54E85">
      <w:pPr>
        <w:tabs>
          <w:tab w:val="left" w:pos="9000"/>
        </w:tabs>
        <w:spacing w:line="276" w:lineRule="auto"/>
        <w:ind w:left="-12" w:right="66"/>
      </w:pPr>
    </w:p>
    <w:p w14:paraId="66E92991" w14:textId="77777777" w:rsidR="00A54E85" w:rsidRDefault="00A54E85" w:rsidP="00A54E85">
      <w:pPr>
        <w:tabs>
          <w:tab w:val="left" w:pos="9000"/>
        </w:tabs>
        <w:spacing w:line="276" w:lineRule="auto"/>
        <w:ind w:left="-12" w:right="66"/>
      </w:pPr>
      <w:r>
        <w:t xml:space="preserve">Tumeurs carcinoïdes bronchiques : tumeurs neuroendocrines de bas grade. </w:t>
      </w:r>
    </w:p>
    <w:p w14:paraId="19EC8F79" w14:textId="77777777" w:rsidR="00A54E85" w:rsidRDefault="00A54E85" w:rsidP="00A54E85">
      <w:pPr>
        <w:tabs>
          <w:tab w:val="left" w:pos="9000"/>
        </w:tabs>
        <w:spacing w:line="276" w:lineRule="auto"/>
        <w:ind w:left="-12" w:right="66"/>
      </w:pPr>
      <w:r>
        <w:t xml:space="preserve">Cancers secondaires (métastases) pulmonaires : </w:t>
      </w:r>
    </w:p>
    <w:p w14:paraId="2348C8BC" w14:textId="77777777" w:rsidR="00A54E85" w:rsidRDefault="00A54E85" w:rsidP="00A54E85">
      <w:pPr>
        <w:tabs>
          <w:tab w:val="left" w:pos="9000"/>
        </w:tabs>
        <w:spacing w:line="276" w:lineRule="auto"/>
        <w:ind w:right="66"/>
      </w:pPr>
      <w:r>
        <w:t>- Opacités rondes, uniques ou multiples, souvent périphériques et bilatérales.</w:t>
      </w:r>
    </w:p>
    <w:p w14:paraId="3A499B7B" w14:textId="77777777" w:rsidR="00A54E85" w:rsidRDefault="00A54E85" w:rsidP="00A54E85">
      <w:pPr>
        <w:tabs>
          <w:tab w:val="left" w:pos="9000"/>
        </w:tabs>
        <w:spacing w:line="276" w:lineRule="auto"/>
        <w:ind w:right="66"/>
      </w:pPr>
      <w:r>
        <w:t>- De contours réguliers (figure 5).</w:t>
      </w:r>
    </w:p>
    <w:p w14:paraId="3BA64737" w14:textId="77777777" w:rsidR="0010133D" w:rsidRDefault="0010133D" w:rsidP="00A54E85">
      <w:pPr>
        <w:tabs>
          <w:tab w:val="left" w:pos="9000"/>
        </w:tabs>
        <w:spacing w:line="276" w:lineRule="auto"/>
        <w:ind w:right="66"/>
      </w:pPr>
    </w:p>
    <w:p w14:paraId="127B7840" w14:textId="77777777" w:rsidR="0010133D" w:rsidRDefault="0010133D" w:rsidP="0010133D">
      <w:pPr>
        <w:pStyle w:val="lgende"/>
      </w:pPr>
      <w:r>
        <w:t>Figure 2 : Adénocarcinome primitif pulmonaire du segment ventral du lobe inférieur droit. Nodule solide, dense, à contour irrégulier, spiculé (fines striations se prolongeant dans le parenchyme pulmonaire de façon radiaire), avec prolongement linéaire vers la plèvre.</w:t>
      </w:r>
    </w:p>
    <w:p w14:paraId="25C0EBA5" w14:textId="77777777" w:rsidR="0010133D" w:rsidRDefault="0010133D" w:rsidP="0010133D">
      <w:pPr>
        <w:spacing w:line="276" w:lineRule="auto"/>
        <w:jc w:val="center"/>
      </w:pPr>
      <w:r>
        <w:rPr>
          <w:noProof/>
        </w:rPr>
        <w:drawing>
          <wp:inline distT="0" distB="0" distL="0" distR="0" wp14:anchorId="73666CEF" wp14:editId="3B6E08AE">
            <wp:extent cx="4174490" cy="3277870"/>
            <wp:effectExtent l="0" t="0" r="0" b="0"/>
            <wp:docPr id="29" name="image18.jpg"/>
            <wp:cNvGraphicFramePr/>
            <a:graphic xmlns:a="http://schemas.openxmlformats.org/drawingml/2006/main">
              <a:graphicData uri="http://schemas.openxmlformats.org/drawingml/2006/picture">
                <pic:pic xmlns:pic="http://schemas.openxmlformats.org/drawingml/2006/picture">
                  <pic:nvPicPr>
                    <pic:cNvPr id="0" name="image18.jpg"/>
                    <pic:cNvPicPr preferRelativeResize="0"/>
                  </pic:nvPicPr>
                  <pic:blipFill>
                    <a:blip r:embed="rId14"/>
                    <a:srcRect/>
                    <a:stretch>
                      <a:fillRect/>
                    </a:stretch>
                  </pic:blipFill>
                  <pic:spPr>
                    <a:xfrm>
                      <a:off x="0" y="0"/>
                      <a:ext cx="4174490" cy="3277870"/>
                    </a:xfrm>
                    <a:prstGeom prst="rect">
                      <a:avLst/>
                    </a:prstGeom>
                    <a:ln/>
                  </pic:spPr>
                </pic:pic>
              </a:graphicData>
            </a:graphic>
          </wp:inline>
        </w:drawing>
      </w:r>
    </w:p>
    <w:p w14:paraId="751CDBD9" w14:textId="77777777" w:rsidR="0010133D" w:rsidRDefault="0010133D" w:rsidP="0010133D">
      <w:pPr>
        <w:spacing w:line="276" w:lineRule="auto"/>
      </w:pPr>
    </w:p>
    <w:p w14:paraId="6F2B1BE6" w14:textId="77777777" w:rsidR="0010133D" w:rsidRDefault="0010133D" w:rsidP="0010133D">
      <w:pPr>
        <w:pStyle w:val="lgende"/>
      </w:pPr>
      <w:r>
        <w:t xml:space="preserve">Figure 3 : Nodule solide carcinomateux du segment apical du lobe inférieur gauche. Notez la modification au cours d’une surveillance TDM à 6 mois : extension de l’opacité, attraction de la scissure, contours spiculés. </w:t>
      </w:r>
    </w:p>
    <w:p w14:paraId="63DA415C" w14:textId="77777777" w:rsidR="0010133D" w:rsidRDefault="0010133D" w:rsidP="0010133D">
      <w:pPr>
        <w:spacing w:line="276" w:lineRule="auto"/>
        <w:jc w:val="center"/>
      </w:pPr>
      <w:r>
        <w:rPr>
          <w:noProof/>
        </w:rPr>
        <w:lastRenderedPageBreak/>
        <w:drawing>
          <wp:inline distT="0" distB="0" distL="0" distR="0" wp14:anchorId="074FDECB" wp14:editId="1E22D496">
            <wp:extent cx="5629523" cy="2027582"/>
            <wp:effectExtent l="0" t="0" r="9525" b="0"/>
            <wp:docPr id="27" name="image22.jpg"/>
            <wp:cNvGraphicFramePr/>
            <a:graphic xmlns:a="http://schemas.openxmlformats.org/drawingml/2006/main">
              <a:graphicData uri="http://schemas.openxmlformats.org/drawingml/2006/picture">
                <pic:pic xmlns:pic="http://schemas.openxmlformats.org/drawingml/2006/picture">
                  <pic:nvPicPr>
                    <pic:cNvPr id="0" name="image22.jpg"/>
                    <pic:cNvPicPr preferRelativeResize="0"/>
                  </pic:nvPicPr>
                  <pic:blipFill>
                    <a:blip r:embed="rId15"/>
                    <a:srcRect/>
                    <a:stretch>
                      <a:fillRect/>
                    </a:stretch>
                  </pic:blipFill>
                  <pic:spPr>
                    <a:xfrm>
                      <a:off x="0" y="0"/>
                      <a:ext cx="5634711" cy="2029451"/>
                    </a:xfrm>
                    <a:prstGeom prst="rect">
                      <a:avLst/>
                    </a:prstGeom>
                    <a:ln/>
                  </pic:spPr>
                </pic:pic>
              </a:graphicData>
            </a:graphic>
          </wp:inline>
        </w:drawing>
      </w:r>
    </w:p>
    <w:p w14:paraId="470A5B89" w14:textId="77777777" w:rsidR="0010133D" w:rsidRDefault="0010133D" w:rsidP="0010133D">
      <w:pPr>
        <w:tabs>
          <w:tab w:val="left" w:pos="9000"/>
        </w:tabs>
        <w:spacing w:line="276" w:lineRule="auto"/>
        <w:ind w:right="66"/>
      </w:pPr>
    </w:p>
    <w:p w14:paraId="0E5FF660" w14:textId="77777777" w:rsidR="0010133D" w:rsidRDefault="0010133D" w:rsidP="00A54E85">
      <w:pPr>
        <w:tabs>
          <w:tab w:val="left" w:pos="9000"/>
        </w:tabs>
        <w:spacing w:line="276" w:lineRule="auto"/>
        <w:ind w:right="66"/>
      </w:pPr>
    </w:p>
    <w:p w14:paraId="34DE8697" w14:textId="77777777" w:rsidR="00A54E85" w:rsidRDefault="00A54E85" w:rsidP="00A54E85">
      <w:pPr>
        <w:tabs>
          <w:tab w:val="left" w:pos="9000"/>
        </w:tabs>
        <w:spacing w:line="276" w:lineRule="auto"/>
        <w:ind w:right="66"/>
      </w:pPr>
    </w:p>
    <w:tbl>
      <w:tblPr>
        <w:tblW w:w="9072" w:type="dxa"/>
        <w:tblBorders>
          <w:top w:val="nil"/>
          <w:left w:val="nil"/>
          <w:bottom w:val="nil"/>
          <w:right w:val="nil"/>
          <w:insideH w:val="nil"/>
          <w:insideV w:val="nil"/>
        </w:tblBorders>
        <w:tblLayout w:type="fixed"/>
        <w:tblLook w:val="0400" w:firstRow="0" w:lastRow="0" w:firstColumn="0" w:lastColumn="0" w:noHBand="0" w:noVBand="1"/>
      </w:tblPr>
      <w:tblGrid>
        <w:gridCol w:w="4592"/>
        <w:gridCol w:w="4480"/>
      </w:tblGrid>
      <w:tr w:rsidR="00A54E85" w14:paraId="42C6CBDA" w14:textId="77777777" w:rsidTr="00A54E85">
        <w:trPr>
          <w:trHeight w:val="4255"/>
        </w:trPr>
        <w:tc>
          <w:tcPr>
            <w:tcW w:w="4592" w:type="dxa"/>
          </w:tcPr>
          <w:p w14:paraId="57DE1E94" w14:textId="77777777" w:rsidR="00A54E85" w:rsidRDefault="00A54E85" w:rsidP="00A54E85">
            <w:pPr>
              <w:pStyle w:val="lgende"/>
            </w:pPr>
            <w:r>
              <w:rPr>
                <w:noProof/>
              </w:rPr>
              <w:drawing>
                <wp:inline distT="0" distB="0" distL="0" distR="0" wp14:anchorId="7F2D4004" wp14:editId="0DDBC931">
                  <wp:extent cx="2767054" cy="2051050"/>
                  <wp:effectExtent l="0" t="0" r="0" b="6350"/>
                  <wp:docPr id="28"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16"/>
                          <a:srcRect/>
                          <a:stretch>
                            <a:fillRect/>
                          </a:stretch>
                        </pic:blipFill>
                        <pic:spPr>
                          <a:xfrm>
                            <a:off x="0" y="0"/>
                            <a:ext cx="2786203" cy="2065244"/>
                          </a:xfrm>
                          <a:prstGeom prst="rect">
                            <a:avLst/>
                          </a:prstGeom>
                          <a:ln/>
                        </pic:spPr>
                      </pic:pic>
                    </a:graphicData>
                  </a:graphic>
                </wp:inline>
              </w:drawing>
            </w:r>
            <w:r>
              <w:t>Figure 4 : Opacité lobaire inférieure droite mixte avec une composante en verre dépoli et une composante solide avec attraction de la scissure (adénocarcinome pulmonaire primitif).</w:t>
            </w:r>
          </w:p>
          <w:p w14:paraId="7F47F7CB" w14:textId="77777777" w:rsidR="00A54E85" w:rsidRDefault="00A54E85" w:rsidP="00A54E85">
            <w:pPr>
              <w:pStyle w:val="lgende"/>
            </w:pPr>
          </w:p>
        </w:tc>
        <w:tc>
          <w:tcPr>
            <w:tcW w:w="4480" w:type="dxa"/>
          </w:tcPr>
          <w:p w14:paraId="06FA1365" w14:textId="77777777" w:rsidR="00A54E85" w:rsidRDefault="00A54E85" w:rsidP="00A54E85">
            <w:pPr>
              <w:pStyle w:val="lgende"/>
              <w:rPr>
                <w:sz w:val="4"/>
                <w:szCs w:val="4"/>
              </w:rPr>
            </w:pPr>
            <w:r>
              <w:rPr>
                <w:noProof/>
              </w:rPr>
              <w:drawing>
                <wp:inline distT="0" distB="0" distL="0" distR="0" wp14:anchorId="763AB7B6" wp14:editId="6BB3F40C">
                  <wp:extent cx="2723443" cy="2051437"/>
                  <wp:effectExtent l="0" t="0" r="1270" b="6350"/>
                  <wp:docPr id="30" name="image19.jpg"/>
                  <wp:cNvGraphicFramePr/>
                  <a:graphic xmlns:a="http://schemas.openxmlformats.org/drawingml/2006/main">
                    <a:graphicData uri="http://schemas.openxmlformats.org/drawingml/2006/picture">
                      <pic:pic xmlns:pic="http://schemas.openxmlformats.org/drawingml/2006/picture">
                        <pic:nvPicPr>
                          <pic:cNvPr id="0" name="image19.jpg"/>
                          <pic:cNvPicPr preferRelativeResize="0"/>
                        </pic:nvPicPr>
                        <pic:blipFill>
                          <a:blip r:embed="rId17"/>
                          <a:srcRect/>
                          <a:stretch>
                            <a:fillRect/>
                          </a:stretch>
                        </pic:blipFill>
                        <pic:spPr>
                          <a:xfrm>
                            <a:off x="0" y="0"/>
                            <a:ext cx="2732930" cy="2058583"/>
                          </a:xfrm>
                          <a:prstGeom prst="rect">
                            <a:avLst/>
                          </a:prstGeom>
                          <a:ln/>
                        </pic:spPr>
                      </pic:pic>
                    </a:graphicData>
                  </a:graphic>
                </wp:inline>
              </w:drawing>
            </w:r>
            <w:r>
              <w:t>Figure 5 : Nodules solides à contours réguliers, métastases d’un cancer colique.</w:t>
            </w:r>
          </w:p>
        </w:tc>
      </w:tr>
    </w:tbl>
    <w:p w14:paraId="5F8752F2" w14:textId="77777777" w:rsidR="00A54E85" w:rsidRDefault="00A54E85" w:rsidP="00A54E85">
      <w:pPr>
        <w:spacing w:line="276" w:lineRule="auto"/>
      </w:pPr>
    </w:p>
    <w:p w14:paraId="6585E534" w14:textId="76542B77" w:rsidR="00A54E85" w:rsidRDefault="00A54E85" w:rsidP="00AD3F49">
      <w:pPr>
        <w:pStyle w:val="Titre5"/>
      </w:pPr>
      <w:r>
        <w:rPr>
          <w:noProof/>
        </w:rPr>
        <w:drawing>
          <wp:anchor distT="0" distB="0" distL="114300" distR="114300" simplePos="0" relativeHeight="251847680" behindDoc="0" locked="0" layoutInCell="1" hidden="0" allowOverlap="1" wp14:anchorId="256805BF" wp14:editId="25AEF927">
            <wp:simplePos x="0" y="0"/>
            <wp:positionH relativeFrom="column">
              <wp:posOffset>-267031</wp:posOffset>
            </wp:positionH>
            <wp:positionV relativeFrom="paragraph">
              <wp:posOffset>315595</wp:posOffset>
            </wp:positionV>
            <wp:extent cx="153670" cy="137160"/>
            <wp:effectExtent l="0" t="0" r="0" b="0"/>
            <wp:wrapSquare wrapText="bothSides" distT="0" distB="0" distL="114300" distR="114300"/>
            <wp:docPr id="2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t>Causes non néoplasiques</w:t>
      </w:r>
    </w:p>
    <w:p w14:paraId="5CB6ED2E" w14:textId="6C82F093" w:rsidR="00A54E85" w:rsidRDefault="00A54E85" w:rsidP="00A54E85">
      <w:pPr>
        <w:tabs>
          <w:tab w:val="left" w:pos="9000"/>
        </w:tabs>
        <w:spacing w:line="276" w:lineRule="auto"/>
        <w:ind w:right="66"/>
        <w:rPr>
          <w:b/>
          <w:bCs/>
          <w:color w:val="0070C0"/>
        </w:rPr>
      </w:pPr>
      <w:r>
        <w:rPr>
          <w:b/>
          <w:bCs/>
          <w:color w:val="0070C0"/>
        </w:rPr>
        <w:t>Tumeurs bénignes :</w:t>
      </w:r>
    </w:p>
    <w:p w14:paraId="70B5F020" w14:textId="77777777" w:rsidR="00A54E85" w:rsidRDefault="00A54E85" w:rsidP="00A54E85">
      <w:pPr>
        <w:tabs>
          <w:tab w:val="left" w:pos="9000"/>
        </w:tabs>
        <w:spacing w:line="276" w:lineRule="auto"/>
        <w:ind w:left="-12" w:right="66"/>
        <w:rPr>
          <w:color w:val="0070C0"/>
        </w:rPr>
      </w:pPr>
      <w:r>
        <w:rPr>
          <w:color w:val="0070C0"/>
        </w:rPr>
        <w:t>- Représentent 1/10</w:t>
      </w:r>
      <w:r>
        <w:rPr>
          <w:color w:val="0070C0"/>
          <w:vertAlign w:val="superscript"/>
        </w:rPr>
        <w:t>e</w:t>
      </w:r>
      <w:r>
        <w:rPr>
          <w:color w:val="0070C0"/>
        </w:rPr>
        <w:t xml:space="preserve"> des nodules thoraciques.</w:t>
      </w:r>
    </w:p>
    <w:p w14:paraId="0EC9E37B" w14:textId="77777777" w:rsidR="00A54E85" w:rsidRDefault="00A54E85" w:rsidP="00A54E85">
      <w:pPr>
        <w:tabs>
          <w:tab w:val="left" w:pos="9000"/>
        </w:tabs>
        <w:spacing w:line="276" w:lineRule="auto"/>
        <w:ind w:left="-12" w:right="66"/>
        <w:rPr>
          <w:color w:val="0070C0"/>
        </w:rPr>
      </w:pPr>
      <w:r>
        <w:rPr>
          <w:color w:val="0070C0"/>
        </w:rPr>
        <w:t xml:space="preserve">- Se présentent sous forme d’une opacité unique, sphérique et de contour régulier. </w:t>
      </w:r>
    </w:p>
    <w:p w14:paraId="72288FDE" w14:textId="77777777" w:rsidR="00A54E85" w:rsidRDefault="00A54E85" w:rsidP="00A54E85">
      <w:pPr>
        <w:tabs>
          <w:tab w:val="left" w:pos="9000"/>
        </w:tabs>
        <w:spacing w:line="276" w:lineRule="auto"/>
        <w:ind w:left="-12" w:right="66"/>
        <w:rPr>
          <w:color w:val="0070C0"/>
        </w:rPr>
      </w:pPr>
    </w:p>
    <w:p w14:paraId="19241B9B" w14:textId="77777777" w:rsidR="00A54E85" w:rsidRDefault="00A54E85" w:rsidP="00A54E85">
      <w:pPr>
        <w:spacing w:line="276" w:lineRule="auto"/>
        <w:rPr>
          <w:color w:val="0070C0"/>
        </w:rPr>
      </w:pPr>
      <w:r>
        <w:rPr>
          <w:color w:val="0070C0"/>
        </w:rPr>
        <w:t xml:space="preserve">Certains critères radiologiques sont en faveur du </w:t>
      </w:r>
      <w:r>
        <w:rPr>
          <w:b/>
          <w:bCs/>
          <w:color w:val="0070C0"/>
        </w:rPr>
        <w:t>caractère bénin</w:t>
      </w:r>
      <w:r>
        <w:rPr>
          <w:color w:val="0070C0"/>
        </w:rPr>
        <w:t xml:space="preserve"> d’un nodule thoracique :</w:t>
      </w:r>
    </w:p>
    <w:p w14:paraId="1943C8C7" w14:textId="77777777" w:rsidR="00A54E85" w:rsidRDefault="00A54E85" w:rsidP="00A54E85">
      <w:pPr>
        <w:tabs>
          <w:tab w:val="left" w:pos="9000"/>
        </w:tabs>
        <w:spacing w:line="276" w:lineRule="auto"/>
        <w:ind w:right="66"/>
        <w:rPr>
          <w:color w:val="0070C0"/>
        </w:rPr>
      </w:pPr>
      <w:r>
        <w:rPr>
          <w:color w:val="0070C0"/>
        </w:rPr>
        <w:t>- Nodule entièrement calcifié ou nodule avec calcification centrale sur deux reconstructions orthogonales, quelle que soit sa taille</w:t>
      </w:r>
      <w:r>
        <w:rPr>
          <w:rFonts w:ascii="Arial" w:eastAsia="Arial" w:hAnsi="Arial" w:cs="Arial"/>
          <w:color w:val="0070C0"/>
        </w:rPr>
        <w:t> </w:t>
      </w:r>
      <w:r>
        <w:rPr>
          <w:color w:val="0070C0"/>
        </w:rPr>
        <w:t xml:space="preserve">; ou nodule avec calcification périphérique ou lamellaire. Il s’agit le plus souvent d’une évolution cicatricielle d’une lésion post-infectieuse. </w:t>
      </w:r>
    </w:p>
    <w:p w14:paraId="587A2800" w14:textId="77777777" w:rsidR="00A54E85" w:rsidRDefault="00A54E85" w:rsidP="00A54E85">
      <w:pPr>
        <w:tabs>
          <w:tab w:val="left" w:pos="9000"/>
        </w:tabs>
        <w:spacing w:line="276" w:lineRule="auto"/>
        <w:ind w:right="66"/>
        <w:rPr>
          <w:color w:val="0070C0"/>
        </w:rPr>
      </w:pPr>
      <w:r>
        <w:rPr>
          <w:color w:val="0070C0"/>
        </w:rPr>
        <w:t xml:space="preserve">- Caractéristiques suggestives d’un ganglion intra-pulmonaire : nodule tissulaire homogène de moins de 10 mm, de forme triangulaire ou ovalaire, située à une distance de moins de 15 mm de la plèvre (volontiers péri-scissural) et en dessous du niveau de la carène. </w:t>
      </w:r>
    </w:p>
    <w:p w14:paraId="615D5A32" w14:textId="77777777" w:rsidR="00A54E85" w:rsidRDefault="00A54E85" w:rsidP="00A54E85">
      <w:pPr>
        <w:tabs>
          <w:tab w:val="left" w:pos="9000"/>
        </w:tabs>
        <w:spacing w:line="276" w:lineRule="auto"/>
        <w:ind w:right="66"/>
        <w:rPr>
          <w:color w:val="0070C0"/>
        </w:rPr>
      </w:pPr>
      <w:r>
        <w:rPr>
          <w:color w:val="0070C0"/>
        </w:rPr>
        <w:lastRenderedPageBreak/>
        <w:t>- Hamartochondrome : tumeur bénigne la plus fréquente. Diagnostic souvent facile sur des données TDM pathognomoniques d’aspect en «</w:t>
      </w:r>
      <w:r>
        <w:rPr>
          <w:rFonts w:ascii="Arial" w:eastAsia="Arial" w:hAnsi="Arial" w:cs="Arial"/>
          <w:color w:val="0070C0"/>
        </w:rPr>
        <w:t> </w:t>
      </w:r>
      <w:r>
        <w:rPr>
          <w:color w:val="0070C0"/>
        </w:rPr>
        <w:t>pop-corn</w:t>
      </w:r>
      <w:r>
        <w:rPr>
          <w:rFonts w:ascii="Arial" w:eastAsia="Arial" w:hAnsi="Arial" w:cs="Arial"/>
          <w:color w:val="0070C0"/>
        </w:rPr>
        <w:t> </w:t>
      </w:r>
      <w:r>
        <w:rPr>
          <w:color w:val="0070C0"/>
        </w:rPr>
        <w:t xml:space="preserve">», associant calcifications et densités graisseuses (figure 6). </w:t>
      </w:r>
    </w:p>
    <w:p w14:paraId="555A13F8" w14:textId="77777777" w:rsidR="00A54E85" w:rsidRDefault="00A54E85" w:rsidP="00A54E85">
      <w:pPr>
        <w:tabs>
          <w:tab w:val="left" w:pos="9000"/>
        </w:tabs>
        <w:spacing w:line="276" w:lineRule="auto"/>
        <w:ind w:right="66"/>
        <w:rPr>
          <w:color w:val="0070C0"/>
        </w:rPr>
      </w:pPr>
    </w:p>
    <w:p w14:paraId="7BBCE8D5" w14:textId="77777777" w:rsidR="00A54E85" w:rsidRDefault="00A54E85" w:rsidP="00A54E85">
      <w:pPr>
        <w:tabs>
          <w:tab w:val="left" w:pos="9000"/>
        </w:tabs>
        <w:spacing w:line="276" w:lineRule="auto"/>
        <w:ind w:left="-12" w:right="66"/>
        <w:rPr>
          <w:b/>
          <w:bCs/>
          <w:color w:val="0070C0"/>
        </w:rPr>
      </w:pPr>
      <w:r>
        <w:rPr>
          <w:b/>
          <w:bCs/>
          <w:color w:val="0070C0"/>
        </w:rPr>
        <w:t>Nodules de nature infectieuse :</w:t>
      </w:r>
    </w:p>
    <w:p w14:paraId="193D281F" w14:textId="77777777" w:rsidR="00A54E85" w:rsidRDefault="00A54E85" w:rsidP="00A54E85">
      <w:pPr>
        <w:tabs>
          <w:tab w:val="left" w:pos="9000"/>
        </w:tabs>
        <w:spacing w:line="276" w:lineRule="auto"/>
        <w:ind w:right="66"/>
        <w:rPr>
          <w:color w:val="0070C0"/>
        </w:rPr>
      </w:pPr>
      <w:r>
        <w:rPr>
          <w:color w:val="0070C0"/>
        </w:rPr>
        <w:t xml:space="preserve">- Abcès du poumon à pyogène : facilement différencié d’une affection tumorale, par sa survenue dans un contexte aigu fébrile, s’excavant rapidement en concomitance d’une vomique. </w:t>
      </w:r>
    </w:p>
    <w:p w14:paraId="5A38E0BC" w14:textId="77777777" w:rsidR="00A54E85" w:rsidRDefault="00A54E85" w:rsidP="00A54E85">
      <w:pPr>
        <w:tabs>
          <w:tab w:val="left" w:pos="9000"/>
        </w:tabs>
        <w:spacing w:line="276" w:lineRule="auto"/>
        <w:ind w:right="66"/>
        <w:rPr>
          <w:color w:val="0070C0"/>
        </w:rPr>
      </w:pPr>
      <w:r>
        <w:rPr>
          <w:color w:val="0070C0"/>
        </w:rPr>
        <w:t>- Infections à bactérie filamenteuse de croissance lente comme Actinomyces (porte d’entrée dentaire) ou Nocardia, de diagnostic beaucoup plus difficile. L’opacité pulmonaire peut alors être difficile à différencier d’un cancer par l’imagerie (TDM, TEP-FDG).</w:t>
      </w:r>
    </w:p>
    <w:p w14:paraId="53128455" w14:textId="77777777" w:rsidR="00A54E85" w:rsidRDefault="00A54E85" w:rsidP="00A54E85">
      <w:pPr>
        <w:tabs>
          <w:tab w:val="left" w:pos="9000"/>
        </w:tabs>
        <w:spacing w:line="276" w:lineRule="auto"/>
        <w:ind w:right="66"/>
        <w:rPr>
          <w:color w:val="0070C0"/>
        </w:rPr>
      </w:pPr>
      <w:r>
        <w:rPr>
          <w:color w:val="0070C0"/>
        </w:rPr>
        <w:t>- Tuberculomes :</w:t>
      </w:r>
    </w:p>
    <w:p w14:paraId="086B8A46" w14:textId="77777777" w:rsidR="00A54E85" w:rsidRDefault="00A54E85" w:rsidP="00A54E85">
      <w:pPr>
        <w:numPr>
          <w:ilvl w:val="0"/>
          <w:numId w:val="30"/>
        </w:numPr>
        <w:spacing w:line="276" w:lineRule="auto"/>
        <w:ind w:left="284" w:right="66" w:hanging="142"/>
        <w:rPr>
          <w:color w:val="0070C0"/>
        </w:rPr>
      </w:pPr>
      <w:r>
        <w:rPr>
          <w:color w:val="0070C0"/>
        </w:rPr>
        <w:t>Foyers tuberculeux avec calcifications d’allure concentrique en TDM.</w:t>
      </w:r>
    </w:p>
    <w:p w14:paraId="20A4474B" w14:textId="77777777" w:rsidR="00A54E85" w:rsidRDefault="00A54E85" w:rsidP="00A54E85">
      <w:pPr>
        <w:numPr>
          <w:ilvl w:val="0"/>
          <w:numId w:val="30"/>
        </w:numPr>
        <w:spacing w:line="276" w:lineRule="auto"/>
        <w:ind w:left="284" w:right="66" w:hanging="142"/>
        <w:rPr>
          <w:color w:val="0070C0"/>
        </w:rPr>
      </w:pPr>
      <w:r>
        <w:rPr>
          <w:color w:val="0070C0"/>
        </w:rPr>
        <w:t>Peuvent être quiescents, cicatriciels ou représenter un foyer tuberculeux encore actif.</w:t>
      </w:r>
    </w:p>
    <w:p w14:paraId="594FD3FF" w14:textId="77777777" w:rsidR="00A54E85" w:rsidRDefault="00A54E85" w:rsidP="00A54E85">
      <w:pPr>
        <w:numPr>
          <w:ilvl w:val="0"/>
          <w:numId w:val="30"/>
        </w:numPr>
        <w:spacing w:line="276" w:lineRule="auto"/>
        <w:ind w:left="284" w:right="66" w:hanging="142"/>
        <w:rPr>
          <w:color w:val="0070C0"/>
        </w:rPr>
      </w:pPr>
      <w:r>
        <w:rPr>
          <w:color w:val="0070C0"/>
        </w:rPr>
        <w:t>Justifient donc de prélèvements mycobactériologiques dirigés lorsque la tuberculose n’était pas antérieurement connue et traitée.</w:t>
      </w:r>
    </w:p>
    <w:p w14:paraId="6684CFFA" w14:textId="77777777" w:rsidR="00A54E85" w:rsidRDefault="00A54E85" w:rsidP="00A54E85">
      <w:pPr>
        <w:tabs>
          <w:tab w:val="left" w:pos="9000"/>
        </w:tabs>
        <w:spacing w:line="276" w:lineRule="auto"/>
        <w:ind w:right="66"/>
        <w:rPr>
          <w:color w:val="0070C0"/>
        </w:rPr>
      </w:pPr>
      <w:r>
        <w:rPr>
          <w:color w:val="0070C0"/>
        </w:rPr>
        <w:t>- Kyste hydatique (Afrique du Nord, Amérique Latine, Europe de l’Est, Chine) :</w:t>
      </w:r>
    </w:p>
    <w:p w14:paraId="102B8AB5" w14:textId="77777777" w:rsidR="00A54E85" w:rsidRDefault="00A54E85" w:rsidP="00A54E85">
      <w:pPr>
        <w:numPr>
          <w:ilvl w:val="0"/>
          <w:numId w:val="30"/>
        </w:numPr>
        <w:spacing w:line="276" w:lineRule="auto"/>
        <w:ind w:left="284" w:right="66" w:hanging="142"/>
        <w:rPr>
          <w:color w:val="0070C0"/>
        </w:rPr>
      </w:pPr>
      <w:r>
        <w:rPr>
          <w:color w:val="0070C0"/>
        </w:rPr>
        <w:t>Contenu liquidien avec parfois un décollement du kyste se traduisant par un aspect de «</w:t>
      </w:r>
      <w:r>
        <w:rPr>
          <w:rFonts w:ascii="Arial" w:eastAsia="Arial" w:hAnsi="Arial" w:cs="Arial"/>
          <w:color w:val="0070C0"/>
        </w:rPr>
        <w:t> </w:t>
      </w:r>
      <w:r>
        <w:rPr>
          <w:color w:val="0070C0"/>
        </w:rPr>
        <w:t>membrane flottante</w:t>
      </w:r>
      <w:r>
        <w:rPr>
          <w:rFonts w:ascii="Arial" w:eastAsia="Arial" w:hAnsi="Arial" w:cs="Arial"/>
          <w:color w:val="0070C0"/>
        </w:rPr>
        <w:t> </w:t>
      </w:r>
      <w:r>
        <w:rPr>
          <w:color w:val="0070C0"/>
        </w:rPr>
        <w:t>» surmontée d’un croissant gazeux (figure 7).</w:t>
      </w:r>
    </w:p>
    <w:p w14:paraId="7174EFE8" w14:textId="77777777" w:rsidR="00A54E85" w:rsidRDefault="00A54E85" w:rsidP="00A54E85">
      <w:pPr>
        <w:tabs>
          <w:tab w:val="left" w:pos="9000"/>
        </w:tabs>
        <w:spacing w:line="276" w:lineRule="auto"/>
        <w:ind w:right="66"/>
        <w:rPr>
          <w:color w:val="0070C0"/>
        </w:rPr>
      </w:pPr>
      <w:r>
        <w:rPr>
          <w:color w:val="0070C0"/>
        </w:rPr>
        <w:t>- Aspergillome :</w:t>
      </w:r>
    </w:p>
    <w:p w14:paraId="2E24934A" w14:textId="77777777" w:rsidR="00A54E85" w:rsidRDefault="00A54E85" w:rsidP="00A54E85">
      <w:pPr>
        <w:numPr>
          <w:ilvl w:val="0"/>
          <w:numId w:val="30"/>
        </w:numPr>
        <w:spacing w:line="276" w:lineRule="auto"/>
        <w:ind w:left="284" w:right="66" w:hanging="142"/>
        <w:rPr>
          <w:color w:val="0070C0"/>
        </w:rPr>
      </w:pPr>
      <w:r>
        <w:rPr>
          <w:color w:val="0070C0"/>
        </w:rPr>
        <w:t>Conséquence d’une prolifération mycélienne dans une cavité aérienne préexistante.</w:t>
      </w:r>
    </w:p>
    <w:p w14:paraId="4C334909" w14:textId="77777777" w:rsidR="00A54E85" w:rsidRDefault="00A54E85" w:rsidP="00A54E85">
      <w:pPr>
        <w:numPr>
          <w:ilvl w:val="0"/>
          <w:numId w:val="30"/>
        </w:numPr>
        <w:spacing w:line="276" w:lineRule="auto"/>
        <w:ind w:left="284" w:right="66" w:hanging="142"/>
        <w:rPr>
          <w:color w:val="0070C0"/>
        </w:rPr>
      </w:pPr>
      <w:r>
        <w:rPr>
          <w:color w:val="0070C0"/>
        </w:rPr>
        <w:t>Aspect TDM caractéristique «</w:t>
      </w:r>
      <w:r>
        <w:rPr>
          <w:rFonts w:ascii="Arial" w:eastAsia="Arial" w:hAnsi="Arial" w:cs="Arial"/>
          <w:color w:val="0070C0"/>
        </w:rPr>
        <w:t> </w:t>
      </w:r>
      <w:r>
        <w:rPr>
          <w:color w:val="0070C0"/>
        </w:rPr>
        <w:t>en grelot</w:t>
      </w:r>
      <w:r>
        <w:rPr>
          <w:rFonts w:ascii="Arial" w:eastAsia="Arial" w:hAnsi="Arial" w:cs="Arial"/>
          <w:color w:val="0070C0"/>
        </w:rPr>
        <w:t> </w:t>
      </w:r>
      <w:r>
        <w:rPr>
          <w:color w:val="0070C0"/>
        </w:rPr>
        <w:t>» au sein d’une cavité pré-existante.</w:t>
      </w:r>
    </w:p>
    <w:p w14:paraId="6685BF3A" w14:textId="77777777" w:rsidR="00A54E85" w:rsidRDefault="00A54E85" w:rsidP="00A54E85">
      <w:pPr>
        <w:numPr>
          <w:ilvl w:val="0"/>
          <w:numId w:val="30"/>
        </w:numPr>
        <w:spacing w:line="276" w:lineRule="auto"/>
        <w:ind w:left="284" w:right="66" w:hanging="142"/>
        <w:rPr>
          <w:color w:val="0070C0"/>
        </w:rPr>
      </w:pPr>
      <w:r>
        <w:rPr>
          <w:color w:val="0070C0"/>
        </w:rPr>
        <w:t>Diagnostic réalisé par la TDM et confirmé par la sérologie aspergillaire montrant un ou plusieurs arcs de précipitation spécifiques (figure 8).</w:t>
      </w:r>
    </w:p>
    <w:p w14:paraId="3405EF8F" w14:textId="77777777" w:rsidR="00A54E85" w:rsidRDefault="00A54E85" w:rsidP="00A54E85">
      <w:pPr>
        <w:spacing w:line="276" w:lineRule="auto"/>
        <w:rPr>
          <w:color w:val="0070C0"/>
        </w:rPr>
      </w:pPr>
    </w:p>
    <w:p w14:paraId="62C41278" w14:textId="77777777" w:rsidR="00A54E85" w:rsidRDefault="00A54E85" w:rsidP="00A54E85">
      <w:pPr>
        <w:spacing w:line="276" w:lineRule="auto"/>
        <w:rPr>
          <w:color w:val="0070C0"/>
        </w:rPr>
      </w:pPr>
    </w:p>
    <w:tbl>
      <w:tblPr>
        <w:tblW w:w="8931" w:type="dxa"/>
        <w:tblBorders>
          <w:top w:val="nil"/>
          <w:left w:val="nil"/>
          <w:bottom w:val="nil"/>
          <w:right w:val="nil"/>
          <w:insideH w:val="nil"/>
          <w:insideV w:val="nil"/>
        </w:tblBorders>
        <w:tblLayout w:type="fixed"/>
        <w:tblLook w:val="0400" w:firstRow="0" w:lastRow="0" w:firstColumn="0" w:lastColumn="0" w:noHBand="0" w:noVBand="1"/>
      </w:tblPr>
      <w:tblGrid>
        <w:gridCol w:w="4467"/>
        <w:gridCol w:w="4464"/>
      </w:tblGrid>
      <w:tr w:rsidR="00A54E85" w14:paraId="77B811A6" w14:textId="77777777" w:rsidTr="00A54E85">
        <w:trPr>
          <w:trHeight w:val="4255"/>
        </w:trPr>
        <w:tc>
          <w:tcPr>
            <w:tcW w:w="4467" w:type="dxa"/>
          </w:tcPr>
          <w:p w14:paraId="1705776A" w14:textId="77777777" w:rsidR="00A54E85" w:rsidRPr="00A54E85" w:rsidRDefault="00A54E85" w:rsidP="00A54E85">
            <w:pPr>
              <w:pStyle w:val="lgende"/>
              <w:rPr>
                <w:color w:val="0070C0"/>
              </w:rPr>
            </w:pPr>
            <w:r w:rsidRPr="00A54E85">
              <w:rPr>
                <w:noProof/>
                <w:color w:val="0070C0"/>
              </w:rPr>
              <w:drawing>
                <wp:inline distT="0" distB="0" distL="0" distR="0" wp14:anchorId="05908F39" wp14:editId="15D32546">
                  <wp:extent cx="2772000" cy="2772000"/>
                  <wp:effectExtent l="0" t="0" r="0" b="0"/>
                  <wp:docPr id="31"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18"/>
                          <a:srcRect/>
                          <a:stretch>
                            <a:fillRect/>
                          </a:stretch>
                        </pic:blipFill>
                        <pic:spPr>
                          <a:xfrm>
                            <a:off x="0" y="0"/>
                            <a:ext cx="2772000" cy="2772000"/>
                          </a:xfrm>
                          <a:prstGeom prst="rect">
                            <a:avLst/>
                          </a:prstGeom>
                          <a:ln/>
                        </pic:spPr>
                      </pic:pic>
                    </a:graphicData>
                  </a:graphic>
                </wp:inline>
              </w:drawing>
            </w:r>
          </w:p>
          <w:p w14:paraId="47C2CD9D" w14:textId="77777777" w:rsidR="00A54E85" w:rsidRPr="00A54E85" w:rsidRDefault="00A54E85" w:rsidP="00A54E85">
            <w:pPr>
              <w:pStyle w:val="lgende"/>
              <w:rPr>
                <w:color w:val="0070C0"/>
              </w:rPr>
            </w:pPr>
            <w:r w:rsidRPr="00A54E85">
              <w:rPr>
                <w:color w:val="0070C0"/>
              </w:rPr>
              <w:t>Figure 6 : Hamartochondrome (le grossissement permet de distinguer des zones de densités graisseuses au sein du nodule ainsi que des calcifications).</w:t>
            </w:r>
          </w:p>
        </w:tc>
        <w:tc>
          <w:tcPr>
            <w:tcW w:w="4464" w:type="dxa"/>
          </w:tcPr>
          <w:p w14:paraId="1756CB0B" w14:textId="77777777" w:rsidR="00A54E85" w:rsidRPr="00A54E85" w:rsidRDefault="00A54E85" w:rsidP="00A54E85">
            <w:pPr>
              <w:pStyle w:val="lgende"/>
              <w:rPr>
                <w:color w:val="0070C0"/>
              </w:rPr>
            </w:pPr>
            <w:r w:rsidRPr="00A54E85">
              <w:rPr>
                <w:noProof/>
                <w:color w:val="0070C0"/>
              </w:rPr>
              <w:drawing>
                <wp:inline distT="0" distB="0" distL="0" distR="0" wp14:anchorId="60499E4F" wp14:editId="236DD172">
                  <wp:extent cx="2726690" cy="2771775"/>
                  <wp:effectExtent l="0" t="0" r="0" b="9525"/>
                  <wp:docPr id="32" name="image17.jpg"/>
                  <wp:cNvGraphicFramePr/>
                  <a:graphic xmlns:a="http://schemas.openxmlformats.org/drawingml/2006/main">
                    <a:graphicData uri="http://schemas.openxmlformats.org/drawingml/2006/picture">
                      <pic:pic xmlns:pic="http://schemas.openxmlformats.org/drawingml/2006/picture">
                        <pic:nvPicPr>
                          <pic:cNvPr id="0" name="image17.jpg"/>
                          <pic:cNvPicPr preferRelativeResize="0"/>
                        </pic:nvPicPr>
                        <pic:blipFill>
                          <a:blip r:embed="rId19"/>
                          <a:srcRect/>
                          <a:stretch>
                            <a:fillRect/>
                          </a:stretch>
                        </pic:blipFill>
                        <pic:spPr>
                          <a:xfrm>
                            <a:off x="0" y="0"/>
                            <a:ext cx="2739532" cy="2784829"/>
                          </a:xfrm>
                          <a:prstGeom prst="rect">
                            <a:avLst/>
                          </a:prstGeom>
                          <a:ln/>
                        </pic:spPr>
                      </pic:pic>
                    </a:graphicData>
                  </a:graphic>
                </wp:inline>
              </w:drawing>
            </w:r>
            <w:r w:rsidRPr="00A54E85">
              <w:rPr>
                <w:color w:val="0070C0"/>
              </w:rPr>
              <w:t xml:space="preserve"> Figure 7 : Kyste hydatique rompu.</w:t>
            </w:r>
          </w:p>
        </w:tc>
      </w:tr>
      <w:tr w:rsidR="00A54E85" w14:paraId="2B819B75" w14:textId="77777777" w:rsidTr="00A54E85">
        <w:trPr>
          <w:trHeight w:val="4255"/>
        </w:trPr>
        <w:tc>
          <w:tcPr>
            <w:tcW w:w="8931" w:type="dxa"/>
            <w:gridSpan w:val="2"/>
          </w:tcPr>
          <w:p w14:paraId="6B8A1765" w14:textId="77777777" w:rsidR="00A54E85" w:rsidRPr="00A54E85" w:rsidRDefault="00A54E85" w:rsidP="00A54E85">
            <w:pPr>
              <w:pStyle w:val="lgende"/>
              <w:jc w:val="center"/>
              <w:rPr>
                <w:color w:val="0070C0"/>
              </w:rPr>
            </w:pPr>
            <w:r w:rsidRPr="00A54E85">
              <w:rPr>
                <w:color w:val="0070C0"/>
              </w:rPr>
              <w:lastRenderedPageBreak/>
              <w:t>Figure 8 : Aspergillome.</w:t>
            </w:r>
          </w:p>
          <w:p w14:paraId="2BB074E7" w14:textId="77777777" w:rsidR="00A54E85" w:rsidRPr="00A54E85" w:rsidRDefault="00A54E85" w:rsidP="00A54E85">
            <w:pPr>
              <w:pStyle w:val="lgende"/>
              <w:rPr>
                <w:color w:val="0070C0"/>
              </w:rPr>
            </w:pPr>
            <w:r w:rsidRPr="00A54E85">
              <w:rPr>
                <w:noProof/>
                <w:color w:val="0070C0"/>
              </w:rPr>
              <w:drawing>
                <wp:inline distT="0" distB="0" distL="0" distR="0" wp14:anchorId="73111947" wp14:editId="72039B66">
                  <wp:extent cx="6127750" cy="2897505"/>
                  <wp:effectExtent l="0" t="0" r="0" b="0"/>
                  <wp:docPr id="3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0"/>
                          <a:srcRect/>
                          <a:stretch>
                            <a:fillRect/>
                          </a:stretch>
                        </pic:blipFill>
                        <pic:spPr>
                          <a:xfrm>
                            <a:off x="0" y="0"/>
                            <a:ext cx="6127750" cy="2897505"/>
                          </a:xfrm>
                          <a:prstGeom prst="rect">
                            <a:avLst/>
                          </a:prstGeom>
                          <a:ln/>
                        </pic:spPr>
                      </pic:pic>
                    </a:graphicData>
                  </a:graphic>
                </wp:inline>
              </w:drawing>
            </w:r>
          </w:p>
        </w:tc>
      </w:tr>
    </w:tbl>
    <w:p w14:paraId="2635B3AB" w14:textId="77777777" w:rsidR="00A54E85" w:rsidRDefault="00A54E85" w:rsidP="00A54E85">
      <w:pPr>
        <w:tabs>
          <w:tab w:val="left" w:pos="9000"/>
        </w:tabs>
        <w:spacing w:line="276" w:lineRule="auto"/>
        <w:ind w:right="66"/>
        <w:rPr>
          <w:i/>
          <w:iCs/>
        </w:rPr>
      </w:pPr>
    </w:p>
    <w:p w14:paraId="753A6AA1" w14:textId="77777777" w:rsidR="00A54E85" w:rsidRDefault="00A54E85" w:rsidP="00A54E85">
      <w:pPr>
        <w:tabs>
          <w:tab w:val="left" w:pos="9000"/>
        </w:tabs>
        <w:spacing w:line="276" w:lineRule="auto"/>
        <w:ind w:left="-12" w:right="66"/>
        <w:rPr>
          <w:b/>
          <w:bCs/>
          <w:color w:val="0070C0"/>
        </w:rPr>
      </w:pPr>
      <w:r>
        <w:rPr>
          <w:b/>
          <w:bCs/>
          <w:color w:val="0070C0"/>
        </w:rPr>
        <w:t>Connectivites vascularites :</w:t>
      </w:r>
    </w:p>
    <w:p w14:paraId="5D199594" w14:textId="77777777" w:rsidR="00A54E85" w:rsidRDefault="00A54E85" w:rsidP="00A54E85">
      <w:pPr>
        <w:tabs>
          <w:tab w:val="left" w:pos="9000"/>
        </w:tabs>
        <w:spacing w:line="276" w:lineRule="auto"/>
        <w:ind w:right="66"/>
        <w:rPr>
          <w:color w:val="0070C0"/>
        </w:rPr>
      </w:pPr>
      <w:r>
        <w:rPr>
          <w:color w:val="0070C0"/>
        </w:rPr>
        <w:t>- Granulomatose avec polyangéite (cf. item 193).</w:t>
      </w:r>
    </w:p>
    <w:p w14:paraId="398C289B" w14:textId="77777777" w:rsidR="00A54E85" w:rsidRDefault="00A54E85" w:rsidP="00A54E85">
      <w:pPr>
        <w:tabs>
          <w:tab w:val="left" w:pos="9000"/>
        </w:tabs>
        <w:spacing w:line="276" w:lineRule="auto"/>
        <w:ind w:right="66"/>
        <w:rPr>
          <w:color w:val="0070C0"/>
        </w:rPr>
      </w:pPr>
      <w:r>
        <w:rPr>
          <w:color w:val="0070C0"/>
        </w:rPr>
        <w:t>- Nodules rhumatoïdes (cf. item 192).</w:t>
      </w:r>
    </w:p>
    <w:p w14:paraId="50FE93FB" w14:textId="77777777" w:rsidR="00A54E85" w:rsidRDefault="00A54E85" w:rsidP="00A54E85">
      <w:pPr>
        <w:tabs>
          <w:tab w:val="left" w:pos="9000"/>
        </w:tabs>
        <w:spacing w:line="276" w:lineRule="auto"/>
        <w:ind w:left="-24" w:right="66"/>
        <w:rPr>
          <w:color w:val="0070C0"/>
        </w:rPr>
      </w:pPr>
    </w:p>
    <w:p w14:paraId="517FDD93" w14:textId="77777777" w:rsidR="00A54E85" w:rsidRDefault="00A54E85" w:rsidP="00A54E85">
      <w:pPr>
        <w:tabs>
          <w:tab w:val="left" w:pos="9000"/>
        </w:tabs>
        <w:spacing w:line="276" w:lineRule="auto"/>
        <w:ind w:left="-12" w:right="66"/>
        <w:rPr>
          <w:color w:val="0070C0"/>
        </w:rPr>
      </w:pPr>
      <w:r>
        <w:rPr>
          <w:color w:val="0070C0"/>
        </w:rPr>
        <w:t>Opacités rondes d’origine vasculaire :</w:t>
      </w:r>
    </w:p>
    <w:p w14:paraId="31641EA1" w14:textId="77777777" w:rsidR="00A54E85" w:rsidRDefault="00A54E85" w:rsidP="00A54E85">
      <w:pPr>
        <w:tabs>
          <w:tab w:val="left" w:pos="9000"/>
        </w:tabs>
        <w:spacing w:line="276" w:lineRule="auto"/>
        <w:ind w:left="-12" w:right="66"/>
        <w:rPr>
          <w:color w:val="0070C0"/>
        </w:rPr>
      </w:pPr>
      <w:r>
        <w:rPr>
          <w:color w:val="0070C0"/>
        </w:rPr>
        <w:t>- Malformations artérioveineuses (fistules artérioveineuses) s’intégrant le plus souvent dans le cadre d’une maladie familiale de Rendu Osler (figure 9), souvent multiples.</w:t>
      </w:r>
    </w:p>
    <w:p w14:paraId="68F7D23D" w14:textId="77777777" w:rsidR="00A54E85" w:rsidRDefault="00A54E85" w:rsidP="00A54E85">
      <w:pPr>
        <w:tabs>
          <w:tab w:val="left" w:pos="9000"/>
        </w:tabs>
        <w:spacing w:line="276" w:lineRule="auto"/>
        <w:ind w:left="-12" w:right="66"/>
        <w:rPr>
          <w:i/>
          <w:iCs/>
        </w:rPr>
      </w:pPr>
    </w:p>
    <w:p w14:paraId="4807EF62" w14:textId="77777777" w:rsidR="00A54E85" w:rsidRDefault="00A54E85" w:rsidP="005F05D0">
      <w:pPr>
        <w:pStyle w:val="lgende"/>
      </w:pPr>
      <w:r>
        <w:br w:type="page"/>
      </w:r>
      <w:r w:rsidRPr="005F05D0">
        <w:rPr>
          <w:color w:val="0070C0"/>
        </w:rPr>
        <w:lastRenderedPageBreak/>
        <w:t>Figure 9 : Nodule lobaire inférieur droit sur le scanner = malformation artérioveineuse confirmée par l’artériographie.</w:t>
      </w:r>
    </w:p>
    <w:p w14:paraId="7377571E" w14:textId="77777777" w:rsidR="00A54E85" w:rsidRDefault="00A54E85" w:rsidP="00A54E85">
      <w:pPr>
        <w:pBdr>
          <w:top w:val="nil"/>
          <w:left w:val="nil"/>
          <w:bottom w:val="nil"/>
          <w:right w:val="nil"/>
          <w:between w:val="nil"/>
        </w:pBdr>
        <w:spacing w:line="276" w:lineRule="auto"/>
        <w:rPr>
          <w:rFonts w:ascii="Arial" w:eastAsia="Arial" w:hAnsi="Arial" w:cs="Arial"/>
          <w:color w:val="0070C0"/>
          <w:sz w:val="18"/>
          <w:szCs w:val="18"/>
        </w:rPr>
      </w:pPr>
      <w:r>
        <w:rPr>
          <w:rFonts w:ascii="Arial" w:eastAsia="Arial" w:hAnsi="Arial" w:cs="Arial"/>
          <w:noProof/>
          <w:color w:val="0070C0"/>
          <w:sz w:val="18"/>
          <w:szCs w:val="18"/>
        </w:rPr>
        <w:drawing>
          <wp:inline distT="0" distB="0" distL="0" distR="0" wp14:anchorId="0F6D8A79" wp14:editId="0C113732">
            <wp:extent cx="5764695" cy="1902473"/>
            <wp:effectExtent l="0" t="0" r="7620" b="2540"/>
            <wp:docPr id="35" name="image23.jpg" descr="Une image contenant film radiographique, Imagerie médicale, radiologie, noir&#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23.jpg" descr="Une image contenant film radiographique, Imagerie médicale, radiologie, noir&#10;&#10;Description générée automatiquement"/>
                    <pic:cNvPicPr preferRelativeResize="0"/>
                  </pic:nvPicPr>
                  <pic:blipFill>
                    <a:blip r:embed="rId21"/>
                    <a:srcRect/>
                    <a:stretch>
                      <a:fillRect/>
                    </a:stretch>
                  </pic:blipFill>
                  <pic:spPr>
                    <a:xfrm>
                      <a:off x="0" y="0"/>
                      <a:ext cx="5775914" cy="1906176"/>
                    </a:xfrm>
                    <a:prstGeom prst="rect">
                      <a:avLst/>
                    </a:prstGeom>
                    <a:ln/>
                  </pic:spPr>
                </pic:pic>
              </a:graphicData>
            </a:graphic>
          </wp:inline>
        </w:drawing>
      </w:r>
    </w:p>
    <w:p w14:paraId="445615E8" w14:textId="77777777" w:rsidR="00A54E85" w:rsidRDefault="00A54E85" w:rsidP="00A54E85">
      <w:pPr>
        <w:spacing w:line="276" w:lineRule="auto"/>
        <w:rPr>
          <w:color w:val="0070C0"/>
        </w:rPr>
      </w:pPr>
    </w:p>
    <w:p w14:paraId="46F7DAC3" w14:textId="77777777" w:rsidR="00A54E85" w:rsidRDefault="00A54E85" w:rsidP="00A54E85">
      <w:pPr>
        <w:widowControl w:val="0"/>
        <w:spacing w:line="276" w:lineRule="auto"/>
        <w:rPr>
          <w:i/>
          <w:iCs/>
        </w:rPr>
      </w:pPr>
    </w:p>
    <w:p w14:paraId="2D9040EF" w14:textId="77777777" w:rsidR="00A54E85" w:rsidRDefault="00A54E85" w:rsidP="005F05D0">
      <w:pPr>
        <w:pStyle w:val="Titre4"/>
      </w:pPr>
      <w:r>
        <w:t>Examens complémentaires nécessaires au diagnostic étiologique</w:t>
      </w:r>
    </w:p>
    <w:p w14:paraId="1217DF5A" w14:textId="77777777" w:rsidR="00A54E85" w:rsidRDefault="00A54E85" w:rsidP="00A54E85">
      <w:pPr>
        <w:spacing w:line="276" w:lineRule="auto"/>
      </w:pPr>
      <w:r>
        <w:t>Examens morphologiques</w:t>
      </w:r>
    </w:p>
    <w:p w14:paraId="38E040F5" w14:textId="77777777" w:rsidR="00A54E85" w:rsidRDefault="00A54E85" w:rsidP="00A54E85">
      <w:pPr>
        <w:tabs>
          <w:tab w:val="left" w:pos="9000"/>
        </w:tabs>
        <w:spacing w:line="276" w:lineRule="auto"/>
        <w:ind w:right="66"/>
      </w:pPr>
      <w:r>
        <w:t xml:space="preserve">- La TDM avec produit de contraste, examen essentiel d’orientation : </w:t>
      </w:r>
    </w:p>
    <w:p w14:paraId="0E28D8DD" w14:textId="77777777" w:rsidR="00A54E85" w:rsidRDefault="00A54E85" w:rsidP="00A54E85">
      <w:pPr>
        <w:numPr>
          <w:ilvl w:val="0"/>
          <w:numId w:val="31"/>
        </w:numPr>
        <w:spacing w:line="276" w:lineRule="auto"/>
        <w:ind w:left="284" w:right="66" w:hanging="142"/>
      </w:pPr>
      <w:r>
        <w:t xml:space="preserve">Permet d’identifier des facteurs associés importants dans la discussion diagnostique comme : plaques pleurales asbestosiques, adénopathies médiastinales. </w:t>
      </w:r>
    </w:p>
    <w:p w14:paraId="5014524D" w14:textId="58224DA2" w:rsidR="00A54E85" w:rsidRDefault="00A54E85" w:rsidP="00A54E85">
      <w:pPr>
        <w:numPr>
          <w:ilvl w:val="0"/>
          <w:numId w:val="31"/>
        </w:numPr>
        <w:spacing w:line="276" w:lineRule="auto"/>
        <w:ind w:left="284" w:right="66" w:hanging="142"/>
      </w:pPr>
      <w:r>
        <w:t>Permet enfin de décider les modalités du prélèvement : ponction ou biopsie transpariétale à l’aiguille,</w:t>
      </w:r>
      <w:r w:rsidR="005F05D0">
        <w:rPr>
          <w:i/>
          <w:iCs/>
          <w:color w:val="0070C0"/>
        </w:rPr>
        <w:t xml:space="preserve"> </w:t>
      </w:r>
      <w:r>
        <w:rPr>
          <w:i/>
          <w:iCs/>
          <w:color w:val="0070C0"/>
        </w:rPr>
        <w:t>ou prélèvement endoscopique distal (échographie radiale par minisonde, endoscopie dite de navigation)</w:t>
      </w:r>
      <w:r>
        <w:rPr>
          <w:i/>
          <w:iCs/>
        </w:rPr>
        <w:t>,</w:t>
      </w:r>
      <w:r>
        <w:t xml:space="preserve"> ou abord chirurgical.</w:t>
      </w:r>
    </w:p>
    <w:p w14:paraId="36A640C5" w14:textId="77777777" w:rsidR="00A54E85" w:rsidRDefault="00A54E85" w:rsidP="00A54E85">
      <w:pPr>
        <w:numPr>
          <w:ilvl w:val="0"/>
          <w:numId w:val="31"/>
        </w:numPr>
        <w:spacing w:line="276" w:lineRule="auto"/>
        <w:ind w:left="284" w:right="66" w:hanging="142"/>
      </w:pPr>
      <w:r>
        <w:t xml:space="preserve">La répétition des TDM est parfois requise pour évaluer l’évolutivité des lésions. </w:t>
      </w:r>
    </w:p>
    <w:p w14:paraId="230F9584" w14:textId="77777777" w:rsidR="00A54E85" w:rsidRDefault="00A54E85" w:rsidP="00A54E85">
      <w:pPr>
        <w:spacing w:line="276" w:lineRule="auto"/>
        <w:ind w:right="66"/>
      </w:pPr>
      <w:r>
        <w:t>- La TEP-TDM au 18FDG est un examen important de la démarche diagnostique des nodules et des masses.</w:t>
      </w:r>
    </w:p>
    <w:p w14:paraId="27E7BB87" w14:textId="29F9F8B4" w:rsidR="00A54E85" w:rsidRDefault="00A54E85" w:rsidP="00A54E85">
      <w:pPr>
        <w:tabs>
          <w:tab w:val="left" w:pos="9000"/>
        </w:tabs>
        <w:spacing w:line="276" w:lineRule="auto"/>
        <w:ind w:left="360" w:right="66"/>
        <w:rPr>
          <w:color w:val="0070C0"/>
        </w:rPr>
      </w:pPr>
    </w:p>
    <w:p w14:paraId="0011E3F7" w14:textId="75C6CF48" w:rsidR="00A54E85" w:rsidRDefault="005F05D0" w:rsidP="00A54E85">
      <w:pPr>
        <w:spacing w:line="276" w:lineRule="auto"/>
        <w:rPr>
          <w:color w:val="0070C0"/>
        </w:rPr>
      </w:pPr>
      <w:r>
        <w:rPr>
          <w:noProof/>
        </w:rPr>
        <w:drawing>
          <wp:anchor distT="0" distB="0" distL="114300" distR="114300" simplePos="0" relativeHeight="251849728" behindDoc="0" locked="0" layoutInCell="1" hidden="0" allowOverlap="1" wp14:anchorId="6A076EB4" wp14:editId="27D3C03E">
            <wp:simplePos x="0" y="0"/>
            <wp:positionH relativeFrom="column">
              <wp:posOffset>-262890</wp:posOffset>
            </wp:positionH>
            <wp:positionV relativeFrom="paragraph">
              <wp:posOffset>3810</wp:posOffset>
            </wp:positionV>
            <wp:extent cx="153670" cy="137160"/>
            <wp:effectExtent l="0" t="0" r="0" b="0"/>
            <wp:wrapSquare wrapText="bothSides" distT="0" distB="0" distL="114300" distR="11430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A54E85">
        <w:rPr>
          <w:color w:val="0070C0"/>
        </w:rPr>
        <w:t>Examens permettant le diagnostic histo-pathologique (détail dans l’item 309) :</w:t>
      </w:r>
    </w:p>
    <w:p w14:paraId="49633DDE" w14:textId="77777777" w:rsidR="00A54E85" w:rsidRDefault="00A54E85" w:rsidP="00A54E85">
      <w:pPr>
        <w:tabs>
          <w:tab w:val="left" w:pos="9000"/>
        </w:tabs>
        <w:spacing w:line="276" w:lineRule="auto"/>
        <w:ind w:right="66"/>
        <w:rPr>
          <w:color w:val="0070C0"/>
        </w:rPr>
      </w:pPr>
      <w:r>
        <w:rPr>
          <w:color w:val="0070C0"/>
        </w:rPr>
        <w:t>- Examen clinique attentif pour s’assurer de l’absence de lésion accessible à un prélèvement histologique peu invasif (une adénopathie périphérique ou sus-claviculaire par exemple). Le principe est de prioriser les examens diagnostiques les moins invasifs et les moins à risque.</w:t>
      </w:r>
    </w:p>
    <w:p w14:paraId="7F493DE5" w14:textId="77777777" w:rsidR="00A54E85" w:rsidRDefault="00A54E85" w:rsidP="00A54E85">
      <w:pPr>
        <w:tabs>
          <w:tab w:val="left" w:pos="9000"/>
        </w:tabs>
        <w:spacing w:line="276" w:lineRule="auto"/>
        <w:ind w:right="66"/>
        <w:rPr>
          <w:color w:val="0070C0"/>
        </w:rPr>
      </w:pPr>
      <w:r>
        <w:rPr>
          <w:color w:val="0070C0"/>
        </w:rPr>
        <w:t>- Endoscopie bronchique :</w:t>
      </w:r>
    </w:p>
    <w:p w14:paraId="37D87646" w14:textId="77777777" w:rsidR="00A54E85" w:rsidRDefault="00A54E85" w:rsidP="00A54E85">
      <w:pPr>
        <w:numPr>
          <w:ilvl w:val="0"/>
          <w:numId w:val="28"/>
        </w:numPr>
        <w:spacing w:line="276" w:lineRule="auto"/>
        <w:ind w:left="284" w:right="66" w:hanging="142"/>
        <w:rPr>
          <w:color w:val="0070C0"/>
        </w:rPr>
      </w:pPr>
      <w:r>
        <w:rPr>
          <w:color w:val="0070C0"/>
        </w:rPr>
        <w:t>Permet classiquement d’explorer les bronches centrales (segmentaires à sous-segmentaires) et n’accède pas aux lésions distales, sauf en utilisant des instruments spécifiques. Elle reste d’indication large à la recherche d’une autre lésion plus proximale. Un prélèvement endoscopique en s’aidant d’une technique d’échographie radiale (qui consiste à introduire une petite sonde d’échographie poussée et un cathéter pour prélèvements en distalité au travers du conduit opérateur de l’endoscope) est possible dans certains cas.</w:t>
      </w:r>
    </w:p>
    <w:p w14:paraId="063E2D7B" w14:textId="77777777" w:rsidR="00A54E85" w:rsidRDefault="00A54E85" w:rsidP="00A54E85">
      <w:pPr>
        <w:tabs>
          <w:tab w:val="left" w:pos="9000"/>
        </w:tabs>
        <w:spacing w:line="276" w:lineRule="auto"/>
        <w:ind w:right="66"/>
        <w:rPr>
          <w:color w:val="0070C0"/>
        </w:rPr>
      </w:pPr>
      <w:r>
        <w:rPr>
          <w:color w:val="0070C0"/>
        </w:rPr>
        <w:t>- Ponction transpariétale sous contrôle TDM voire échographique :</w:t>
      </w:r>
    </w:p>
    <w:p w14:paraId="1A637731" w14:textId="77777777" w:rsidR="00A54E85" w:rsidRDefault="00A54E85" w:rsidP="00A54E85">
      <w:pPr>
        <w:numPr>
          <w:ilvl w:val="0"/>
          <w:numId w:val="28"/>
        </w:numPr>
        <w:spacing w:line="276" w:lineRule="auto"/>
        <w:ind w:left="284" w:right="66" w:hanging="142"/>
        <w:rPr>
          <w:color w:val="0070C0"/>
        </w:rPr>
      </w:pPr>
      <w:r>
        <w:rPr>
          <w:color w:val="0070C0"/>
        </w:rPr>
        <w:t>Se complique d’un pneumothorax dans 10 à 20 % des cas, notamment lorsque le nodule est situé à distance de la plèvre ou lorsque le nodule se situe dans un lobe emphysémateux. Cette complication peut être mal tolérée en cas d’insuffisance respiratoire et il est donc raisonnable de disposer préalablement d’une évaluation spirométrique.</w:t>
      </w:r>
    </w:p>
    <w:p w14:paraId="74E04C6B" w14:textId="77777777" w:rsidR="00A54E85" w:rsidRDefault="00A54E85" w:rsidP="00A54E85">
      <w:pPr>
        <w:numPr>
          <w:ilvl w:val="0"/>
          <w:numId w:val="28"/>
        </w:numPr>
        <w:spacing w:line="276" w:lineRule="auto"/>
        <w:ind w:left="284" w:right="66" w:hanging="142"/>
        <w:rPr>
          <w:color w:val="0070C0"/>
        </w:rPr>
      </w:pPr>
      <w:r>
        <w:rPr>
          <w:color w:val="0070C0"/>
        </w:rPr>
        <w:t xml:space="preserve">La biopsie sous échographie n’est possible que pour les lésions au contact de la plèvre et dans des centres spécialisés. </w:t>
      </w:r>
    </w:p>
    <w:p w14:paraId="5BE098DC" w14:textId="77777777" w:rsidR="00A54E85" w:rsidRDefault="00A54E85" w:rsidP="00A54E85">
      <w:pPr>
        <w:tabs>
          <w:tab w:val="left" w:pos="9000"/>
        </w:tabs>
        <w:spacing w:line="276" w:lineRule="auto"/>
        <w:ind w:right="66"/>
        <w:rPr>
          <w:color w:val="0070C0"/>
        </w:rPr>
      </w:pPr>
      <w:r>
        <w:rPr>
          <w:color w:val="0070C0"/>
        </w:rPr>
        <w:lastRenderedPageBreak/>
        <w:t>- Autres techniques :</w:t>
      </w:r>
    </w:p>
    <w:p w14:paraId="525510A7" w14:textId="77777777" w:rsidR="00A54E85" w:rsidRDefault="00A54E85" w:rsidP="00A54E85">
      <w:pPr>
        <w:numPr>
          <w:ilvl w:val="0"/>
          <w:numId w:val="28"/>
        </w:numPr>
        <w:spacing w:line="276" w:lineRule="auto"/>
        <w:ind w:left="284" w:right="66" w:hanging="142"/>
        <w:rPr>
          <w:color w:val="0070C0"/>
        </w:rPr>
      </w:pPr>
      <w:r>
        <w:rPr>
          <w:color w:val="0070C0"/>
        </w:rPr>
        <w:t>Si adénopathies médiastinales fixant en TEP-TDM au 18FDG : écho-endoscopie transbronchique voire médiastinoscopie selon la localisation de la cible (item 309).</w:t>
      </w:r>
    </w:p>
    <w:p w14:paraId="246CC39E" w14:textId="77777777" w:rsidR="00A54E85" w:rsidRDefault="00A54E85" w:rsidP="00A54E85">
      <w:pPr>
        <w:numPr>
          <w:ilvl w:val="0"/>
          <w:numId w:val="28"/>
        </w:numPr>
        <w:spacing w:line="276" w:lineRule="auto"/>
        <w:ind w:left="284" w:right="66" w:hanging="142"/>
        <w:rPr>
          <w:color w:val="0070C0"/>
        </w:rPr>
      </w:pPr>
      <w:r>
        <w:rPr>
          <w:color w:val="0070C0"/>
        </w:rPr>
        <w:t>Exérèse chirurgicale du nodule avec analyse extemporanée. Si l’anatomopathologiste confirme le diagnostic de cancer primitif du poumon, cette exérèse est insuffisante et doit donc être complétée par une résection anatomique (lobectomie le plus souvent) associée à un curage ganglionnaire.</w:t>
      </w:r>
    </w:p>
    <w:p w14:paraId="7B993BEB" w14:textId="77777777" w:rsidR="00A54E85" w:rsidRDefault="00A54E85" w:rsidP="00A54E85">
      <w:pPr>
        <w:widowControl w:val="0"/>
        <w:spacing w:line="276" w:lineRule="auto"/>
      </w:pPr>
    </w:p>
    <w:p w14:paraId="409C9710" w14:textId="77777777" w:rsidR="00A54E85" w:rsidRDefault="00A54E85" w:rsidP="005F05D0">
      <w:pPr>
        <w:pStyle w:val="Titre4"/>
      </w:pPr>
      <w:r>
        <w:t xml:space="preserve">Stratégie diagnostique devant un nodule </w:t>
      </w:r>
    </w:p>
    <w:p w14:paraId="525C21D8" w14:textId="77777777" w:rsidR="00A54E85" w:rsidRDefault="00A54E85" w:rsidP="00A54E85">
      <w:pPr>
        <w:tabs>
          <w:tab w:val="left" w:pos="9000"/>
        </w:tabs>
        <w:spacing w:line="276" w:lineRule="auto"/>
        <w:ind w:right="66"/>
        <w:rPr>
          <w:color w:val="0070C0"/>
        </w:rPr>
      </w:pPr>
      <w:r>
        <w:rPr>
          <w:color w:val="0070C0"/>
        </w:rPr>
        <w:t>Les examens réalisés pour aboutir au diagnostic dépendent du risque lié au terrain du patient, de la taille de la lésion, de son aspect TDM, de son aspect à la TEP-TDM, de son évolutivité et de la fonction respiratoire.</w:t>
      </w:r>
    </w:p>
    <w:p w14:paraId="338B3DED" w14:textId="59D67BB9" w:rsidR="00A54E85" w:rsidRDefault="005F05D0" w:rsidP="00A54E85">
      <w:pPr>
        <w:spacing w:line="276" w:lineRule="auto"/>
        <w:ind w:left="1065" w:hanging="1077"/>
        <w:rPr>
          <w:color w:val="0070C0"/>
        </w:rPr>
      </w:pPr>
      <w:r>
        <w:rPr>
          <w:noProof/>
        </w:rPr>
        <w:drawing>
          <wp:anchor distT="0" distB="0" distL="114300" distR="114300" simplePos="0" relativeHeight="251854848" behindDoc="0" locked="0" layoutInCell="1" allowOverlap="1" wp14:anchorId="4CC1A9D6" wp14:editId="24B7054C">
            <wp:simplePos x="0" y="0"/>
            <wp:positionH relativeFrom="column">
              <wp:posOffset>-224459</wp:posOffset>
            </wp:positionH>
            <wp:positionV relativeFrom="paragraph">
              <wp:posOffset>166370</wp:posOffset>
            </wp:positionV>
            <wp:extent cx="135890" cy="138430"/>
            <wp:effectExtent l="0" t="0" r="0" b="0"/>
            <wp:wrapThrough wrapText="bothSides">
              <wp:wrapPolygon edited="0">
                <wp:start x="0" y="0"/>
                <wp:lineTo x="0" y="17835"/>
                <wp:lineTo x="18168" y="17835"/>
                <wp:lineTo x="18168" y="0"/>
                <wp:lineTo x="0" y="0"/>
              </wp:wrapPolygon>
            </wp:wrapThrough>
            <wp:docPr id="183234009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135890" cy="138430"/>
                    </a:xfrm>
                    <a:prstGeom prst="rect">
                      <a:avLst/>
                    </a:prstGeom>
                    <a:ln/>
                  </pic:spPr>
                </pic:pic>
              </a:graphicData>
            </a:graphic>
          </wp:anchor>
        </w:drawing>
      </w:r>
    </w:p>
    <w:p w14:paraId="7FD37A7F" w14:textId="3A1C8AC0" w:rsidR="00A54E85" w:rsidRPr="005F05D0" w:rsidRDefault="00A54E85" w:rsidP="005F05D0">
      <w:pPr>
        <w:pStyle w:val="lgende"/>
        <w:rPr>
          <w:color w:val="00B050"/>
        </w:rPr>
      </w:pPr>
      <w:bookmarkStart w:id="3" w:name="_heading=h.b4lnevhumsxz" w:colFirst="0" w:colLast="0"/>
      <w:bookmarkEnd w:id="3"/>
      <w:r w:rsidRPr="005F05D0">
        <w:rPr>
          <w:color w:val="00B050"/>
        </w:rPr>
        <w:t xml:space="preserve">Figure 10 : Proposition d’algorithme décisionnel face à un nodule pulmonaire solide </w:t>
      </w:r>
    </w:p>
    <w:p w14:paraId="6F0F4C53" w14:textId="77777777" w:rsidR="00A54E85" w:rsidRDefault="00A54E85" w:rsidP="00A54E85">
      <w:pPr>
        <w:tabs>
          <w:tab w:val="left" w:pos="9000"/>
        </w:tabs>
        <w:spacing w:line="276" w:lineRule="auto"/>
        <w:ind w:right="66"/>
        <w:jc w:val="center"/>
        <w:rPr>
          <w:color w:val="00B050"/>
        </w:rPr>
      </w:pPr>
      <w:r>
        <w:rPr>
          <w:noProof/>
          <w:color w:val="00B050"/>
        </w:rPr>
        <w:drawing>
          <wp:inline distT="0" distB="0" distL="0" distR="0" wp14:anchorId="31E1B779" wp14:editId="45D4DABB">
            <wp:extent cx="4858246" cy="3421895"/>
            <wp:effectExtent l="0" t="0" r="0" b="7620"/>
            <wp:docPr id="13" name="image15.jpg"/>
            <wp:cNvGraphicFramePr/>
            <a:graphic xmlns:a="http://schemas.openxmlformats.org/drawingml/2006/main">
              <a:graphicData uri="http://schemas.openxmlformats.org/drawingml/2006/picture">
                <pic:pic xmlns:pic="http://schemas.openxmlformats.org/drawingml/2006/picture">
                  <pic:nvPicPr>
                    <pic:cNvPr id="0" name="image15.jpg"/>
                    <pic:cNvPicPr preferRelativeResize="0"/>
                  </pic:nvPicPr>
                  <pic:blipFill>
                    <a:blip r:embed="rId22"/>
                    <a:srcRect/>
                    <a:stretch>
                      <a:fillRect/>
                    </a:stretch>
                  </pic:blipFill>
                  <pic:spPr>
                    <a:xfrm>
                      <a:off x="0" y="0"/>
                      <a:ext cx="4867486" cy="3428403"/>
                    </a:xfrm>
                    <a:prstGeom prst="rect">
                      <a:avLst/>
                    </a:prstGeom>
                    <a:ln/>
                  </pic:spPr>
                </pic:pic>
              </a:graphicData>
            </a:graphic>
          </wp:inline>
        </w:drawing>
      </w:r>
    </w:p>
    <w:p w14:paraId="38F00576" w14:textId="77777777" w:rsidR="00A54E85" w:rsidRPr="005F05D0" w:rsidRDefault="00A54E85" w:rsidP="005F05D0">
      <w:pPr>
        <w:pStyle w:val="lgende"/>
        <w:rPr>
          <w:color w:val="00B050"/>
        </w:rPr>
      </w:pPr>
      <w:r w:rsidRPr="005F05D0">
        <w:rPr>
          <w:color w:val="00B050"/>
        </w:rPr>
        <w:t># option à considérer en cas de risque élevé, notamment en lien avec les caractéristiques morphologiques (spiculations, lobes supérieurs).</w:t>
      </w:r>
    </w:p>
    <w:p w14:paraId="6B0E5CB3" w14:textId="77777777" w:rsidR="00A54E85" w:rsidRPr="005F05D0" w:rsidRDefault="00A54E85" w:rsidP="005F05D0">
      <w:pPr>
        <w:pStyle w:val="lgende"/>
        <w:rPr>
          <w:color w:val="00B050"/>
        </w:rPr>
      </w:pPr>
      <w:r w:rsidRPr="005F05D0">
        <w:rPr>
          <w:color w:val="00B050"/>
        </w:rPr>
        <w:t xml:space="preserve">* puis pas de suivi si pas d’évolution. En cas d’évolution, un suivi rapproché est nécessaire. Le temps de doublement volumique doit être calculé. </w:t>
      </w:r>
    </w:p>
    <w:p w14:paraId="21074141" w14:textId="77777777" w:rsidR="00A54E85" w:rsidRPr="005F05D0" w:rsidRDefault="00A54E85" w:rsidP="005F05D0">
      <w:pPr>
        <w:pStyle w:val="lgende"/>
        <w:rPr>
          <w:color w:val="00B050"/>
        </w:rPr>
      </w:pPr>
      <w:r w:rsidRPr="005F05D0">
        <w:rPr>
          <w:color w:val="00B050"/>
        </w:rPr>
        <w:t>¥ un temps de doublement volumique court (&lt; 400 jours) est un argument pour déclencher les investigations complémentaires devant la haute probabilité de cancer. Un temps de doublement &gt; 600 jours n’élimine pas complètement le risque de cancer, car il y a des tumeurs très lentement évolutives, mais une surveillance peut être instaurée dans ce cas.</w:t>
      </w:r>
    </w:p>
    <w:p w14:paraId="2E5F28C4" w14:textId="77777777" w:rsidR="00A54E85" w:rsidRPr="005F05D0" w:rsidRDefault="00A54E85" w:rsidP="005F05D0">
      <w:pPr>
        <w:pStyle w:val="lgende"/>
        <w:rPr>
          <w:color w:val="00B050"/>
        </w:rPr>
      </w:pPr>
      <w:r w:rsidRPr="005F05D0">
        <w:rPr>
          <w:color w:val="00B050"/>
        </w:rPr>
        <w:t>° en cas de nodules multiples, considérer le plus volumineux.</w:t>
      </w:r>
    </w:p>
    <w:p w14:paraId="13ABABFE" w14:textId="77777777" w:rsidR="00A54E85" w:rsidRDefault="00A54E85" w:rsidP="00A54E85">
      <w:pPr>
        <w:tabs>
          <w:tab w:val="left" w:pos="9000"/>
        </w:tabs>
        <w:spacing w:line="276" w:lineRule="auto"/>
        <w:ind w:left="-12" w:right="66"/>
        <w:rPr>
          <w:b/>
          <w:bCs/>
        </w:rPr>
      </w:pPr>
      <w:r>
        <w:rPr>
          <w:b/>
          <w:bCs/>
        </w:rPr>
        <w:t xml:space="preserve"> </w:t>
      </w:r>
    </w:p>
    <w:p w14:paraId="3BF1D902" w14:textId="01C63FC2" w:rsidR="00A54E85" w:rsidRDefault="00A54E85" w:rsidP="005F05D0">
      <w:pPr>
        <w:pStyle w:val="titredepartie"/>
        <w:numPr>
          <w:ilvl w:val="0"/>
          <w:numId w:val="4"/>
        </w:numPr>
      </w:pPr>
      <w:r>
        <w:t xml:space="preserve">LES MASSES ET TUMEURS DU MÉDIASTIN </w:t>
      </w:r>
    </w:p>
    <w:p w14:paraId="481F023C" w14:textId="77777777" w:rsidR="00A54E85" w:rsidRDefault="00A54E85" w:rsidP="00A54E85">
      <w:pPr>
        <w:spacing w:line="276" w:lineRule="auto"/>
        <w:ind w:right="66"/>
      </w:pPr>
      <w:r>
        <w:lastRenderedPageBreak/>
        <w:t>Sont exclues de ce chapitre la pathologie cardiovasculaire (ex. : anévrisme de l’aorte) et œsophagienne (ex. : hernie hiatale).</w:t>
      </w:r>
    </w:p>
    <w:p w14:paraId="68A58FD6" w14:textId="77777777" w:rsidR="00A54E85" w:rsidRDefault="00A54E85" w:rsidP="00A54E85">
      <w:pPr>
        <w:spacing w:line="276" w:lineRule="auto"/>
        <w:ind w:right="66"/>
      </w:pPr>
      <w:r>
        <w:t>La pathologie des organes intra médiastinaux, qu’elle soit de nature tumorale, inflammatoire ou infectieuse, entraîne un ensemble de signes regroupés sous le terme de syndrome médiastinal.</w:t>
      </w:r>
    </w:p>
    <w:p w14:paraId="328BEEFE" w14:textId="77777777" w:rsidR="00A54E85" w:rsidRDefault="00A54E85" w:rsidP="005F05D0">
      <w:r>
        <w:t>Les signes cliniques et radiographiques dépendent de la situation de l’organe atteint dans le médiastin et de la taille de la masse.</w:t>
      </w:r>
    </w:p>
    <w:p w14:paraId="3D5C4F7B" w14:textId="77777777" w:rsidR="00A54E85" w:rsidRDefault="00A54E85" w:rsidP="00A54E85">
      <w:pPr>
        <w:spacing w:line="276" w:lineRule="auto"/>
        <w:ind w:right="66"/>
        <w:rPr>
          <w:b/>
          <w:bCs/>
        </w:rPr>
      </w:pPr>
    </w:p>
    <w:p w14:paraId="1961E6EC" w14:textId="5E9E8A50" w:rsidR="00A54E85" w:rsidRDefault="00A54E85" w:rsidP="005F05D0">
      <w:pPr>
        <w:pStyle w:val="titredesous-partie"/>
        <w:numPr>
          <w:ilvl w:val="1"/>
          <w:numId w:val="4"/>
        </w:numPr>
        <w:ind w:left="567" w:hanging="425"/>
      </w:pPr>
      <w:r>
        <w:rPr>
          <w:shd w:val="clear" w:color="auto" w:fill="auto"/>
        </w:rPr>
        <w:t>Rappel de l’anatomie du médiastin</w:t>
      </w:r>
    </w:p>
    <w:p w14:paraId="5BE498EA" w14:textId="77777777" w:rsidR="00A54E85" w:rsidRDefault="00A54E85" w:rsidP="005F05D0">
      <w:pPr>
        <w:pStyle w:val="Titre4"/>
      </w:pPr>
      <w:r>
        <w:t>Limites anatomiques du médiastin</w:t>
      </w:r>
    </w:p>
    <w:p w14:paraId="6BCB3726" w14:textId="77777777" w:rsidR="00A54E85" w:rsidRDefault="00A54E85" w:rsidP="00A54E85">
      <w:pPr>
        <w:tabs>
          <w:tab w:val="left" w:pos="9000"/>
        </w:tabs>
        <w:spacing w:line="276" w:lineRule="auto"/>
        <w:ind w:right="66"/>
      </w:pPr>
      <w:r>
        <w:t>- En haut le défilé cervico-thoracique.</w:t>
      </w:r>
    </w:p>
    <w:p w14:paraId="6E0FAD74" w14:textId="77777777" w:rsidR="00A54E85" w:rsidRDefault="00A54E85" w:rsidP="00A54E85">
      <w:pPr>
        <w:tabs>
          <w:tab w:val="left" w:pos="9000"/>
        </w:tabs>
        <w:spacing w:line="276" w:lineRule="auto"/>
        <w:ind w:right="66"/>
      </w:pPr>
      <w:r>
        <w:t>- En bas le diaphragme.</w:t>
      </w:r>
    </w:p>
    <w:p w14:paraId="6A7E36B2" w14:textId="77777777" w:rsidR="00A54E85" w:rsidRDefault="00A54E85" w:rsidP="00A54E85">
      <w:pPr>
        <w:tabs>
          <w:tab w:val="left" w:pos="9000"/>
        </w:tabs>
        <w:spacing w:line="276" w:lineRule="auto"/>
        <w:ind w:right="66"/>
      </w:pPr>
      <w:r>
        <w:t>- En avant la paroi thoracique (sternum).</w:t>
      </w:r>
    </w:p>
    <w:p w14:paraId="070538BD" w14:textId="77777777" w:rsidR="00A54E85" w:rsidRDefault="00A54E85" w:rsidP="00A54E85">
      <w:pPr>
        <w:tabs>
          <w:tab w:val="left" w:pos="9000"/>
        </w:tabs>
        <w:spacing w:line="276" w:lineRule="auto"/>
        <w:ind w:right="66"/>
      </w:pPr>
      <w:r>
        <w:t>- En arrière les vertèbres.</w:t>
      </w:r>
    </w:p>
    <w:p w14:paraId="6E5E579D" w14:textId="77777777" w:rsidR="00A54E85" w:rsidRDefault="00A54E85" w:rsidP="00A54E85">
      <w:pPr>
        <w:tabs>
          <w:tab w:val="left" w:pos="9000"/>
        </w:tabs>
        <w:spacing w:line="276" w:lineRule="auto"/>
        <w:ind w:right="66"/>
      </w:pPr>
      <w:r>
        <w:t>- Latéralement les plèvres médiastinales droite et gauche.</w:t>
      </w:r>
    </w:p>
    <w:p w14:paraId="345421A4" w14:textId="77777777" w:rsidR="00A54E85" w:rsidRDefault="00A54E85" w:rsidP="00A54E85">
      <w:pPr>
        <w:widowControl w:val="0"/>
        <w:spacing w:line="276" w:lineRule="auto"/>
      </w:pPr>
    </w:p>
    <w:p w14:paraId="1A9B50F2" w14:textId="77777777" w:rsidR="00A54E85" w:rsidRDefault="00A54E85" w:rsidP="00AD3F49">
      <w:pPr>
        <w:pStyle w:val="Titre4"/>
      </w:pPr>
      <w:r>
        <w:t>Les loges du médiastin</w:t>
      </w:r>
    </w:p>
    <w:p w14:paraId="537D0883" w14:textId="77777777" w:rsidR="00A54E85" w:rsidRDefault="00A54E85" w:rsidP="00A54E85">
      <w:pPr>
        <w:spacing w:line="276" w:lineRule="auto"/>
        <w:ind w:right="66"/>
      </w:pPr>
      <w:r>
        <w:t xml:space="preserve">Le médiastin est artificiellement séparé en 9 loges (figure 11) : </w:t>
      </w:r>
    </w:p>
    <w:p w14:paraId="7EBC770E" w14:textId="77777777" w:rsidR="00A54E85" w:rsidRDefault="00A54E85" w:rsidP="00A54E85">
      <w:pPr>
        <w:spacing w:line="276" w:lineRule="auto"/>
        <w:ind w:right="66"/>
        <w:jc w:val="center"/>
      </w:pPr>
    </w:p>
    <w:p w14:paraId="1F3062C0" w14:textId="7403AD81" w:rsidR="00A54E85" w:rsidRDefault="00A54E85" w:rsidP="00AD3F49">
      <w:pPr>
        <w:pStyle w:val="lgende"/>
      </w:pPr>
      <w:r>
        <w:t>Figure 11 : Loges médiastinales et localisations des principales tumeurs médiastinales sur un cliché de profil (Baréty et Coury 1958).</w:t>
      </w:r>
    </w:p>
    <w:p w14:paraId="1E493399" w14:textId="42D8FA2E" w:rsidR="00A54E85" w:rsidRDefault="0010133D" w:rsidP="00A54E85">
      <w:pPr>
        <w:spacing w:line="276" w:lineRule="auto"/>
        <w:ind w:right="66"/>
        <w:jc w:val="center"/>
      </w:pPr>
      <w:r w:rsidRPr="00D23361">
        <w:rPr>
          <w:rFonts w:ascii="Arial" w:eastAsia="Arial" w:hAnsi="Arial"/>
          <w:noProof/>
          <w:sz w:val="18"/>
          <w:szCs w:val="18"/>
          <w14:ligatures w14:val="standardContextual"/>
        </w:rPr>
        <w:drawing>
          <wp:inline distT="0" distB="0" distL="0" distR="0" wp14:anchorId="19029C64" wp14:editId="14366E77">
            <wp:extent cx="4015691" cy="3130061"/>
            <wp:effectExtent l="0" t="0" r="4445" b="0"/>
            <wp:docPr id="134688345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a:extLst>
                        <a:ext uri="{28A0092B-C50C-407E-A947-70E740481C1C}">
                          <a14:useLocalDpi xmlns:a14="http://schemas.microsoft.com/office/drawing/2010/main" val="0"/>
                        </a:ext>
                      </a:extLst>
                    </a:blip>
                    <a:srcRect l="9242" r="18673"/>
                    <a:stretch>
                      <a:fillRect/>
                    </a:stretch>
                  </pic:blipFill>
                  <pic:spPr bwMode="auto">
                    <a:xfrm>
                      <a:off x="0" y="0"/>
                      <a:ext cx="4039323" cy="3148481"/>
                    </a:xfrm>
                    <a:prstGeom prst="rect">
                      <a:avLst/>
                    </a:prstGeom>
                    <a:noFill/>
                    <a:ln>
                      <a:noFill/>
                    </a:ln>
                    <a:extLst>
                      <a:ext uri="{53640926-AAD7-44D8-BBD7-CCE9431645EC}">
                        <a14:shadowObscured xmlns:a14="http://schemas.microsoft.com/office/drawing/2010/main"/>
                      </a:ext>
                    </a:extLst>
                  </pic:spPr>
                </pic:pic>
              </a:graphicData>
            </a:graphic>
          </wp:inline>
        </w:drawing>
      </w:r>
    </w:p>
    <w:p w14:paraId="794D31DF" w14:textId="77777777" w:rsidR="00A54E85" w:rsidRDefault="00A54E85" w:rsidP="00A54E85">
      <w:pPr>
        <w:spacing w:line="276" w:lineRule="auto"/>
        <w:ind w:right="66"/>
      </w:pPr>
      <w:r>
        <w:t xml:space="preserve">Trois étages de haut en bas : </w:t>
      </w:r>
    </w:p>
    <w:p w14:paraId="217F282E" w14:textId="77777777" w:rsidR="00A54E85" w:rsidRDefault="00A54E85" w:rsidP="00A54E85">
      <w:pPr>
        <w:tabs>
          <w:tab w:val="left" w:pos="9000"/>
        </w:tabs>
        <w:spacing w:line="276" w:lineRule="auto"/>
        <w:ind w:right="66"/>
      </w:pPr>
      <w:r>
        <w:t xml:space="preserve">- Étage supérieur, au-dessus de la portion horizontale de la crosse aortique. </w:t>
      </w:r>
    </w:p>
    <w:p w14:paraId="26354368" w14:textId="77777777" w:rsidR="00A54E85" w:rsidRDefault="00A54E85" w:rsidP="00A54E85">
      <w:pPr>
        <w:tabs>
          <w:tab w:val="left" w:pos="9000"/>
        </w:tabs>
        <w:spacing w:line="276" w:lineRule="auto"/>
        <w:ind w:right="66"/>
      </w:pPr>
      <w:r>
        <w:t xml:space="preserve">- Étage moyen, entre l’aorte et la carène. </w:t>
      </w:r>
    </w:p>
    <w:p w14:paraId="6467A653" w14:textId="77777777" w:rsidR="00A54E85" w:rsidRDefault="00A54E85" w:rsidP="00A54E85">
      <w:pPr>
        <w:tabs>
          <w:tab w:val="left" w:pos="9000"/>
        </w:tabs>
        <w:spacing w:line="276" w:lineRule="auto"/>
        <w:ind w:right="66"/>
      </w:pPr>
      <w:r>
        <w:t xml:space="preserve">- Étage inférieur, en dessous de la carène. </w:t>
      </w:r>
    </w:p>
    <w:p w14:paraId="7764AB2C" w14:textId="77777777" w:rsidR="00A54E85" w:rsidRDefault="00A54E85" w:rsidP="00A54E85">
      <w:pPr>
        <w:spacing w:line="276" w:lineRule="auto"/>
        <w:ind w:right="66"/>
      </w:pPr>
    </w:p>
    <w:p w14:paraId="6C079BD6" w14:textId="77777777" w:rsidR="00A54E85" w:rsidRDefault="00A54E85" w:rsidP="00A54E85">
      <w:pPr>
        <w:spacing w:line="276" w:lineRule="auto"/>
        <w:ind w:right="66"/>
      </w:pPr>
      <w:r>
        <w:lastRenderedPageBreak/>
        <w:t>Trois compartiments d’avant en arrière :</w:t>
      </w:r>
    </w:p>
    <w:p w14:paraId="7AF24D76" w14:textId="77777777" w:rsidR="00A54E85" w:rsidRDefault="00A54E85" w:rsidP="00A54E85">
      <w:pPr>
        <w:tabs>
          <w:tab w:val="left" w:pos="9000"/>
        </w:tabs>
        <w:spacing w:line="276" w:lineRule="auto"/>
        <w:ind w:right="66"/>
      </w:pPr>
      <w:r>
        <w:t xml:space="preserve">- Compartiment antérieur : en avant de l’axe trachéal puis des vaisseaux et du péricarde. </w:t>
      </w:r>
    </w:p>
    <w:p w14:paraId="3C929749" w14:textId="77777777" w:rsidR="00A54E85" w:rsidRDefault="00A54E85" w:rsidP="00A54E85">
      <w:pPr>
        <w:tabs>
          <w:tab w:val="left" w:pos="9000"/>
        </w:tabs>
        <w:spacing w:line="276" w:lineRule="auto"/>
        <w:ind w:right="66"/>
      </w:pPr>
      <w:r>
        <w:t xml:space="preserve">- Compartiment moyen : au niveau de l’axe trachéo-bronchique. </w:t>
      </w:r>
    </w:p>
    <w:p w14:paraId="5EC2A941" w14:textId="77777777" w:rsidR="00A54E85" w:rsidRDefault="00A54E85" w:rsidP="00A54E85">
      <w:pPr>
        <w:widowControl w:val="0"/>
        <w:tabs>
          <w:tab w:val="left" w:pos="9000"/>
        </w:tabs>
        <w:spacing w:line="276" w:lineRule="auto"/>
        <w:ind w:right="66"/>
        <w:rPr>
          <w:b/>
          <w:bCs/>
        </w:rPr>
      </w:pPr>
      <w:r>
        <w:t>- Compartiment postérieur</w:t>
      </w:r>
      <w:r>
        <w:rPr>
          <w:rFonts w:ascii="Arial" w:eastAsia="Arial" w:hAnsi="Arial" w:cs="Arial"/>
        </w:rPr>
        <w:t> </w:t>
      </w:r>
      <w:r>
        <w:t>; en arrière de l’axe trachéobronchique.</w:t>
      </w:r>
    </w:p>
    <w:p w14:paraId="6CE4055E" w14:textId="77777777" w:rsidR="00A54E85" w:rsidRDefault="00A54E85" w:rsidP="00A54E85">
      <w:pPr>
        <w:widowControl w:val="0"/>
        <w:spacing w:line="276" w:lineRule="auto"/>
        <w:rPr>
          <w:b/>
          <w:bCs/>
        </w:rPr>
      </w:pPr>
    </w:p>
    <w:p w14:paraId="02AED06D" w14:textId="6BF9B76F" w:rsidR="00A54E85" w:rsidRDefault="00AD3F49" w:rsidP="00AD3F49">
      <w:pPr>
        <w:pStyle w:val="titredesous-partie"/>
        <w:numPr>
          <w:ilvl w:val="1"/>
          <w:numId w:val="4"/>
        </w:numPr>
        <w:ind w:left="709" w:hanging="567"/>
      </w:pPr>
      <w:r>
        <w:rPr>
          <w:noProof/>
        </w:rPr>
        <w:drawing>
          <wp:anchor distT="0" distB="0" distL="114300" distR="114300" simplePos="0" relativeHeight="251850752" behindDoc="0" locked="0" layoutInCell="1" hidden="0" allowOverlap="1" wp14:anchorId="55755140" wp14:editId="3E01473E">
            <wp:simplePos x="0" y="0"/>
            <wp:positionH relativeFrom="column">
              <wp:posOffset>-260046</wp:posOffset>
            </wp:positionH>
            <wp:positionV relativeFrom="paragraph">
              <wp:posOffset>325120</wp:posOffset>
            </wp:positionV>
            <wp:extent cx="153670" cy="137160"/>
            <wp:effectExtent l="0" t="0" r="0" b="0"/>
            <wp:wrapSquare wrapText="bothSides" distT="0" distB="0" distL="114300" distR="114300"/>
            <wp:docPr id="2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53670" cy="137160"/>
                    </a:xfrm>
                    <a:prstGeom prst="rect">
                      <a:avLst/>
                    </a:prstGeom>
                    <a:ln/>
                  </pic:spPr>
                </pic:pic>
              </a:graphicData>
            </a:graphic>
          </wp:anchor>
        </w:drawing>
      </w:r>
      <w:r w:rsidR="00A54E85">
        <w:rPr>
          <w:shd w:val="clear" w:color="auto" w:fill="auto"/>
        </w:rPr>
        <w:t>Aspect radiographique d’une masse médiastinale</w:t>
      </w:r>
    </w:p>
    <w:p w14:paraId="077EA105" w14:textId="3D8ACFD8" w:rsidR="00A54E85" w:rsidRDefault="00A54E85" w:rsidP="00A54E85">
      <w:pPr>
        <w:widowControl w:val="0"/>
        <w:spacing w:line="276" w:lineRule="auto"/>
        <w:rPr>
          <w:b/>
          <w:bCs/>
          <w:i/>
          <w:iCs/>
          <w:color w:val="0070C0"/>
        </w:rPr>
      </w:pPr>
      <w:r>
        <w:rPr>
          <w:b/>
          <w:bCs/>
          <w:i/>
          <w:iCs/>
          <w:color w:val="0070C0"/>
        </w:rPr>
        <w:t xml:space="preserve">Diagnostic positif de localisation médiastinale sur la radiographie de thorax. </w:t>
      </w:r>
    </w:p>
    <w:p w14:paraId="1FF3F1DF" w14:textId="77777777" w:rsidR="00A54E85" w:rsidRDefault="00A54E85" w:rsidP="00A54E85">
      <w:pPr>
        <w:spacing w:line="276" w:lineRule="auto"/>
        <w:ind w:right="66"/>
        <w:rPr>
          <w:color w:val="0070C0"/>
        </w:rPr>
      </w:pPr>
      <w:r>
        <w:rPr>
          <w:color w:val="0070C0"/>
        </w:rPr>
        <w:t xml:space="preserve">Les masses médiastinales se présentent sous forme d’opacités : </w:t>
      </w:r>
    </w:p>
    <w:p w14:paraId="6C92B331" w14:textId="77777777" w:rsidR="00A54E85" w:rsidRDefault="00A54E85" w:rsidP="00A54E85">
      <w:pPr>
        <w:tabs>
          <w:tab w:val="left" w:pos="9000"/>
        </w:tabs>
        <w:spacing w:line="276" w:lineRule="auto"/>
        <w:ind w:right="66"/>
        <w:rPr>
          <w:color w:val="0070C0"/>
        </w:rPr>
      </w:pPr>
      <w:r>
        <w:rPr>
          <w:color w:val="0070C0"/>
        </w:rPr>
        <w:t>- De limite externe nette convexe vers le poumon.</w:t>
      </w:r>
    </w:p>
    <w:p w14:paraId="52F162C9" w14:textId="77777777" w:rsidR="00A54E85" w:rsidRDefault="00A54E85" w:rsidP="00A54E85">
      <w:pPr>
        <w:tabs>
          <w:tab w:val="left" w:pos="9000"/>
        </w:tabs>
        <w:spacing w:line="276" w:lineRule="auto"/>
        <w:ind w:right="66"/>
        <w:rPr>
          <w:color w:val="0070C0"/>
        </w:rPr>
      </w:pPr>
      <w:r>
        <w:rPr>
          <w:color w:val="0070C0"/>
        </w:rPr>
        <w:t>- Se raccordant en pente douce avec le médiastin.</w:t>
      </w:r>
    </w:p>
    <w:p w14:paraId="1167A48B" w14:textId="77777777" w:rsidR="00A54E85" w:rsidRDefault="00A54E85" w:rsidP="00A54E85">
      <w:pPr>
        <w:tabs>
          <w:tab w:val="left" w:pos="9000"/>
        </w:tabs>
        <w:spacing w:line="276" w:lineRule="auto"/>
        <w:ind w:right="66"/>
        <w:rPr>
          <w:color w:val="0070C0"/>
        </w:rPr>
      </w:pPr>
      <w:r>
        <w:rPr>
          <w:color w:val="0070C0"/>
        </w:rPr>
        <w:t>- À limite interne non visible, car non discernable des éléments du médiastin.</w:t>
      </w:r>
    </w:p>
    <w:p w14:paraId="50203512" w14:textId="77777777" w:rsidR="00A54E85" w:rsidRDefault="00A54E85" w:rsidP="00A54E85">
      <w:pPr>
        <w:tabs>
          <w:tab w:val="left" w:pos="9000"/>
        </w:tabs>
        <w:spacing w:line="276" w:lineRule="auto"/>
        <w:ind w:right="66"/>
        <w:rPr>
          <w:color w:val="0070C0"/>
        </w:rPr>
      </w:pPr>
      <w:r>
        <w:rPr>
          <w:color w:val="0070C0"/>
        </w:rPr>
        <w:t>- De tonalité hydrique comme le reste du médiastin.</w:t>
      </w:r>
    </w:p>
    <w:p w14:paraId="7EA0E5CD" w14:textId="77777777" w:rsidR="00A54E85" w:rsidRDefault="00A54E85" w:rsidP="00A54E85">
      <w:pPr>
        <w:tabs>
          <w:tab w:val="left" w:pos="9000"/>
        </w:tabs>
        <w:spacing w:line="276" w:lineRule="auto"/>
        <w:ind w:right="66"/>
        <w:rPr>
          <w:color w:val="0070C0"/>
        </w:rPr>
      </w:pPr>
      <w:r>
        <w:rPr>
          <w:color w:val="0070C0"/>
        </w:rPr>
        <w:t>- Peuvent déformer ou déplacer une ligne médiastinale, ce signe ayant une valeur localisatrice majeure (signe de la silhouette : si la masse est en avant du médiastin elle en efface les bords et vice versa).</w:t>
      </w:r>
    </w:p>
    <w:p w14:paraId="7D9CE9BF" w14:textId="77777777" w:rsidR="00A54E85" w:rsidRDefault="00A54E85" w:rsidP="00A54E85">
      <w:pPr>
        <w:tabs>
          <w:tab w:val="left" w:pos="9000"/>
        </w:tabs>
        <w:spacing w:line="276" w:lineRule="auto"/>
        <w:ind w:right="66"/>
        <w:rPr>
          <w:color w:val="0070C0"/>
        </w:rPr>
      </w:pPr>
    </w:p>
    <w:p w14:paraId="07C04365" w14:textId="77777777" w:rsidR="00A54E85" w:rsidRDefault="00A54E85" w:rsidP="00A54E85">
      <w:pPr>
        <w:spacing w:line="276" w:lineRule="auto"/>
        <w:ind w:right="66"/>
        <w:rPr>
          <w:color w:val="0070C0"/>
        </w:rPr>
      </w:pPr>
      <w:r>
        <w:rPr>
          <w:color w:val="0070C0"/>
        </w:rPr>
        <w:t>La TDM est l’examen essentiel au diagnostic :</w:t>
      </w:r>
    </w:p>
    <w:p w14:paraId="75E628AB" w14:textId="77777777" w:rsidR="00A54E85" w:rsidRDefault="00A54E85" w:rsidP="00A54E85">
      <w:pPr>
        <w:tabs>
          <w:tab w:val="left" w:pos="9000"/>
        </w:tabs>
        <w:spacing w:line="276" w:lineRule="auto"/>
        <w:ind w:right="66"/>
        <w:rPr>
          <w:color w:val="0070C0"/>
        </w:rPr>
      </w:pPr>
      <w:r>
        <w:rPr>
          <w:color w:val="0070C0"/>
        </w:rPr>
        <w:t>- Analysée sur les fenêtres dites médiastinales, permettant la détermination des densités tissulaires, graisseuses ou liquidiennes.</w:t>
      </w:r>
    </w:p>
    <w:p w14:paraId="19B3240E" w14:textId="77777777" w:rsidR="00A54E85" w:rsidRDefault="00A54E85" w:rsidP="00A54E85">
      <w:pPr>
        <w:tabs>
          <w:tab w:val="left" w:pos="9000"/>
        </w:tabs>
        <w:spacing w:line="276" w:lineRule="auto"/>
        <w:ind w:right="66"/>
        <w:rPr>
          <w:color w:val="0070C0"/>
        </w:rPr>
      </w:pPr>
      <w:r>
        <w:rPr>
          <w:color w:val="0070C0"/>
        </w:rPr>
        <w:t xml:space="preserve">- Injection de produit de contraste pour identifier les structures vasculaires normales du médiastin, les différencier d’une structure tissulaire, apprécier la perméabilité d’un gros tronc vasculaire et les distinguer d’une pathologie vasculaire (anévrysme). </w:t>
      </w:r>
    </w:p>
    <w:p w14:paraId="087AF159" w14:textId="77777777" w:rsidR="00A54E85" w:rsidRDefault="00A54E85" w:rsidP="00A54E85">
      <w:pPr>
        <w:widowControl w:val="0"/>
        <w:spacing w:line="276" w:lineRule="auto"/>
        <w:rPr>
          <w:b/>
          <w:bCs/>
          <w:i/>
          <w:iCs/>
        </w:rPr>
      </w:pPr>
    </w:p>
    <w:p w14:paraId="6F89A903" w14:textId="146FC4EA" w:rsidR="00A54E85" w:rsidRDefault="00A54E85" w:rsidP="00AD3F49">
      <w:pPr>
        <w:pStyle w:val="titredesous-partie"/>
        <w:numPr>
          <w:ilvl w:val="1"/>
          <w:numId w:val="4"/>
        </w:numPr>
        <w:ind w:left="567" w:hanging="425"/>
      </w:pPr>
      <w:r>
        <w:rPr>
          <w:shd w:val="clear" w:color="auto" w:fill="auto"/>
        </w:rPr>
        <w:t>Étiologies des masses du médiastin</w:t>
      </w:r>
    </w:p>
    <w:p w14:paraId="0F25D573" w14:textId="77777777" w:rsidR="00A54E85" w:rsidRDefault="00A54E85" w:rsidP="00AD3F49">
      <w:pPr>
        <w:pStyle w:val="Titre4"/>
      </w:pPr>
      <w:r>
        <w:t xml:space="preserve">Opacité du médiastin antérieur </w:t>
      </w:r>
    </w:p>
    <w:p w14:paraId="397A4BE8" w14:textId="77777777" w:rsidR="00A54E85" w:rsidRDefault="00A54E85" w:rsidP="00A54E85">
      <w:pPr>
        <w:widowControl w:val="0"/>
        <w:spacing w:line="276" w:lineRule="auto"/>
        <w:rPr>
          <w:b/>
          <w:bCs/>
          <w:i/>
          <w:iCs/>
          <w:color w:val="0070C0"/>
        </w:rPr>
      </w:pPr>
      <w:r>
        <w:rPr>
          <w:b/>
          <w:bCs/>
          <w:i/>
          <w:iCs/>
          <w:color w:val="0070C0"/>
        </w:rPr>
        <w:t>Médiastin antérieur et supérieur :</w:t>
      </w:r>
    </w:p>
    <w:p w14:paraId="23BEE6CA" w14:textId="77777777" w:rsidR="00A54E85" w:rsidRDefault="00A54E85" w:rsidP="00A54E85">
      <w:pPr>
        <w:tabs>
          <w:tab w:val="left" w:pos="9000"/>
        </w:tabs>
        <w:spacing w:line="276" w:lineRule="auto"/>
        <w:ind w:right="66"/>
        <w:rPr>
          <w:color w:val="0070C0"/>
        </w:rPr>
      </w:pPr>
      <w:r>
        <w:rPr>
          <w:color w:val="0070C0"/>
        </w:rPr>
        <w:t xml:space="preserve">Ce sont essentiellement les </w:t>
      </w:r>
      <w:r>
        <w:rPr>
          <w:b/>
          <w:bCs/>
          <w:color w:val="0070C0"/>
          <w:u w:val="single"/>
        </w:rPr>
        <w:t>goitres plongeants</w:t>
      </w:r>
      <w:r>
        <w:rPr>
          <w:color w:val="0070C0"/>
        </w:rPr>
        <w:t xml:space="preserve"> de découverte fortuite (figure 12) : </w:t>
      </w:r>
    </w:p>
    <w:p w14:paraId="6DA88F40" w14:textId="77777777" w:rsidR="00A54E85" w:rsidRDefault="00A54E85" w:rsidP="00A54E85">
      <w:pPr>
        <w:spacing w:line="276" w:lineRule="auto"/>
        <w:ind w:right="66"/>
        <w:rPr>
          <w:color w:val="0070C0"/>
        </w:rPr>
      </w:pPr>
      <w:r>
        <w:rPr>
          <w:color w:val="0070C0"/>
        </w:rPr>
        <w:t xml:space="preserve">- tumeur en général bénigne, développée à partir d’un des lobes thyroïdiens et plongeant au travers du défilé cervico thoracique. </w:t>
      </w:r>
    </w:p>
    <w:p w14:paraId="768C691B" w14:textId="77777777" w:rsidR="00A54E85" w:rsidRDefault="00A54E85" w:rsidP="00A54E85">
      <w:pPr>
        <w:spacing w:line="276" w:lineRule="auto"/>
        <w:ind w:right="66"/>
        <w:rPr>
          <w:color w:val="0070C0"/>
        </w:rPr>
      </w:pPr>
      <w:r>
        <w:rPr>
          <w:color w:val="0070C0"/>
        </w:rPr>
        <w:t>- Peut entraîner un refoulement et plus rarement une compression trachéale.</w:t>
      </w:r>
    </w:p>
    <w:p w14:paraId="03A92F84" w14:textId="77777777" w:rsidR="00A54E85" w:rsidRDefault="00A54E85" w:rsidP="00A54E85">
      <w:pPr>
        <w:spacing w:line="276" w:lineRule="auto"/>
        <w:ind w:right="66"/>
        <w:rPr>
          <w:color w:val="0070C0"/>
        </w:rPr>
      </w:pPr>
      <w:r>
        <w:rPr>
          <w:color w:val="0070C0"/>
        </w:rPr>
        <w:t>- Le diagnostic est affirmé par la TDM qui montre que la lésion est en continuité avec la glande thyroïde et est souvent calcifiée.</w:t>
      </w:r>
    </w:p>
    <w:p w14:paraId="0C90946D" w14:textId="77777777" w:rsidR="00A54E85" w:rsidRDefault="00A54E85" w:rsidP="00A54E85">
      <w:pPr>
        <w:spacing w:line="276" w:lineRule="auto"/>
        <w:jc w:val="center"/>
        <w:rPr>
          <w:color w:val="0070C0"/>
        </w:rPr>
      </w:pPr>
    </w:p>
    <w:p w14:paraId="219AD94A" w14:textId="77777777" w:rsidR="00A54E85" w:rsidRPr="00AD3F49" w:rsidRDefault="00A54E85" w:rsidP="00AD3F49">
      <w:pPr>
        <w:pStyle w:val="lgende"/>
        <w:rPr>
          <w:color w:val="0070C0"/>
        </w:rPr>
      </w:pPr>
      <w:r w:rsidRPr="00AD3F49">
        <w:rPr>
          <w:color w:val="0070C0"/>
        </w:rPr>
        <w:t>Figure 12 : Goitre plongeant intrathoracique. Notez la continuité de la masse avec les lobes thyroïdiens.</w:t>
      </w:r>
    </w:p>
    <w:p w14:paraId="4C8EAE7E" w14:textId="77777777" w:rsidR="00A54E85" w:rsidRDefault="00A54E85" w:rsidP="00A54E85">
      <w:pPr>
        <w:spacing w:line="276" w:lineRule="auto"/>
        <w:jc w:val="center"/>
        <w:rPr>
          <w:i/>
          <w:iCs/>
        </w:rPr>
      </w:pPr>
      <w:r>
        <w:rPr>
          <w:i/>
          <w:iCs/>
          <w:noProof/>
        </w:rPr>
        <w:lastRenderedPageBreak/>
        <w:drawing>
          <wp:inline distT="0" distB="0" distL="0" distR="0" wp14:anchorId="701719C9" wp14:editId="75081464">
            <wp:extent cx="5677231" cy="3016384"/>
            <wp:effectExtent l="0" t="0" r="0" b="0"/>
            <wp:docPr id="15"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24"/>
                    <a:srcRect/>
                    <a:stretch>
                      <a:fillRect/>
                    </a:stretch>
                  </pic:blipFill>
                  <pic:spPr>
                    <a:xfrm>
                      <a:off x="0" y="0"/>
                      <a:ext cx="5688014" cy="3022113"/>
                    </a:xfrm>
                    <a:prstGeom prst="rect">
                      <a:avLst/>
                    </a:prstGeom>
                    <a:ln/>
                  </pic:spPr>
                </pic:pic>
              </a:graphicData>
            </a:graphic>
          </wp:inline>
        </w:drawing>
      </w:r>
    </w:p>
    <w:p w14:paraId="18C903F9" w14:textId="77777777" w:rsidR="00A54E85" w:rsidRDefault="00A54E85" w:rsidP="00A54E85">
      <w:pPr>
        <w:widowControl w:val="0"/>
        <w:spacing w:line="276" w:lineRule="auto"/>
        <w:rPr>
          <w:i/>
          <w:iCs/>
        </w:rPr>
      </w:pPr>
    </w:p>
    <w:p w14:paraId="72AA2605" w14:textId="77777777" w:rsidR="00A54E85" w:rsidRDefault="00A54E85" w:rsidP="00A54E85">
      <w:pPr>
        <w:widowControl w:val="0"/>
        <w:spacing w:line="276" w:lineRule="auto"/>
        <w:rPr>
          <w:b/>
          <w:bCs/>
          <w:i/>
          <w:iCs/>
          <w:color w:val="0070C0"/>
        </w:rPr>
      </w:pPr>
      <w:r>
        <w:rPr>
          <w:b/>
          <w:bCs/>
          <w:i/>
          <w:iCs/>
          <w:color w:val="0070C0"/>
        </w:rPr>
        <w:t>Médiastin antérieur et moyen</w:t>
      </w:r>
    </w:p>
    <w:p w14:paraId="0481815C" w14:textId="77777777" w:rsidR="00A54E85" w:rsidRDefault="00A54E85" w:rsidP="00A54E85">
      <w:pPr>
        <w:tabs>
          <w:tab w:val="left" w:pos="9000"/>
        </w:tabs>
        <w:spacing w:line="276" w:lineRule="auto"/>
        <w:ind w:right="66"/>
        <w:rPr>
          <w:color w:val="0070C0"/>
        </w:rPr>
      </w:pPr>
      <w:r>
        <w:rPr>
          <w:color w:val="0070C0"/>
        </w:rPr>
        <w:t>Tumeurs thymiques (figure 13) :</w:t>
      </w:r>
    </w:p>
    <w:p w14:paraId="774C5D7E" w14:textId="77777777" w:rsidR="00A54E85" w:rsidRDefault="00A54E85" w:rsidP="00A54E85">
      <w:pPr>
        <w:spacing w:line="276" w:lineRule="auto"/>
        <w:ind w:right="66"/>
        <w:rPr>
          <w:color w:val="0070C0"/>
        </w:rPr>
      </w:pPr>
      <w:r>
        <w:rPr>
          <w:color w:val="0070C0"/>
        </w:rPr>
        <w:t xml:space="preserve">- Le thymus subit au cours de la vie une involution adipeuse. La glande disparaît à l’âge adulte pour laisser place à un reliquat graisseux rétrosternal. </w:t>
      </w:r>
    </w:p>
    <w:p w14:paraId="47AB9805" w14:textId="77777777" w:rsidR="00A54E85" w:rsidRDefault="00A54E85" w:rsidP="00A54E85">
      <w:pPr>
        <w:spacing w:line="276" w:lineRule="auto"/>
        <w:ind w:right="66"/>
        <w:rPr>
          <w:color w:val="0070C0"/>
        </w:rPr>
      </w:pPr>
      <w:r>
        <w:rPr>
          <w:color w:val="0070C0"/>
        </w:rPr>
        <w:t>- Une augmentation de la taille de la glande thymique est considérée comme pathologique après l’âge de 40 ans.</w:t>
      </w:r>
    </w:p>
    <w:p w14:paraId="1CF3CB5D" w14:textId="77777777" w:rsidR="00A54E85" w:rsidRDefault="00A54E85" w:rsidP="00A54E85">
      <w:pPr>
        <w:spacing w:line="276" w:lineRule="auto"/>
        <w:ind w:right="66"/>
        <w:rPr>
          <w:color w:val="0070C0"/>
        </w:rPr>
      </w:pPr>
      <w:r>
        <w:rPr>
          <w:color w:val="0070C0"/>
        </w:rPr>
        <w:t xml:space="preserve">- Les tumeurs thymiques sont classées en 3 catégories : </w:t>
      </w:r>
    </w:p>
    <w:p w14:paraId="4FCD7691" w14:textId="77777777" w:rsidR="00A54E85" w:rsidRDefault="00A54E85" w:rsidP="00A54E85">
      <w:pPr>
        <w:numPr>
          <w:ilvl w:val="0"/>
          <w:numId w:val="32"/>
        </w:numPr>
        <w:spacing w:line="276" w:lineRule="auto"/>
        <w:ind w:left="284" w:hanging="142"/>
        <w:rPr>
          <w:color w:val="0070C0"/>
        </w:rPr>
      </w:pPr>
      <w:r>
        <w:rPr>
          <w:color w:val="0070C0"/>
        </w:rPr>
        <w:t>Tumeurs épithéliales du thymus qui peuvent être découvertes à l’occasion d’une myasthénie liée à la production par la tumeur d’anticorps anti-récepteurs de l’acétylcholine.</w:t>
      </w:r>
    </w:p>
    <w:p w14:paraId="184A72F8" w14:textId="77777777" w:rsidR="00A54E85" w:rsidRDefault="00A54E85" w:rsidP="00A54E85">
      <w:pPr>
        <w:numPr>
          <w:ilvl w:val="0"/>
          <w:numId w:val="32"/>
        </w:numPr>
        <w:spacing w:line="276" w:lineRule="auto"/>
        <w:ind w:left="284" w:hanging="142"/>
        <w:rPr>
          <w:color w:val="0070C0"/>
        </w:rPr>
      </w:pPr>
      <w:r>
        <w:rPr>
          <w:color w:val="0070C0"/>
        </w:rPr>
        <w:t xml:space="preserve">Lymphomes thymiques. </w:t>
      </w:r>
    </w:p>
    <w:p w14:paraId="7B2942D9" w14:textId="77777777" w:rsidR="00A54E85" w:rsidRDefault="00A54E85" w:rsidP="00A54E85">
      <w:pPr>
        <w:numPr>
          <w:ilvl w:val="0"/>
          <w:numId w:val="32"/>
        </w:numPr>
        <w:spacing w:line="276" w:lineRule="auto"/>
        <w:ind w:left="284" w:hanging="142"/>
        <w:rPr>
          <w:color w:val="0070C0"/>
        </w:rPr>
      </w:pPr>
      <w:r>
        <w:rPr>
          <w:color w:val="0070C0"/>
        </w:rPr>
        <w:t>Kystes et tumeurs bénignes thymiques.</w:t>
      </w:r>
    </w:p>
    <w:p w14:paraId="78F665DB" w14:textId="77777777" w:rsidR="00A54E85" w:rsidRDefault="00A54E85" w:rsidP="00A54E85">
      <w:pPr>
        <w:spacing w:line="276" w:lineRule="auto"/>
        <w:rPr>
          <w:color w:val="0070C0"/>
        </w:rPr>
      </w:pPr>
    </w:p>
    <w:p w14:paraId="1FAE7979" w14:textId="77777777" w:rsidR="00A54E85" w:rsidRPr="00AD3F49" w:rsidRDefault="00A54E85" w:rsidP="00AD3F49">
      <w:pPr>
        <w:pStyle w:val="lgende"/>
        <w:rPr>
          <w:color w:val="0070C0"/>
        </w:rPr>
      </w:pPr>
      <w:r w:rsidRPr="00AD3F49">
        <w:rPr>
          <w:color w:val="0070C0"/>
        </w:rPr>
        <w:t>Figure 13 : Lymphome thymique, notez le débordement latéral habituel pour les masses du médiastin antérieur (cliché de face) et l’envahissement tissulaire rétrosternal (TDM).</w:t>
      </w:r>
    </w:p>
    <w:p w14:paraId="0376D4A1" w14:textId="77777777" w:rsidR="00A54E85" w:rsidRDefault="00A54E85" w:rsidP="00A54E85">
      <w:pPr>
        <w:widowControl w:val="0"/>
        <w:spacing w:line="276" w:lineRule="auto"/>
        <w:jc w:val="center"/>
        <w:rPr>
          <w:i/>
          <w:iCs/>
        </w:rPr>
      </w:pPr>
      <w:r>
        <w:rPr>
          <w:i/>
          <w:iCs/>
          <w:noProof/>
        </w:rPr>
        <w:lastRenderedPageBreak/>
        <w:drawing>
          <wp:inline distT="0" distB="0" distL="0" distR="0" wp14:anchorId="167B65D5" wp14:editId="16FE6CDB">
            <wp:extent cx="2849880" cy="4714240"/>
            <wp:effectExtent l="0" t="0" r="0" b="0"/>
            <wp:docPr id="1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25"/>
                    <a:srcRect/>
                    <a:stretch>
                      <a:fillRect/>
                    </a:stretch>
                  </pic:blipFill>
                  <pic:spPr>
                    <a:xfrm>
                      <a:off x="0" y="0"/>
                      <a:ext cx="2849880" cy="4714240"/>
                    </a:xfrm>
                    <a:prstGeom prst="rect">
                      <a:avLst/>
                    </a:prstGeom>
                    <a:ln/>
                  </pic:spPr>
                </pic:pic>
              </a:graphicData>
            </a:graphic>
          </wp:inline>
        </w:drawing>
      </w:r>
    </w:p>
    <w:p w14:paraId="00C7C469" w14:textId="77777777" w:rsidR="00A54E85" w:rsidRDefault="00A54E85" w:rsidP="00A54E85">
      <w:pPr>
        <w:widowControl w:val="0"/>
        <w:spacing w:line="276" w:lineRule="auto"/>
        <w:jc w:val="center"/>
        <w:rPr>
          <w:b/>
          <w:bCs/>
          <w:i/>
          <w:iCs/>
        </w:rPr>
      </w:pPr>
    </w:p>
    <w:p w14:paraId="0AC6B229" w14:textId="77777777" w:rsidR="00A54E85" w:rsidRDefault="00A54E85" w:rsidP="00A54E85">
      <w:pPr>
        <w:tabs>
          <w:tab w:val="left" w:pos="9000"/>
        </w:tabs>
        <w:spacing w:line="276" w:lineRule="auto"/>
        <w:ind w:right="66"/>
        <w:rPr>
          <w:b/>
          <w:bCs/>
          <w:i/>
          <w:iCs/>
          <w:color w:val="0070C0"/>
        </w:rPr>
      </w:pPr>
      <w:r>
        <w:rPr>
          <w:b/>
          <w:bCs/>
          <w:i/>
          <w:iCs/>
          <w:color w:val="0070C0"/>
        </w:rPr>
        <w:t xml:space="preserve">Tératomes et tumeurs germinales (figure 14) : </w:t>
      </w:r>
    </w:p>
    <w:p w14:paraId="03AD8359" w14:textId="77777777" w:rsidR="00A54E85" w:rsidRDefault="00A54E85" w:rsidP="00A54E85">
      <w:pPr>
        <w:tabs>
          <w:tab w:val="left" w:pos="9000"/>
        </w:tabs>
        <w:spacing w:line="276" w:lineRule="auto"/>
        <w:ind w:right="66"/>
        <w:rPr>
          <w:color w:val="0070C0"/>
        </w:rPr>
      </w:pPr>
      <w:r>
        <w:rPr>
          <w:color w:val="0070C0"/>
          <w:highlight w:val="white"/>
        </w:rPr>
        <w:t>Les tumeurs germinales malignes sont des tumeurs issues de la transformation de cellules primitives, précurseur des ovules, chez la femme, ou des spermatozoïdes chez les hommes, mais dont la migration pendant la vie embryonnaire s’est arrêtée au niveau du médiastin. Elles peuvent donner le même spectre de tumeurs que celles observées dans les cancers des gonades.</w:t>
      </w:r>
    </w:p>
    <w:p w14:paraId="3294B201" w14:textId="77777777" w:rsidR="00A54E85" w:rsidRDefault="00A54E85" w:rsidP="00A54E85">
      <w:pPr>
        <w:spacing w:line="276" w:lineRule="auto"/>
        <w:ind w:right="66"/>
        <w:rPr>
          <w:color w:val="0070C0"/>
        </w:rPr>
      </w:pPr>
      <w:r>
        <w:rPr>
          <w:color w:val="0070C0"/>
        </w:rPr>
        <w:t>- Tératomes = tumeurs germinales bénignes (60 à 70 % des tumeurs des cellules germinales médiastinales).</w:t>
      </w:r>
    </w:p>
    <w:p w14:paraId="0D7DA932" w14:textId="77777777" w:rsidR="00A54E85" w:rsidRDefault="00A54E85" w:rsidP="00A54E85">
      <w:pPr>
        <w:spacing w:line="276" w:lineRule="auto"/>
        <w:ind w:right="66"/>
        <w:rPr>
          <w:color w:val="0070C0"/>
        </w:rPr>
      </w:pPr>
      <w:r>
        <w:rPr>
          <w:color w:val="0070C0"/>
        </w:rPr>
        <w:t>- Tumeur germinale séminomateuse (séminome) : tumeur maligne survenant chez l’homme jeune.</w:t>
      </w:r>
    </w:p>
    <w:p w14:paraId="11D553A3" w14:textId="77777777" w:rsidR="00AD3F49" w:rsidRDefault="00A54E85" w:rsidP="00AD3F49">
      <w:pPr>
        <w:spacing w:line="276" w:lineRule="auto"/>
        <w:ind w:right="66"/>
        <w:rPr>
          <w:color w:val="0070C0"/>
        </w:rPr>
      </w:pPr>
      <w:r>
        <w:rPr>
          <w:color w:val="0070C0"/>
        </w:rPr>
        <w:t>- Tumeurs germinales «</w:t>
      </w:r>
      <w:r>
        <w:rPr>
          <w:rFonts w:ascii="Arial" w:eastAsia="Arial" w:hAnsi="Arial" w:cs="Arial"/>
          <w:color w:val="0070C0"/>
        </w:rPr>
        <w:t> </w:t>
      </w:r>
      <w:r>
        <w:rPr>
          <w:color w:val="0070C0"/>
        </w:rPr>
        <w:t>non séminomateuses</w:t>
      </w:r>
      <w:r>
        <w:rPr>
          <w:rFonts w:ascii="Arial" w:eastAsia="Arial" w:hAnsi="Arial" w:cs="Arial"/>
          <w:color w:val="0070C0"/>
        </w:rPr>
        <w:t> </w:t>
      </w:r>
      <w:r>
        <w:rPr>
          <w:color w:val="0070C0"/>
        </w:rPr>
        <w:t>» (TGNS).</w:t>
      </w:r>
    </w:p>
    <w:p w14:paraId="336B02A6" w14:textId="77777777" w:rsidR="00AD3F49" w:rsidRDefault="00AD3F49" w:rsidP="00AD3F49">
      <w:pPr>
        <w:spacing w:line="276" w:lineRule="auto"/>
        <w:ind w:right="66"/>
        <w:rPr>
          <w:rFonts w:ascii="Arial" w:eastAsia="Arial" w:hAnsi="Arial" w:cs="Arial"/>
          <w:color w:val="0070C0"/>
          <w:sz w:val="18"/>
          <w:szCs w:val="18"/>
        </w:rPr>
      </w:pPr>
    </w:p>
    <w:p w14:paraId="12EFF3E2" w14:textId="67B8B0FF" w:rsidR="00A54E85" w:rsidRPr="00AD3F49" w:rsidRDefault="00A54E85" w:rsidP="00AD3F49">
      <w:pPr>
        <w:pStyle w:val="lgende"/>
        <w:rPr>
          <w:rFonts w:ascii="Trebuchet MS" w:eastAsia="Trebuchet MS" w:hAnsi="Trebuchet MS" w:cs="Trebuchet MS"/>
          <w:sz w:val="20"/>
          <w:szCs w:val="20"/>
        </w:rPr>
      </w:pPr>
      <w:r w:rsidRPr="00AD3F49">
        <w:rPr>
          <w:color w:val="0070C0"/>
        </w:rPr>
        <w:t>Figure 14 : Tumeur germinale du médiastin. Notez le comblement de l’espace clair rétrosternal.</w:t>
      </w:r>
    </w:p>
    <w:p w14:paraId="1A6BD3B6" w14:textId="77777777" w:rsidR="00A54E85" w:rsidRDefault="00A54E85" w:rsidP="00A54E85">
      <w:pPr>
        <w:spacing w:line="276" w:lineRule="auto"/>
        <w:jc w:val="center"/>
        <w:rPr>
          <w:b/>
          <w:bCs/>
          <w:i/>
          <w:iCs/>
        </w:rPr>
      </w:pPr>
      <w:r>
        <w:rPr>
          <w:b/>
          <w:bCs/>
          <w:i/>
          <w:iCs/>
          <w:noProof/>
        </w:rPr>
        <w:lastRenderedPageBreak/>
        <w:drawing>
          <wp:inline distT="0" distB="0" distL="0" distR="0" wp14:anchorId="39A2C42F" wp14:editId="344D0283">
            <wp:extent cx="2268220" cy="2933065"/>
            <wp:effectExtent l="0" t="0" r="0" b="0"/>
            <wp:docPr id="1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6"/>
                    <a:srcRect/>
                    <a:stretch>
                      <a:fillRect/>
                    </a:stretch>
                  </pic:blipFill>
                  <pic:spPr>
                    <a:xfrm>
                      <a:off x="0" y="0"/>
                      <a:ext cx="2268220" cy="2933065"/>
                    </a:xfrm>
                    <a:prstGeom prst="rect">
                      <a:avLst/>
                    </a:prstGeom>
                    <a:ln/>
                  </pic:spPr>
                </pic:pic>
              </a:graphicData>
            </a:graphic>
          </wp:inline>
        </w:drawing>
      </w:r>
    </w:p>
    <w:p w14:paraId="35A59FD8" w14:textId="77777777" w:rsidR="00A54E85" w:rsidRDefault="00A54E85" w:rsidP="00A54E85">
      <w:pPr>
        <w:widowControl w:val="0"/>
        <w:tabs>
          <w:tab w:val="left" w:pos="680"/>
          <w:tab w:val="left" w:pos="1360"/>
        </w:tabs>
        <w:spacing w:line="276" w:lineRule="auto"/>
        <w:rPr>
          <w:b/>
          <w:bCs/>
          <w:i/>
          <w:iCs/>
        </w:rPr>
      </w:pPr>
    </w:p>
    <w:p w14:paraId="2DF1FA2F" w14:textId="77777777" w:rsidR="00A54E85" w:rsidRDefault="00A54E85" w:rsidP="00A54E85">
      <w:pPr>
        <w:widowControl w:val="0"/>
        <w:tabs>
          <w:tab w:val="left" w:pos="680"/>
          <w:tab w:val="left" w:pos="1360"/>
        </w:tabs>
        <w:spacing w:line="276" w:lineRule="auto"/>
        <w:rPr>
          <w:b/>
          <w:bCs/>
          <w:i/>
          <w:iCs/>
          <w:color w:val="0070C0"/>
        </w:rPr>
      </w:pPr>
      <w:r>
        <w:rPr>
          <w:b/>
          <w:bCs/>
          <w:i/>
          <w:iCs/>
          <w:color w:val="0070C0"/>
        </w:rPr>
        <w:t>Médiastin antérieur et inférieur :</w:t>
      </w:r>
    </w:p>
    <w:p w14:paraId="3717B950" w14:textId="77777777" w:rsidR="00A54E85" w:rsidRDefault="00A54E85" w:rsidP="00A54E85">
      <w:pPr>
        <w:tabs>
          <w:tab w:val="left" w:pos="9000"/>
        </w:tabs>
        <w:spacing w:line="276" w:lineRule="auto"/>
        <w:ind w:right="66"/>
        <w:rPr>
          <w:color w:val="0070C0"/>
        </w:rPr>
      </w:pPr>
      <w:r>
        <w:rPr>
          <w:color w:val="0070C0"/>
        </w:rPr>
        <w:t>Kystes pleuro péricardiques essentiellement</w:t>
      </w:r>
    </w:p>
    <w:p w14:paraId="242CFC8B" w14:textId="77777777" w:rsidR="00A54E85" w:rsidRDefault="00A54E85" w:rsidP="00A54E85">
      <w:pPr>
        <w:spacing w:line="276" w:lineRule="auto"/>
        <w:ind w:right="66"/>
        <w:rPr>
          <w:color w:val="0070C0"/>
        </w:rPr>
      </w:pPr>
      <w:r>
        <w:rPr>
          <w:color w:val="0070C0"/>
        </w:rPr>
        <w:t>- Tumeurs liquidiennes situées dans l’angle cardiophrénique (figure 15).</w:t>
      </w:r>
    </w:p>
    <w:p w14:paraId="6CE12919" w14:textId="77777777" w:rsidR="00A54E85" w:rsidRDefault="00A54E85" w:rsidP="00A54E85">
      <w:pPr>
        <w:spacing w:line="276" w:lineRule="auto"/>
        <w:ind w:right="66"/>
        <w:rPr>
          <w:color w:val="0070C0"/>
        </w:rPr>
      </w:pPr>
      <w:r>
        <w:rPr>
          <w:color w:val="0070C0"/>
        </w:rPr>
        <w:t xml:space="preserve">- Le plus souvent asymptomatiques.  </w:t>
      </w:r>
    </w:p>
    <w:p w14:paraId="14F2A4A9" w14:textId="77777777" w:rsidR="00A54E85" w:rsidRDefault="00A54E85" w:rsidP="00AD3F49">
      <w:pPr>
        <w:pStyle w:val="lgende"/>
        <w:rPr>
          <w:color w:val="0070C0"/>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D3F49" w14:paraId="6939861A" w14:textId="77777777" w:rsidTr="00AD3F49">
        <w:tc>
          <w:tcPr>
            <w:tcW w:w="9062" w:type="dxa"/>
          </w:tcPr>
          <w:p w14:paraId="44F852FE" w14:textId="77777777" w:rsidR="00AD3F49" w:rsidRPr="00AD3F49" w:rsidRDefault="00AD3F49" w:rsidP="00AD3F49">
            <w:pPr>
              <w:pStyle w:val="lgende"/>
              <w:rPr>
                <w:color w:val="0070C0"/>
              </w:rPr>
            </w:pPr>
            <w:r w:rsidRPr="00AD3F49">
              <w:rPr>
                <w:color w:val="0070C0"/>
              </w:rPr>
              <w:t>Figure 15 : Kyste pleuropéricardique de l’angle cardiophrénique droit.</w:t>
            </w:r>
          </w:p>
          <w:p w14:paraId="023FEB7B" w14:textId="38F43EC3" w:rsidR="00AD3F49" w:rsidRPr="00AD3F49" w:rsidRDefault="00AD3F49" w:rsidP="00AD3F49">
            <w:pPr>
              <w:spacing w:line="276" w:lineRule="auto"/>
              <w:ind w:right="66"/>
              <w:jc w:val="center"/>
              <w:rPr>
                <w:i/>
                <w:iCs/>
              </w:rPr>
            </w:pPr>
            <w:r>
              <w:rPr>
                <w:i/>
                <w:iCs/>
                <w:noProof/>
              </w:rPr>
              <w:drawing>
                <wp:inline distT="0" distB="0" distL="0" distR="0" wp14:anchorId="3632FE2C" wp14:editId="703B5885">
                  <wp:extent cx="2588895" cy="2194560"/>
                  <wp:effectExtent l="0" t="0" r="1905" b="0"/>
                  <wp:docPr id="1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rotWithShape="1">
                          <a:blip r:embed="rId27"/>
                          <a:srcRect b="48092"/>
                          <a:stretch>
                            <a:fillRect/>
                          </a:stretch>
                        </pic:blipFill>
                        <pic:spPr bwMode="auto">
                          <a:xfrm>
                            <a:off x="0" y="0"/>
                            <a:ext cx="2588895" cy="2194560"/>
                          </a:xfrm>
                          <a:prstGeom prst="rect">
                            <a:avLst/>
                          </a:prstGeom>
                          <a:ln>
                            <a:noFill/>
                          </a:ln>
                          <a:extLst>
                            <a:ext uri="{53640926-AAD7-44D8-BBD7-CCE9431645EC}">
                              <a14:shadowObscured xmlns:a14="http://schemas.microsoft.com/office/drawing/2010/main"/>
                            </a:ext>
                          </a:extLst>
                        </pic:spPr>
                      </pic:pic>
                    </a:graphicData>
                  </a:graphic>
                </wp:inline>
              </w:drawing>
            </w:r>
            <w:r>
              <w:rPr>
                <w:i/>
                <w:iCs/>
                <w:noProof/>
              </w:rPr>
              <w:drawing>
                <wp:inline distT="0" distB="0" distL="0" distR="0" wp14:anchorId="6E99BDE5" wp14:editId="7C112638">
                  <wp:extent cx="2781620" cy="2196000"/>
                  <wp:effectExtent l="0" t="0" r="0" b="0"/>
                  <wp:docPr id="509911580"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rotWithShape="1">
                          <a:blip r:embed="rId27"/>
                          <a:srcRect t="52095"/>
                          <a:stretch>
                            <a:fillRect/>
                          </a:stretch>
                        </pic:blipFill>
                        <pic:spPr bwMode="auto">
                          <a:xfrm>
                            <a:off x="0" y="0"/>
                            <a:ext cx="2781620" cy="2196000"/>
                          </a:xfrm>
                          <a:prstGeom prst="rect">
                            <a:avLst/>
                          </a:prstGeom>
                          <a:ln>
                            <a:noFill/>
                          </a:ln>
                          <a:extLst>
                            <a:ext uri="{53640926-AAD7-44D8-BBD7-CCE9431645EC}">
                              <a14:shadowObscured xmlns:a14="http://schemas.microsoft.com/office/drawing/2010/main"/>
                            </a:ext>
                          </a:extLst>
                        </pic:spPr>
                      </pic:pic>
                    </a:graphicData>
                  </a:graphic>
                </wp:inline>
              </w:drawing>
            </w:r>
          </w:p>
        </w:tc>
      </w:tr>
    </w:tbl>
    <w:p w14:paraId="33EC0A0A" w14:textId="77777777" w:rsidR="00A54E85" w:rsidRDefault="00A54E85" w:rsidP="00A54E85">
      <w:pPr>
        <w:spacing w:line="276" w:lineRule="auto"/>
        <w:rPr>
          <w:color w:val="0070C0"/>
        </w:rPr>
      </w:pPr>
    </w:p>
    <w:p w14:paraId="014A0225" w14:textId="77777777" w:rsidR="00A54E85" w:rsidRDefault="00A54E85" w:rsidP="00AD3F49">
      <w:pPr>
        <w:pStyle w:val="Titre4"/>
      </w:pPr>
      <w:r>
        <w:t>Masses et opacités du médiastin moyen</w:t>
      </w:r>
    </w:p>
    <w:p w14:paraId="0F40F71F" w14:textId="77777777" w:rsidR="00A54E85" w:rsidRDefault="00A54E85" w:rsidP="00A54E85">
      <w:pPr>
        <w:spacing w:line="276" w:lineRule="auto"/>
        <w:rPr>
          <w:color w:val="0070C0"/>
        </w:rPr>
      </w:pPr>
      <w:r>
        <w:rPr>
          <w:b/>
          <w:bCs/>
          <w:color w:val="0070C0"/>
        </w:rPr>
        <w:t xml:space="preserve">Adénopathies médiastinales </w:t>
      </w:r>
      <w:r>
        <w:rPr>
          <w:color w:val="0070C0"/>
        </w:rPr>
        <w:t xml:space="preserve">(étiologie la plus fréquente des opacités du médiastin moyen) (tableau 3). </w:t>
      </w:r>
    </w:p>
    <w:p w14:paraId="4A552426" w14:textId="77777777" w:rsidR="00A54E85" w:rsidRDefault="00A54E85" w:rsidP="00A54E85">
      <w:pPr>
        <w:spacing w:line="276" w:lineRule="auto"/>
        <w:rPr>
          <w:color w:val="0070C0"/>
        </w:rPr>
      </w:pPr>
    </w:p>
    <w:p w14:paraId="3F589A83" w14:textId="77777777" w:rsidR="00A54E85" w:rsidRPr="00AD3F49" w:rsidRDefault="00A54E85" w:rsidP="00AD3F49">
      <w:pPr>
        <w:pStyle w:val="lgende"/>
        <w:rPr>
          <w:color w:val="0070C0"/>
        </w:rPr>
      </w:pPr>
      <w:r w:rsidRPr="00AD3F49">
        <w:rPr>
          <w:color w:val="0070C0"/>
        </w:rPr>
        <w:t>Tableau 3 : Étiologies les plus fréquentes des adénopathies médiastinales.</w:t>
      </w:r>
    </w:p>
    <w:tbl>
      <w:tblPr>
        <w:tblW w:w="9072" w:type="dxa"/>
        <w:tblInd w:w="-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000" w:firstRow="0" w:lastRow="0" w:firstColumn="0" w:lastColumn="0" w:noHBand="0" w:noVBand="0"/>
      </w:tblPr>
      <w:tblGrid>
        <w:gridCol w:w="2835"/>
        <w:gridCol w:w="3306"/>
        <w:gridCol w:w="2931"/>
      </w:tblGrid>
      <w:tr w:rsidR="00A54E85" w:rsidRPr="00AD3F49" w14:paraId="3AA68EBB" w14:textId="77777777" w:rsidTr="00AD3F49">
        <w:tc>
          <w:tcPr>
            <w:tcW w:w="2835" w:type="dxa"/>
            <w:shd w:val="clear" w:color="auto" w:fill="0070C0"/>
            <w:vAlign w:val="center"/>
          </w:tcPr>
          <w:p w14:paraId="452C6782" w14:textId="77777777" w:rsidR="00A54E85" w:rsidRPr="00AD3F49" w:rsidRDefault="00A54E85" w:rsidP="00A54E85">
            <w:pPr>
              <w:spacing w:line="276" w:lineRule="auto"/>
              <w:jc w:val="center"/>
              <w:rPr>
                <w:rFonts w:ascii="Calibri" w:hAnsi="Calibri" w:cs="Calibri"/>
                <w:b/>
                <w:bCs/>
                <w:color w:val="FFFFFF"/>
              </w:rPr>
            </w:pPr>
            <w:r w:rsidRPr="00AD3F49">
              <w:rPr>
                <w:rFonts w:ascii="Calibri" w:hAnsi="Calibri" w:cs="Calibri"/>
                <w:b/>
                <w:bCs/>
                <w:color w:val="FFFFFF"/>
              </w:rPr>
              <w:lastRenderedPageBreak/>
              <w:t>Adénopathies tumorales</w:t>
            </w:r>
          </w:p>
        </w:tc>
        <w:tc>
          <w:tcPr>
            <w:tcW w:w="3306" w:type="dxa"/>
            <w:shd w:val="clear" w:color="auto" w:fill="0070C0"/>
            <w:vAlign w:val="center"/>
          </w:tcPr>
          <w:p w14:paraId="538BD0D9" w14:textId="77777777" w:rsidR="00A54E85" w:rsidRPr="00AD3F49" w:rsidRDefault="00A54E85" w:rsidP="00A54E85">
            <w:pPr>
              <w:spacing w:line="276" w:lineRule="auto"/>
              <w:jc w:val="center"/>
              <w:rPr>
                <w:rFonts w:ascii="Calibri" w:hAnsi="Calibri" w:cs="Calibri"/>
                <w:b/>
                <w:bCs/>
                <w:color w:val="FFFFFF"/>
              </w:rPr>
            </w:pPr>
            <w:r w:rsidRPr="00AD3F49">
              <w:rPr>
                <w:rFonts w:ascii="Calibri" w:hAnsi="Calibri" w:cs="Calibri"/>
                <w:b/>
                <w:bCs/>
                <w:color w:val="FFFFFF"/>
              </w:rPr>
              <w:t>Adénopathies non tumorales</w:t>
            </w:r>
          </w:p>
        </w:tc>
        <w:tc>
          <w:tcPr>
            <w:tcW w:w="2931" w:type="dxa"/>
            <w:shd w:val="clear" w:color="auto" w:fill="0070C0"/>
            <w:vAlign w:val="center"/>
          </w:tcPr>
          <w:p w14:paraId="35D800E1" w14:textId="77777777" w:rsidR="00A54E85" w:rsidRPr="00AD3F49" w:rsidRDefault="00A54E85" w:rsidP="00A54E85">
            <w:pPr>
              <w:spacing w:line="276" w:lineRule="auto"/>
              <w:jc w:val="center"/>
              <w:rPr>
                <w:rFonts w:ascii="Calibri" w:hAnsi="Calibri" w:cs="Calibri"/>
                <w:b/>
                <w:bCs/>
                <w:color w:val="FFFFFF"/>
              </w:rPr>
            </w:pPr>
            <w:r w:rsidRPr="00AD3F49">
              <w:rPr>
                <w:rFonts w:ascii="Calibri" w:hAnsi="Calibri" w:cs="Calibri"/>
                <w:b/>
                <w:bCs/>
                <w:color w:val="FFFFFF"/>
              </w:rPr>
              <w:t>Adénopathies diffuses non spécifiques et de taille modérée</w:t>
            </w:r>
          </w:p>
        </w:tc>
      </w:tr>
      <w:tr w:rsidR="00A54E85" w:rsidRPr="00AD3F49" w14:paraId="6791A67C" w14:textId="77777777" w:rsidTr="00AD3F49">
        <w:tc>
          <w:tcPr>
            <w:tcW w:w="2835" w:type="dxa"/>
          </w:tcPr>
          <w:p w14:paraId="22BE715B" w14:textId="77777777" w:rsidR="00A54E85" w:rsidRPr="00AD3F49" w:rsidRDefault="00A54E85" w:rsidP="00A54E85">
            <w:pPr>
              <w:spacing w:line="276" w:lineRule="auto"/>
              <w:jc w:val="left"/>
              <w:rPr>
                <w:rFonts w:ascii="Calibri" w:hAnsi="Calibri" w:cs="Calibri"/>
                <w:color w:val="0070C0"/>
              </w:rPr>
            </w:pPr>
            <w:r w:rsidRPr="00AD3F49">
              <w:rPr>
                <w:rFonts w:ascii="Calibri" w:hAnsi="Calibri" w:cs="Calibri"/>
                <w:color w:val="0070C0"/>
              </w:rPr>
              <w:t>- Cancers broncho-pulmonaires</w:t>
            </w:r>
          </w:p>
          <w:p w14:paraId="7F0F663A" w14:textId="77777777" w:rsidR="00A54E85" w:rsidRPr="00AD3F49" w:rsidRDefault="00A54E85" w:rsidP="00A54E85">
            <w:pPr>
              <w:spacing w:line="276" w:lineRule="auto"/>
              <w:jc w:val="left"/>
              <w:rPr>
                <w:rFonts w:ascii="Calibri" w:hAnsi="Calibri" w:cs="Calibri"/>
                <w:color w:val="0070C0"/>
              </w:rPr>
            </w:pPr>
            <w:r w:rsidRPr="00AD3F49">
              <w:rPr>
                <w:rFonts w:ascii="Calibri" w:hAnsi="Calibri" w:cs="Calibri"/>
                <w:color w:val="0070C0"/>
              </w:rPr>
              <w:t>- Lymphome (Hodgkin ou non), Leucémie lymphoïde chronique</w:t>
            </w:r>
          </w:p>
          <w:p w14:paraId="0CD1CBCA" w14:textId="77777777" w:rsidR="00A54E85" w:rsidRPr="00AD3F49" w:rsidRDefault="00A54E85" w:rsidP="00A54E85">
            <w:pPr>
              <w:spacing w:line="276" w:lineRule="auto"/>
              <w:jc w:val="left"/>
              <w:rPr>
                <w:rFonts w:ascii="Calibri" w:hAnsi="Calibri" w:cs="Calibri"/>
                <w:color w:val="0070C0"/>
              </w:rPr>
            </w:pPr>
            <w:r w:rsidRPr="00AD3F49">
              <w:rPr>
                <w:rFonts w:ascii="Calibri" w:hAnsi="Calibri" w:cs="Calibri"/>
                <w:color w:val="0070C0"/>
              </w:rPr>
              <w:t>- Métastases ganglionnaires des cancers extrathoraciques</w:t>
            </w:r>
          </w:p>
        </w:tc>
        <w:tc>
          <w:tcPr>
            <w:tcW w:w="3306" w:type="dxa"/>
          </w:tcPr>
          <w:p w14:paraId="6783BCA7" w14:textId="77777777" w:rsidR="00A54E85" w:rsidRPr="00AD3F49" w:rsidRDefault="00A54E85" w:rsidP="00A54E85">
            <w:pPr>
              <w:spacing w:line="276" w:lineRule="auto"/>
              <w:jc w:val="left"/>
              <w:rPr>
                <w:rFonts w:ascii="Calibri" w:hAnsi="Calibri" w:cs="Calibri"/>
                <w:color w:val="0070C0"/>
              </w:rPr>
            </w:pPr>
            <w:r w:rsidRPr="00AD3F49">
              <w:rPr>
                <w:rFonts w:ascii="Calibri" w:hAnsi="Calibri" w:cs="Calibri"/>
                <w:color w:val="0070C0"/>
              </w:rPr>
              <w:t>- Sarcoïdose</w:t>
            </w:r>
          </w:p>
          <w:p w14:paraId="43E93C51" w14:textId="77777777" w:rsidR="00A54E85" w:rsidRPr="00AD3F49" w:rsidRDefault="00A54E85" w:rsidP="00A54E85">
            <w:pPr>
              <w:spacing w:line="276" w:lineRule="auto"/>
              <w:jc w:val="left"/>
              <w:rPr>
                <w:rFonts w:ascii="Calibri" w:hAnsi="Calibri" w:cs="Calibri"/>
                <w:color w:val="0070C0"/>
              </w:rPr>
            </w:pPr>
            <w:r w:rsidRPr="00AD3F49">
              <w:rPr>
                <w:rFonts w:ascii="Calibri" w:hAnsi="Calibri" w:cs="Calibri"/>
                <w:color w:val="0070C0"/>
              </w:rPr>
              <w:t>- Tuberculose</w:t>
            </w:r>
          </w:p>
          <w:p w14:paraId="65BBCD9C" w14:textId="77777777" w:rsidR="00A54E85" w:rsidRPr="00AD3F49" w:rsidRDefault="00A54E85" w:rsidP="00A54E85">
            <w:pPr>
              <w:spacing w:line="276" w:lineRule="auto"/>
              <w:jc w:val="left"/>
              <w:rPr>
                <w:rFonts w:ascii="Calibri" w:hAnsi="Calibri" w:cs="Calibri"/>
                <w:color w:val="0070C0"/>
              </w:rPr>
            </w:pPr>
            <w:r w:rsidRPr="00AD3F49">
              <w:rPr>
                <w:rFonts w:ascii="Calibri" w:hAnsi="Calibri" w:cs="Calibri"/>
                <w:color w:val="0070C0"/>
              </w:rPr>
              <w:t>- Silicose</w:t>
            </w:r>
          </w:p>
          <w:p w14:paraId="70CBBFDF" w14:textId="77777777" w:rsidR="00A54E85" w:rsidRPr="00AD3F49" w:rsidRDefault="00A54E85" w:rsidP="00A54E85">
            <w:pPr>
              <w:spacing w:line="276" w:lineRule="auto"/>
              <w:jc w:val="left"/>
              <w:rPr>
                <w:rFonts w:ascii="Calibri" w:hAnsi="Calibri" w:cs="Calibri"/>
                <w:color w:val="0070C0"/>
              </w:rPr>
            </w:pPr>
            <w:r w:rsidRPr="00AD3F49">
              <w:rPr>
                <w:rFonts w:ascii="Calibri" w:hAnsi="Calibri" w:cs="Calibri"/>
                <w:color w:val="0070C0"/>
              </w:rPr>
              <w:t>- Infections parenchymateuses chroniques</w:t>
            </w:r>
          </w:p>
          <w:p w14:paraId="538CC4EC" w14:textId="77777777" w:rsidR="00A54E85" w:rsidRPr="00AD3F49" w:rsidRDefault="00A54E85" w:rsidP="00A54E85">
            <w:pPr>
              <w:spacing w:line="276" w:lineRule="auto"/>
              <w:jc w:val="left"/>
              <w:rPr>
                <w:rFonts w:ascii="Calibri" w:hAnsi="Calibri" w:cs="Calibri"/>
                <w:color w:val="0070C0"/>
              </w:rPr>
            </w:pPr>
            <w:r w:rsidRPr="00AD3F49">
              <w:rPr>
                <w:rFonts w:ascii="Calibri" w:hAnsi="Calibri" w:cs="Calibri"/>
                <w:color w:val="0070C0"/>
              </w:rPr>
              <w:t>- Histoplasmose (Amérique du nord)</w:t>
            </w:r>
          </w:p>
        </w:tc>
        <w:tc>
          <w:tcPr>
            <w:tcW w:w="2931" w:type="dxa"/>
          </w:tcPr>
          <w:p w14:paraId="5A6B75C3" w14:textId="77777777" w:rsidR="00A54E85" w:rsidRPr="00AD3F49" w:rsidRDefault="00A54E85" w:rsidP="00A54E85">
            <w:pPr>
              <w:spacing w:line="276" w:lineRule="auto"/>
              <w:jc w:val="left"/>
              <w:rPr>
                <w:rFonts w:ascii="Calibri" w:hAnsi="Calibri" w:cs="Calibri"/>
                <w:color w:val="0070C0"/>
              </w:rPr>
            </w:pPr>
            <w:r w:rsidRPr="00AD3F49">
              <w:rPr>
                <w:rFonts w:ascii="Calibri" w:hAnsi="Calibri" w:cs="Calibri"/>
                <w:color w:val="0070C0"/>
              </w:rPr>
              <w:t>- Insuffisance cardiaque gauche</w:t>
            </w:r>
          </w:p>
        </w:tc>
      </w:tr>
    </w:tbl>
    <w:p w14:paraId="59ACCB6C" w14:textId="77777777" w:rsidR="00A54E85" w:rsidRDefault="00A54E85" w:rsidP="00A54E85">
      <w:pPr>
        <w:spacing w:line="276" w:lineRule="auto"/>
        <w:rPr>
          <w:color w:val="0070C0"/>
        </w:rPr>
      </w:pPr>
    </w:p>
    <w:p w14:paraId="5504C90C" w14:textId="77777777" w:rsidR="00A54E85" w:rsidRDefault="00A54E85" w:rsidP="00A54E85">
      <w:pPr>
        <w:spacing w:line="276" w:lineRule="auto"/>
        <w:rPr>
          <w:b/>
          <w:bCs/>
          <w:i/>
          <w:iCs/>
          <w:color w:val="0070C0"/>
        </w:rPr>
      </w:pPr>
      <w:r>
        <w:rPr>
          <w:b/>
          <w:bCs/>
          <w:i/>
          <w:iCs/>
          <w:color w:val="0070C0"/>
        </w:rPr>
        <w:t xml:space="preserve">Kystes bronchogéniques (figure 16) : </w:t>
      </w:r>
    </w:p>
    <w:p w14:paraId="33A1B0E5" w14:textId="77777777" w:rsidR="00A54E85" w:rsidRDefault="00A54E85" w:rsidP="00A54E85">
      <w:pPr>
        <w:tabs>
          <w:tab w:val="left" w:pos="9000"/>
        </w:tabs>
        <w:spacing w:line="276" w:lineRule="auto"/>
        <w:ind w:right="66"/>
        <w:rPr>
          <w:color w:val="0070C0"/>
        </w:rPr>
      </w:pPr>
      <w:r>
        <w:rPr>
          <w:color w:val="0070C0"/>
        </w:rPr>
        <w:t xml:space="preserve">- Masses régulières, arrondies, de contenu liquidien au contact de l’arbre bronchique.  </w:t>
      </w:r>
    </w:p>
    <w:p w14:paraId="56BFDAB2" w14:textId="77777777" w:rsidR="00AD3F49" w:rsidRDefault="00AD3F49" w:rsidP="00AD3F49">
      <w:pPr>
        <w:spacing w:line="276" w:lineRule="auto"/>
        <w:rPr>
          <w:i/>
          <w:iC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2"/>
      </w:tblGrid>
      <w:tr w:rsidR="00AD3F49" w14:paraId="70218081" w14:textId="77777777" w:rsidTr="0094705B">
        <w:tc>
          <w:tcPr>
            <w:tcW w:w="9062" w:type="dxa"/>
          </w:tcPr>
          <w:p w14:paraId="07F559BC" w14:textId="77777777" w:rsidR="00AD3F49" w:rsidRPr="00AD3F49" w:rsidRDefault="00AD3F49" w:rsidP="00AD3F49">
            <w:pPr>
              <w:pStyle w:val="lgende"/>
              <w:rPr>
                <w:color w:val="0070C0"/>
              </w:rPr>
            </w:pPr>
            <w:r w:rsidRPr="00AD3F49">
              <w:rPr>
                <w:color w:val="0070C0"/>
              </w:rPr>
              <w:t>Figure 16 : Kyste bronchogénique sous carinaire (la tonalité hydrique de la masse ne laisse pas planer le doute quant à sa nature kystique).</w:t>
            </w:r>
          </w:p>
          <w:p w14:paraId="2119A6D2" w14:textId="72BB95CC" w:rsidR="00AD3F49" w:rsidRPr="00AD3F49" w:rsidRDefault="00AD3F49" w:rsidP="00AD3F49">
            <w:pPr>
              <w:spacing w:line="276" w:lineRule="auto"/>
              <w:ind w:left="1440" w:hanging="1440"/>
              <w:jc w:val="center"/>
              <w:rPr>
                <w:i/>
                <w:iCs/>
              </w:rPr>
            </w:pPr>
            <w:r>
              <w:rPr>
                <w:i/>
                <w:iCs/>
                <w:noProof/>
              </w:rPr>
              <w:drawing>
                <wp:inline distT="0" distB="0" distL="0" distR="0" wp14:anchorId="52A0AB2C" wp14:editId="43175F9B">
                  <wp:extent cx="2410460" cy="2433099"/>
                  <wp:effectExtent l="0" t="0" r="8890" b="5715"/>
                  <wp:docPr id="19"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rotWithShape="1">
                          <a:blip r:embed="rId28"/>
                          <a:srcRect b="42930"/>
                          <a:stretch>
                            <a:fillRect/>
                          </a:stretch>
                        </pic:blipFill>
                        <pic:spPr bwMode="auto">
                          <a:xfrm>
                            <a:off x="0" y="0"/>
                            <a:ext cx="2410460" cy="2433099"/>
                          </a:xfrm>
                          <a:prstGeom prst="rect">
                            <a:avLst/>
                          </a:prstGeom>
                          <a:ln>
                            <a:noFill/>
                          </a:ln>
                          <a:extLst>
                            <a:ext uri="{53640926-AAD7-44D8-BBD7-CCE9431645EC}">
                              <a14:shadowObscured xmlns:a14="http://schemas.microsoft.com/office/drawing/2010/main"/>
                            </a:ext>
                          </a:extLst>
                        </pic:spPr>
                      </pic:pic>
                    </a:graphicData>
                  </a:graphic>
                </wp:inline>
              </w:drawing>
            </w:r>
            <w:r>
              <w:rPr>
                <w:i/>
                <w:iCs/>
                <w:noProof/>
              </w:rPr>
              <w:drawing>
                <wp:inline distT="0" distB="0" distL="0" distR="0" wp14:anchorId="216EA0CE" wp14:editId="53A3AB99">
                  <wp:extent cx="2996142" cy="2195940"/>
                  <wp:effectExtent l="0" t="0" r="0" b="0"/>
                  <wp:docPr id="1153708726"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rotWithShape="1">
                          <a:blip r:embed="rId28"/>
                          <a:srcRect t="58562"/>
                          <a:stretch>
                            <a:fillRect/>
                          </a:stretch>
                        </pic:blipFill>
                        <pic:spPr bwMode="auto">
                          <a:xfrm>
                            <a:off x="0" y="0"/>
                            <a:ext cx="3001977" cy="2200217"/>
                          </a:xfrm>
                          <a:prstGeom prst="rect">
                            <a:avLst/>
                          </a:prstGeom>
                          <a:ln>
                            <a:noFill/>
                          </a:ln>
                          <a:extLst>
                            <a:ext uri="{53640926-AAD7-44D8-BBD7-CCE9431645EC}">
                              <a14:shadowObscured xmlns:a14="http://schemas.microsoft.com/office/drawing/2010/main"/>
                            </a:ext>
                          </a:extLst>
                        </pic:spPr>
                      </pic:pic>
                    </a:graphicData>
                  </a:graphic>
                </wp:inline>
              </w:drawing>
            </w:r>
          </w:p>
        </w:tc>
      </w:tr>
    </w:tbl>
    <w:p w14:paraId="12D28862" w14:textId="77777777" w:rsidR="00A54E85" w:rsidRDefault="00A54E85" w:rsidP="00AD3F49">
      <w:pPr>
        <w:spacing w:line="276" w:lineRule="auto"/>
        <w:rPr>
          <w:i/>
          <w:iCs/>
        </w:rPr>
      </w:pPr>
    </w:p>
    <w:p w14:paraId="31C6C41C" w14:textId="5BD115A1" w:rsidR="00A54E85" w:rsidRDefault="00A54E85" w:rsidP="00AD3F49">
      <w:pPr>
        <w:pStyle w:val="Titre4"/>
      </w:pPr>
      <w:r>
        <w:t>Masses et opacités du médiastin postérieur</w:t>
      </w:r>
    </w:p>
    <w:p w14:paraId="315E3BF7" w14:textId="77777777" w:rsidR="00A54E85" w:rsidRDefault="00A54E85" w:rsidP="00A54E85">
      <w:pPr>
        <w:spacing w:line="276" w:lineRule="auto"/>
        <w:rPr>
          <w:b/>
          <w:bCs/>
          <w:i/>
          <w:iCs/>
          <w:color w:val="0070C0"/>
        </w:rPr>
      </w:pPr>
      <w:r>
        <w:rPr>
          <w:b/>
          <w:bCs/>
          <w:i/>
          <w:iCs/>
          <w:color w:val="0070C0"/>
        </w:rPr>
        <w:t>Tumeurs dites «</w:t>
      </w:r>
      <w:r>
        <w:rPr>
          <w:rFonts w:ascii="Arial" w:eastAsia="Arial" w:hAnsi="Arial" w:cs="Arial"/>
          <w:b/>
          <w:bCs/>
          <w:i/>
          <w:iCs/>
          <w:color w:val="0070C0"/>
        </w:rPr>
        <w:t> </w:t>
      </w:r>
      <w:r>
        <w:rPr>
          <w:b/>
          <w:bCs/>
          <w:i/>
          <w:iCs/>
          <w:color w:val="0070C0"/>
        </w:rPr>
        <w:t>neurogènes</w:t>
      </w:r>
      <w:r>
        <w:rPr>
          <w:rFonts w:ascii="Arial" w:eastAsia="Arial" w:hAnsi="Arial" w:cs="Arial"/>
          <w:b/>
          <w:bCs/>
          <w:i/>
          <w:iCs/>
          <w:color w:val="0070C0"/>
        </w:rPr>
        <w:t> </w:t>
      </w:r>
      <w:r>
        <w:rPr>
          <w:b/>
          <w:bCs/>
          <w:i/>
          <w:iCs/>
          <w:color w:val="0070C0"/>
        </w:rPr>
        <w:t>»</w:t>
      </w:r>
    </w:p>
    <w:p w14:paraId="072F4BC0" w14:textId="77777777" w:rsidR="00A54E85" w:rsidRDefault="00A54E85" w:rsidP="00A54E85">
      <w:pPr>
        <w:spacing w:line="276" w:lineRule="auto"/>
        <w:rPr>
          <w:color w:val="0070C0"/>
        </w:rPr>
      </w:pPr>
      <w:r>
        <w:rPr>
          <w:color w:val="0070C0"/>
        </w:rPr>
        <w:t>Le plus souvent d’origine tumorale :</w:t>
      </w:r>
    </w:p>
    <w:p w14:paraId="3C79B022" w14:textId="77777777" w:rsidR="00A54E85" w:rsidRDefault="00A54E85" w:rsidP="00A54E85">
      <w:pPr>
        <w:tabs>
          <w:tab w:val="left" w:pos="9000"/>
        </w:tabs>
        <w:spacing w:line="276" w:lineRule="auto"/>
        <w:ind w:right="66"/>
        <w:rPr>
          <w:color w:val="0070C0"/>
        </w:rPr>
      </w:pPr>
      <w:r>
        <w:rPr>
          <w:color w:val="0070C0"/>
        </w:rPr>
        <w:t>- Représentent 1/3 des tumeurs du médiastin.</w:t>
      </w:r>
    </w:p>
    <w:p w14:paraId="2366E8B6" w14:textId="77777777" w:rsidR="00A54E85" w:rsidRDefault="00A54E85" w:rsidP="00A54E85">
      <w:pPr>
        <w:tabs>
          <w:tab w:val="left" w:pos="9000"/>
        </w:tabs>
        <w:spacing w:line="276" w:lineRule="auto"/>
        <w:ind w:right="66"/>
        <w:rPr>
          <w:color w:val="0070C0"/>
        </w:rPr>
      </w:pPr>
      <w:r>
        <w:rPr>
          <w:color w:val="0070C0"/>
        </w:rPr>
        <w:t>- Le plus souvent bénignes chez l’adulte, essentiellement le Schwannome, et malignes chez l’enfant.</w:t>
      </w:r>
    </w:p>
    <w:p w14:paraId="3DFA5839" w14:textId="77777777" w:rsidR="00A54E85" w:rsidRDefault="00A54E85" w:rsidP="00A54E85">
      <w:pPr>
        <w:tabs>
          <w:tab w:val="left" w:pos="9000"/>
        </w:tabs>
        <w:spacing w:line="276" w:lineRule="auto"/>
        <w:ind w:right="66"/>
        <w:rPr>
          <w:color w:val="0070C0"/>
        </w:rPr>
      </w:pPr>
      <w:r>
        <w:rPr>
          <w:color w:val="0070C0"/>
        </w:rPr>
        <w:t xml:space="preserve">🡪 L’IRM est l’examen essentiel du bilan lésionnel des tumeurs du médiastin postérieur permettant de reconnaître les lésions infiltrantes (figure 17). </w:t>
      </w:r>
    </w:p>
    <w:p w14:paraId="48174ED6" w14:textId="77777777" w:rsidR="00A54E85" w:rsidRDefault="00A54E85" w:rsidP="00A54E85">
      <w:pPr>
        <w:spacing w:line="276" w:lineRule="auto"/>
        <w:rPr>
          <w:i/>
          <w:iCs/>
        </w:rPr>
      </w:pPr>
    </w:p>
    <w:p w14:paraId="41383033" w14:textId="77777777" w:rsidR="00A54E85" w:rsidRPr="00AD3F49" w:rsidRDefault="00A54E85" w:rsidP="00AD3F49">
      <w:pPr>
        <w:pStyle w:val="lgende"/>
        <w:rPr>
          <w:color w:val="0070C0"/>
        </w:rPr>
      </w:pPr>
      <w:r w:rsidRPr="00AD3F49">
        <w:rPr>
          <w:color w:val="0070C0"/>
        </w:rPr>
        <w:t>Figure 17 : IRM d’une tumeur du médiastin postérieur, paravertébrale (neurinome de la gouttière costovertébrale gauche).</w:t>
      </w:r>
    </w:p>
    <w:p w14:paraId="239DE0CE" w14:textId="77777777" w:rsidR="00A54E85" w:rsidRDefault="00A54E85" w:rsidP="00A54E85">
      <w:pPr>
        <w:spacing w:line="276" w:lineRule="auto"/>
        <w:jc w:val="center"/>
        <w:rPr>
          <w:i/>
          <w:iCs/>
        </w:rPr>
      </w:pPr>
      <w:r>
        <w:rPr>
          <w:i/>
          <w:iCs/>
          <w:noProof/>
        </w:rPr>
        <w:lastRenderedPageBreak/>
        <w:drawing>
          <wp:inline distT="0" distB="0" distL="0" distR="0" wp14:anchorId="30A3B89D" wp14:editId="13EE28EB">
            <wp:extent cx="4667250" cy="2149475"/>
            <wp:effectExtent l="0" t="0" r="0" b="0"/>
            <wp:docPr id="20" name="image11.jpg"/>
            <wp:cNvGraphicFramePr/>
            <a:graphic xmlns:a="http://schemas.openxmlformats.org/drawingml/2006/main">
              <a:graphicData uri="http://schemas.openxmlformats.org/drawingml/2006/picture">
                <pic:pic xmlns:pic="http://schemas.openxmlformats.org/drawingml/2006/picture">
                  <pic:nvPicPr>
                    <pic:cNvPr id="0" name="image11.jpg"/>
                    <pic:cNvPicPr preferRelativeResize="0"/>
                  </pic:nvPicPr>
                  <pic:blipFill>
                    <a:blip r:embed="rId29"/>
                    <a:srcRect/>
                    <a:stretch>
                      <a:fillRect/>
                    </a:stretch>
                  </pic:blipFill>
                  <pic:spPr>
                    <a:xfrm>
                      <a:off x="0" y="0"/>
                      <a:ext cx="4667250" cy="2149475"/>
                    </a:xfrm>
                    <a:prstGeom prst="rect">
                      <a:avLst/>
                    </a:prstGeom>
                    <a:ln/>
                  </pic:spPr>
                </pic:pic>
              </a:graphicData>
            </a:graphic>
          </wp:inline>
        </w:drawing>
      </w:r>
    </w:p>
    <w:p w14:paraId="7AC6153A" w14:textId="77777777" w:rsidR="00A54E85" w:rsidRDefault="00A54E85" w:rsidP="00A54E85">
      <w:pPr>
        <w:widowControl w:val="0"/>
        <w:spacing w:line="276" w:lineRule="auto"/>
        <w:rPr>
          <w:b/>
          <w:bCs/>
          <w:i/>
          <w:iCs/>
        </w:rPr>
      </w:pPr>
    </w:p>
    <w:p w14:paraId="1C293C79" w14:textId="7A9A3313" w:rsidR="00A54E85" w:rsidRDefault="00A54E85" w:rsidP="00AD3F49">
      <w:pPr>
        <w:pStyle w:val="titredesous-partie"/>
        <w:numPr>
          <w:ilvl w:val="1"/>
          <w:numId w:val="4"/>
        </w:numPr>
        <w:ind w:left="567" w:hanging="425"/>
      </w:pPr>
      <w:r>
        <w:rPr>
          <w:shd w:val="clear" w:color="auto" w:fill="auto"/>
        </w:rPr>
        <w:t>Quelle approche diagnostique en pratique</w:t>
      </w:r>
      <w:r>
        <w:rPr>
          <w:rFonts w:ascii="Arial" w:eastAsia="Arial" w:hAnsi="Arial" w:cs="Arial"/>
          <w:shd w:val="clear" w:color="auto" w:fill="auto"/>
        </w:rPr>
        <w:t> </w:t>
      </w:r>
      <w:r>
        <w:rPr>
          <w:shd w:val="clear" w:color="auto" w:fill="auto"/>
        </w:rPr>
        <w:t>?</w:t>
      </w:r>
    </w:p>
    <w:p w14:paraId="75019EBC" w14:textId="77777777" w:rsidR="00A54E85" w:rsidRDefault="00A54E85" w:rsidP="00AD3F49">
      <w:pPr>
        <w:pStyle w:val="Titre4"/>
      </w:pPr>
      <w:r>
        <w:t>Les moyens de la preuve histologique</w:t>
      </w:r>
    </w:p>
    <w:p w14:paraId="5A3375A7" w14:textId="77777777" w:rsidR="00A54E85" w:rsidRDefault="00A54E85" w:rsidP="00A54E85">
      <w:pPr>
        <w:tabs>
          <w:tab w:val="left" w:pos="9000"/>
        </w:tabs>
        <w:spacing w:line="276" w:lineRule="auto"/>
        <w:ind w:right="66"/>
        <w:rPr>
          <w:color w:val="0070C0"/>
        </w:rPr>
      </w:pPr>
      <w:r>
        <w:rPr>
          <w:color w:val="0070C0"/>
        </w:rPr>
        <w:t>Pour les tumeurs du médiastin antérieur :</w:t>
      </w:r>
    </w:p>
    <w:p w14:paraId="03355C1E" w14:textId="77777777" w:rsidR="00A54E85" w:rsidRDefault="00A54E85" w:rsidP="00A54E85">
      <w:pPr>
        <w:spacing w:line="276" w:lineRule="auto"/>
        <w:ind w:right="66"/>
        <w:rPr>
          <w:color w:val="0070C0"/>
        </w:rPr>
      </w:pPr>
      <w:r>
        <w:rPr>
          <w:color w:val="0070C0"/>
        </w:rPr>
        <w:t>- Dosage de l’α-fœto-protéine et de l’HCG.</w:t>
      </w:r>
    </w:p>
    <w:p w14:paraId="311B9336" w14:textId="77777777" w:rsidR="00A54E85" w:rsidRDefault="00A54E85" w:rsidP="00A54E85">
      <w:pPr>
        <w:tabs>
          <w:tab w:val="left" w:pos="9000"/>
        </w:tabs>
        <w:spacing w:line="276" w:lineRule="auto"/>
        <w:ind w:right="66"/>
        <w:rPr>
          <w:color w:val="0070C0"/>
        </w:rPr>
      </w:pPr>
      <w:r>
        <w:rPr>
          <w:color w:val="0070C0"/>
        </w:rPr>
        <w:t>- Ponction transpariétale à l’aiguille.</w:t>
      </w:r>
    </w:p>
    <w:p w14:paraId="09EB4DD3" w14:textId="77777777" w:rsidR="00A54E85" w:rsidRDefault="00A54E85" w:rsidP="00A54E85">
      <w:pPr>
        <w:tabs>
          <w:tab w:val="left" w:pos="9000"/>
        </w:tabs>
        <w:spacing w:line="276" w:lineRule="auto"/>
        <w:ind w:right="66"/>
        <w:rPr>
          <w:color w:val="0070C0"/>
        </w:rPr>
      </w:pPr>
      <w:r>
        <w:rPr>
          <w:color w:val="0070C0"/>
        </w:rPr>
        <w:t>- Courte médiastinotomie antérieure, dans le 2</w:t>
      </w:r>
      <w:r>
        <w:rPr>
          <w:color w:val="0070C0"/>
          <w:vertAlign w:val="superscript"/>
        </w:rPr>
        <w:t>e</w:t>
      </w:r>
      <w:r>
        <w:rPr>
          <w:color w:val="0070C0"/>
        </w:rPr>
        <w:t> espace intercostal antérieur.</w:t>
      </w:r>
    </w:p>
    <w:p w14:paraId="23153B8C" w14:textId="77777777" w:rsidR="00A54E85" w:rsidRDefault="00A54E85" w:rsidP="00A54E85">
      <w:pPr>
        <w:tabs>
          <w:tab w:val="left" w:pos="9000"/>
        </w:tabs>
        <w:spacing w:line="276" w:lineRule="auto"/>
        <w:ind w:right="66"/>
        <w:rPr>
          <w:color w:val="0070C0"/>
        </w:rPr>
      </w:pPr>
      <w:r>
        <w:rPr>
          <w:color w:val="0070C0"/>
        </w:rPr>
        <w:t>- Chirurgie à visée diagnostique et en même temps d’exérèse :</w:t>
      </w:r>
    </w:p>
    <w:p w14:paraId="009A1D90" w14:textId="77777777" w:rsidR="00A54E85" w:rsidRDefault="00A54E85" w:rsidP="00A54E85">
      <w:pPr>
        <w:numPr>
          <w:ilvl w:val="0"/>
          <w:numId w:val="28"/>
        </w:numPr>
        <w:spacing w:line="276" w:lineRule="auto"/>
        <w:ind w:left="284" w:right="66" w:hanging="142"/>
        <w:rPr>
          <w:color w:val="0070C0"/>
        </w:rPr>
      </w:pPr>
      <w:r>
        <w:rPr>
          <w:color w:val="0070C0"/>
        </w:rPr>
        <w:t xml:space="preserve">N’est envisageable que si elle peut être complète et peu mutilante (si la tumeur semble parfaitement limitée sur le scanner). </w:t>
      </w:r>
    </w:p>
    <w:p w14:paraId="336CDD87" w14:textId="77777777" w:rsidR="00A54E85" w:rsidRDefault="00A54E85" w:rsidP="00A54E85">
      <w:pPr>
        <w:tabs>
          <w:tab w:val="left" w:pos="9000"/>
        </w:tabs>
        <w:spacing w:line="276" w:lineRule="auto"/>
        <w:ind w:right="66"/>
        <w:rPr>
          <w:color w:val="0070C0"/>
        </w:rPr>
      </w:pPr>
    </w:p>
    <w:p w14:paraId="727B5111" w14:textId="77777777" w:rsidR="00A54E85" w:rsidRDefault="00A54E85" w:rsidP="00A54E85">
      <w:pPr>
        <w:tabs>
          <w:tab w:val="left" w:pos="9000"/>
        </w:tabs>
        <w:spacing w:line="276" w:lineRule="auto"/>
        <w:ind w:right="66"/>
        <w:rPr>
          <w:color w:val="0070C0"/>
        </w:rPr>
      </w:pPr>
      <w:r>
        <w:rPr>
          <w:color w:val="0070C0"/>
        </w:rPr>
        <w:t>Pour les tumeurs du médiastin moyen :</w:t>
      </w:r>
    </w:p>
    <w:p w14:paraId="7FE1FA63" w14:textId="77777777" w:rsidR="00A54E85" w:rsidRDefault="00A54E85" w:rsidP="00A54E85">
      <w:pPr>
        <w:tabs>
          <w:tab w:val="left" w:pos="9000"/>
        </w:tabs>
        <w:spacing w:line="276" w:lineRule="auto"/>
        <w:ind w:right="66"/>
        <w:rPr>
          <w:color w:val="0070C0"/>
        </w:rPr>
      </w:pPr>
      <w:r>
        <w:rPr>
          <w:color w:val="0070C0"/>
        </w:rPr>
        <w:t>- Médiastinoscopie :</w:t>
      </w:r>
    </w:p>
    <w:p w14:paraId="1B4F9E47" w14:textId="77777777" w:rsidR="00A54E85" w:rsidRDefault="00A54E85" w:rsidP="00A54E85">
      <w:pPr>
        <w:numPr>
          <w:ilvl w:val="0"/>
          <w:numId w:val="28"/>
        </w:numPr>
        <w:spacing w:line="276" w:lineRule="auto"/>
        <w:ind w:left="284" w:right="66" w:hanging="142"/>
        <w:rPr>
          <w:color w:val="0070C0"/>
        </w:rPr>
      </w:pPr>
      <w:r>
        <w:rPr>
          <w:color w:val="0070C0"/>
        </w:rPr>
        <w:t>L’examen de référence pour le diagnostic des adénopathies médiastinales est la médiastinoscopie dont la sensibilité et la spécificité sont de l’ordre de 100 %. Cependant, la médiastinoscopie n’est performante que pour les adénopathies axiales (autour de la trachée) et de topographie haute (pas plus bas que la région précarinaire).</w:t>
      </w:r>
    </w:p>
    <w:p w14:paraId="5877DC70" w14:textId="4C243230" w:rsidR="00A54E85" w:rsidRDefault="00A54E85" w:rsidP="00A54E85">
      <w:pPr>
        <w:numPr>
          <w:ilvl w:val="0"/>
          <w:numId w:val="28"/>
        </w:numPr>
        <w:spacing w:line="276" w:lineRule="auto"/>
        <w:ind w:left="284" w:right="66" w:hanging="142"/>
        <w:rPr>
          <w:color w:val="0070C0"/>
        </w:rPr>
      </w:pPr>
      <w:r>
        <w:rPr>
          <w:color w:val="0070C0"/>
        </w:rPr>
        <w:t>Tend aujourd’hui à être remplacé</w:t>
      </w:r>
      <w:r w:rsidR="0010133D">
        <w:rPr>
          <w:color w:val="0070C0"/>
        </w:rPr>
        <w:t>e</w:t>
      </w:r>
      <w:r>
        <w:rPr>
          <w:color w:val="0070C0"/>
        </w:rPr>
        <w:t xml:space="preserve"> en 1</w:t>
      </w:r>
      <w:r>
        <w:rPr>
          <w:color w:val="0070C0"/>
          <w:vertAlign w:val="superscript"/>
        </w:rPr>
        <w:t>re</w:t>
      </w:r>
      <w:r>
        <w:rPr>
          <w:color w:val="0070C0"/>
        </w:rPr>
        <w:t xml:space="preserve"> intention par la ponction transbronchique à l’aiguille per endoscopique échoguidée (EBUS). </w:t>
      </w:r>
    </w:p>
    <w:p w14:paraId="09509BF1" w14:textId="77777777" w:rsidR="00A54E85" w:rsidRDefault="00A54E85" w:rsidP="00A54E85">
      <w:pPr>
        <w:spacing w:line="276" w:lineRule="auto"/>
        <w:ind w:left="1068" w:right="66"/>
        <w:rPr>
          <w:color w:val="0070C0"/>
        </w:rPr>
      </w:pPr>
    </w:p>
    <w:p w14:paraId="747B2B90" w14:textId="77777777" w:rsidR="00A54E85" w:rsidRDefault="00A54E85" w:rsidP="00A54E85">
      <w:pPr>
        <w:tabs>
          <w:tab w:val="left" w:pos="9000"/>
        </w:tabs>
        <w:spacing w:line="276" w:lineRule="auto"/>
        <w:ind w:right="66"/>
        <w:rPr>
          <w:color w:val="0070C0"/>
        </w:rPr>
      </w:pPr>
      <w:r>
        <w:rPr>
          <w:color w:val="0070C0"/>
        </w:rPr>
        <w:t>Pour les tumeurs du médiastin postérieur :</w:t>
      </w:r>
    </w:p>
    <w:p w14:paraId="34432A4D" w14:textId="77777777" w:rsidR="00A54E85" w:rsidRDefault="00A54E85" w:rsidP="00A54E85">
      <w:pPr>
        <w:tabs>
          <w:tab w:val="left" w:pos="9000"/>
        </w:tabs>
        <w:spacing w:line="276" w:lineRule="auto"/>
        <w:ind w:right="66"/>
        <w:rPr>
          <w:color w:val="0070C0"/>
        </w:rPr>
      </w:pPr>
      <w:r>
        <w:rPr>
          <w:color w:val="0070C0"/>
        </w:rPr>
        <w:t>- Ponction transpariétale à l’aiguille.</w:t>
      </w:r>
    </w:p>
    <w:p w14:paraId="0FBA9089" w14:textId="77777777" w:rsidR="00A54E85" w:rsidRDefault="00A54E85" w:rsidP="00A54E85">
      <w:pPr>
        <w:tabs>
          <w:tab w:val="left" w:pos="9000"/>
        </w:tabs>
        <w:spacing w:line="276" w:lineRule="auto"/>
        <w:ind w:right="66"/>
        <w:rPr>
          <w:color w:val="0070C0"/>
        </w:rPr>
      </w:pPr>
      <w:r>
        <w:rPr>
          <w:color w:val="0070C0"/>
        </w:rPr>
        <w:t>- Ponction transœsophagienne à l’aiguille per endoscopique échoguidée (EUS).</w:t>
      </w:r>
    </w:p>
    <w:p w14:paraId="034792F8" w14:textId="77777777" w:rsidR="00A54E85" w:rsidRDefault="00A54E85" w:rsidP="00A54E85">
      <w:pPr>
        <w:tabs>
          <w:tab w:val="left" w:pos="9000"/>
        </w:tabs>
        <w:spacing w:line="276" w:lineRule="auto"/>
        <w:ind w:right="66"/>
        <w:rPr>
          <w:color w:val="0070C0"/>
        </w:rPr>
      </w:pPr>
      <w:r>
        <w:rPr>
          <w:color w:val="0070C0"/>
        </w:rPr>
        <w:t>- Chirurgie à visée diagnostique et en même temps d’exérèse :</w:t>
      </w:r>
    </w:p>
    <w:p w14:paraId="6BDDD43C" w14:textId="77777777" w:rsidR="00A54E85" w:rsidRDefault="00A54E85" w:rsidP="00A54E85">
      <w:pPr>
        <w:numPr>
          <w:ilvl w:val="0"/>
          <w:numId w:val="28"/>
        </w:numPr>
        <w:spacing w:line="276" w:lineRule="auto"/>
        <w:ind w:left="284" w:right="66" w:hanging="142"/>
        <w:rPr>
          <w:color w:val="0070C0"/>
        </w:rPr>
      </w:pPr>
      <w:r>
        <w:rPr>
          <w:color w:val="0070C0"/>
        </w:rPr>
        <w:t xml:space="preserve">N’est envisageable que si elle peut être complète et peu mutilante (si la tumeur semble parfaitement limitée sur l’imagerie). </w:t>
      </w:r>
    </w:p>
    <w:p w14:paraId="3823FF15" w14:textId="77777777" w:rsidR="00A54E85" w:rsidRDefault="00A54E85" w:rsidP="00A54E85">
      <w:pPr>
        <w:widowControl w:val="0"/>
        <w:spacing w:line="276" w:lineRule="auto"/>
      </w:pPr>
    </w:p>
    <w:p w14:paraId="57FD87CB" w14:textId="77777777" w:rsidR="00A54E85" w:rsidRDefault="00A54E85" w:rsidP="00AD3F49">
      <w:pPr>
        <w:pStyle w:val="Titre4"/>
      </w:pPr>
      <w:r>
        <w:t>Orientation diagnostique en pratique</w:t>
      </w:r>
    </w:p>
    <w:p w14:paraId="344F554E" w14:textId="77777777" w:rsidR="00A54E85" w:rsidRDefault="00A54E85" w:rsidP="00A54E85">
      <w:pPr>
        <w:widowControl w:val="0"/>
        <w:spacing w:line="276" w:lineRule="auto"/>
      </w:pPr>
      <w:r>
        <w:t xml:space="preserve">La base de l’orientation étiologique repose sur la localisation précise de la lésion dans le médiastin </w:t>
      </w:r>
    </w:p>
    <w:p w14:paraId="62887404" w14:textId="77777777" w:rsidR="00A54E85" w:rsidRDefault="00A54E85" w:rsidP="00A54E85">
      <w:pPr>
        <w:pStyle w:val="Titre"/>
        <w:spacing w:after="0" w:line="276" w:lineRule="auto"/>
        <w:jc w:val="left"/>
        <w:rPr>
          <w:rFonts w:ascii="Trebuchet MS" w:eastAsia="Trebuchet MS" w:hAnsi="Trebuchet MS" w:cs="Trebuchet MS"/>
          <w:b/>
          <w:bCs/>
          <w:i/>
          <w:iCs/>
          <w:sz w:val="20"/>
          <w:szCs w:val="20"/>
        </w:rPr>
      </w:pPr>
    </w:p>
    <w:p w14:paraId="27D79FC3" w14:textId="77777777" w:rsidR="00A54E85" w:rsidRDefault="00A54E85" w:rsidP="00AD3F49">
      <w:pPr>
        <w:pStyle w:val="lgende"/>
        <w:rPr>
          <w:b/>
          <w:bCs/>
          <w:i/>
          <w:iCs/>
        </w:rPr>
      </w:pPr>
      <w:r>
        <w:lastRenderedPageBreak/>
        <w:t xml:space="preserve">Tableau 4 : Étiologies des anomalies médiastinales en fonction de leur </w:t>
      </w:r>
      <w:commentRangeStart w:id="4"/>
      <w:r>
        <w:t>localisation</w:t>
      </w:r>
      <w:commentRangeEnd w:id="4"/>
      <w:r w:rsidR="009C5EA7">
        <w:rPr>
          <w:rStyle w:val="Marquedecommentaire"/>
          <w:sz w:val="18"/>
          <w:szCs w:val="18"/>
        </w:rPr>
        <w:commentReference w:id="4"/>
      </w:r>
      <w:r>
        <w:t>.</w:t>
      </w: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96"/>
        <w:gridCol w:w="2552"/>
        <w:gridCol w:w="2693"/>
        <w:gridCol w:w="1985"/>
      </w:tblGrid>
      <w:tr w:rsidR="00A54E85" w:rsidRPr="00AD3F49" w14:paraId="70BB0FDE" w14:textId="77777777" w:rsidTr="00AD3F49">
        <w:tc>
          <w:tcPr>
            <w:tcW w:w="1696" w:type="dxa"/>
            <w:tcBorders>
              <w:top w:val="single" w:sz="4" w:space="0" w:color="0070C0"/>
              <w:left w:val="single" w:sz="4" w:space="0" w:color="0070C0"/>
              <w:bottom w:val="single" w:sz="4" w:space="0" w:color="0070C0"/>
              <w:right w:val="single" w:sz="4" w:space="0" w:color="0070C0"/>
            </w:tcBorders>
            <w:shd w:val="clear" w:color="auto" w:fill="0070C0"/>
          </w:tcPr>
          <w:p w14:paraId="1618BB4F" w14:textId="77777777" w:rsidR="00A54E85" w:rsidRPr="00AD3F49" w:rsidRDefault="00A54E85" w:rsidP="00A54E85">
            <w:pPr>
              <w:spacing w:line="276" w:lineRule="auto"/>
              <w:jc w:val="right"/>
              <w:rPr>
                <w:rFonts w:ascii="Calibri" w:eastAsia="Calibri" w:hAnsi="Calibri" w:cs="Calibri"/>
                <w:b/>
                <w:bCs/>
                <w:color w:val="FFFFFF"/>
              </w:rPr>
            </w:pPr>
            <w:r w:rsidRPr="00AD3F49">
              <w:rPr>
                <w:rFonts w:ascii="Calibri" w:eastAsia="Calibri" w:hAnsi="Calibri" w:cs="Calibri"/>
                <w:b/>
                <w:bCs/>
                <w:color w:val="FFFFFF"/>
              </w:rPr>
              <w:t>Compartiment</w:t>
            </w:r>
          </w:p>
          <w:p w14:paraId="4DD67368" w14:textId="77777777" w:rsidR="00A54E85" w:rsidRPr="00AD3F49" w:rsidRDefault="00A54E85" w:rsidP="00A54E85">
            <w:pPr>
              <w:spacing w:line="276" w:lineRule="auto"/>
              <w:rPr>
                <w:rFonts w:ascii="Calibri" w:eastAsia="Calibri" w:hAnsi="Calibri" w:cs="Calibri"/>
                <w:b/>
                <w:bCs/>
                <w:color w:val="FFFFFF"/>
              </w:rPr>
            </w:pPr>
          </w:p>
          <w:p w14:paraId="37162EFA" w14:textId="77777777" w:rsidR="00A54E85" w:rsidRPr="00AD3F49" w:rsidRDefault="00A54E85" w:rsidP="00A54E85">
            <w:pPr>
              <w:spacing w:line="276" w:lineRule="auto"/>
              <w:rPr>
                <w:rFonts w:ascii="Calibri" w:eastAsia="Calibri" w:hAnsi="Calibri" w:cs="Calibri"/>
                <w:b/>
                <w:bCs/>
                <w:color w:val="FFFFFF"/>
              </w:rPr>
            </w:pPr>
            <w:r w:rsidRPr="00AD3F49">
              <w:rPr>
                <w:rFonts w:ascii="Calibri" w:eastAsia="Calibri" w:hAnsi="Calibri" w:cs="Calibri"/>
                <w:b/>
                <w:bCs/>
                <w:color w:val="FFFFFF"/>
              </w:rPr>
              <w:t>Étage</w:t>
            </w:r>
          </w:p>
        </w:tc>
        <w:tc>
          <w:tcPr>
            <w:tcW w:w="2552" w:type="dxa"/>
            <w:tcBorders>
              <w:top w:val="single" w:sz="4" w:space="0" w:color="0070C0"/>
              <w:left w:val="single" w:sz="4" w:space="0" w:color="0070C0"/>
              <w:bottom w:val="single" w:sz="4" w:space="0" w:color="0070C0"/>
              <w:right w:val="single" w:sz="4" w:space="0" w:color="0070C0"/>
            </w:tcBorders>
            <w:shd w:val="clear" w:color="auto" w:fill="0070C0"/>
            <w:vAlign w:val="center"/>
          </w:tcPr>
          <w:p w14:paraId="6915109F" w14:textId="77777777" w:rsidR="00A54E85" w:rsidRPr="00AD3F49" w:rsidRDefault="00A54E85" w:rsidP="00A54E85">
            <w:pPr>
              <w:spacing w:line="276" w:lineRule="auto"/>
              <w:jc w:val="center"/>
              <w:rPr>
                <w:rFonts w:ascii="Calibri" w:eastAsia="Calibri" w:hAnsi="Calibri" w:cs="Calibri"/>
                <w:b/>
                <w:bCs/>
                <w:color w:val="FFFFFF"/>
              </w:rPr>
            </w:pPr>
            <w:r w:rsidRPr="00AD3F49">
              <w:rPr>
                <w:rFonts w:ascii="Calibri" w:eastAsia="Calibri" w:hAnsi="Calibri" w:cs="Calibri"/>
                <w:b/>
                <w:bCs/>
                <w:color w:val="FFFFFF"/>
              </w:rPr>
              <w:t>Antérieur</w:t>
            </w:r>
          </w:p>
        </w:tc>
        <w:tc>
          <w:tcPr>
            <w:tcW w:w="2693" w:type="dxa"/>
            <w:tcBorders>
              <w:top w:val="single" w:sz="4" w:space="0" w:color="0070C0"/>
              <w:left w:val="single" w:sz="4" w:space="0" w:color="0070C0"/>
              <w:bottom w:val="single" w:sz="4" w:space="0" w:color="0070C0"/>
              <w:right w:val="single" w:sz="4" w:space="0" w:color="0070C0"/>
            </w:tcBorders>
            <w:shd w:val="clear" w:color="auto" w:fill="0070C0"/>
            <w:vAlign w:val="center"/>
          </w:tcPr>
          <w:p w14:paraId="682BA1DD" w14:textId="77777777" w:rsidR="00A54E85" w:rsidRPr="00AD3F49" w:rsidRDefault="00A54E85" w:rsidP="00A54E85">
            <w:pPr>
              <w:spacing w:line="276" w:lineRule="auto"/>
              <w:jc w:val="center"/>
              <w:rPr>
                <w:rFonts w:ascii="Calibri" w:eastAsia="Calibri" w:hAnsi="Calibri" w:cs="Calibri"/>
                <w:b/>
                <w:bCs/>
                <w:color w:val="FFFFFF"/>
              </w:rPr>
            </w:pPr>
            <w:r w:rsidRPr="00AD3F49">
              <w:rPr>
                <w:rFonts w:ascii="Calibri" w:eastAsia="Calibri" w:hAnsi="Calibri" w:cs="Calibri"/>
                <w:b/>
                <w:bCs/>
                <w:color w:val="FFFFFF"/>
              </w:rPr>
              <w:t>Moyen</w:t>
            </w:r>
          </w:p>
        </w:tc>
        <w:tc>
          <w:tcPr>
            <w:tcW w:w="1985" w:type="dxa"/>
            <w:tcBorders>
              <w:top w:val="single" w:sz="4" w:space="0" w:color="0070C0"/>
              <w:left w:val="single" w:sz="4" w:space="0" w:color="0070C0"/>
              <w:bottom w:val="single" w:sz="4" w:space="0" w:color="0070C0"/>
              <w:right w:val="single" w:sz="4" w:space="0" w:color="0070C0"/>
            </w:tcBorders>
            <w:shd w:val="clear" w:color="auto" w:fill="0070C0"/>
            <w:vAlign w:val="center"/>
          </w:tcPr>
          <w:p w14:paraId="6CED9005" w14:textId="77777777" w:rsidR="00A54E85" w:rsidRPr="00AD3F49" w:rsidRDefault="00A54E85" w:rsidP="00A54E85">
            <w:pPr>
              <w:spacing w:line="276" w:lineRule="auto"/>
              <w:jc w:val="center"/>
              <w:rPr>
                <w:rFonts w:ascii="Calibri" w:eastAsia="Calibri" w:hAnsi="Calibri" w:cs="Calibri"/>
                <w:b/>
                <w:bCs/>
                <w:color w:val="FFFFFF"/>
              </w:rPr>
            </w:pPr>
            <w:r w:rsidRPr="00AD3F49">
              <w:rPr>
                <w:rFonts w:ascii="Calibri" w:eastAsia="Calibri" w:hAnsi="Calibri" w:cs="Calibri"/>
                <w:b/>
                <w:bCs/>
                <w:color w:val="FFFFFF"/>
              </w:rPr>
              <w:t>Postérieur</w:t>
            </w:r>
          </w:p>
        </w:tc>
      </w:tr>
      <w:tr w:rsidR="00A54E85" w:rsidRPr="00AD3F49" w14:paraId="2E87F5AA" w14:textId="77777777" w:rsidTr="00AD3F49">
        <w:tc>
          <w:tcPr>
            <w:tcW w:w="1696" w:type="dxa"/>
            <w:tcBorders>
              <w:top w:val="single" w:sz="4" w:space="0" w:color="0070C0"/>
              <w:left w:val="single" w:sz="4" w:space="0" w:color="0070C0"/>
              <w:bottom w:val="single" w:sz="4" w:space="0" w:color="0070C0"/>
              <w:right w:val="single" w:sz="4" w:space="0" w:color="0070C0"/>
            </w:tcBorders>
            <w:shd w:val="clear" w:color="auto" w:fill="0070C0"/>
            <w:vAlign w:val="center"/>
          </w:tcPr>
          <w:p w14:paraId="535CA1D2" w14:textId="77777777" w:rsidR="00A54E85" w:rsidRPr="00AD3F49" w:rsidRDefault="00A54E85" w:rsidP="00A54E85">
            <w:pPr>
              <w:spacing w:line="276" w:lineRule="auto"/>
              <w:jc w:val="center"/>
              <w:rPr>
                <w:rFonts w:ascii="Calibri" w:eastAsia="Calibri" w:hAnsi="Calibri" w:cs="Calibri"/>
                <w:b/>
                <w:bCs/>
                <w:color w:val="FFFFFF"/>
              </w:rPr>
            </w:pPr>
            <w:r w:rsidRPr="00AD3F49">
              <w:rPr>
                <w:rFonts w:ascii="Calibri" w:eastAsia="Calibri" w:hAnsi="Calibri" w:cs="Calibri"/>
                <w:b/>
                <w:bCs/>
                <w:color w:val="FFFFFF"/>
              </w:rPr>
              <w:t>Supérieur</w:t>
            </w:r>
          </w:p>
        </w:tc>
        <w:tc>
          <w:tcPr>
            <w:tcW w:w="2552" w:type="dxa"/>
            <w:tcBorders>
              <w:top w:val="single" w:sz="4" w:space="0" w:color="0070C0"/>
              <w:left w:val="single" w:sz="4" w:space="0" w:color="0070C0"/>
              <w:bottom w:val="single" w:sz="4" w:space="0" w:color="0070C0"/>
              <w:right w:val="single" w:sz="4" w:space="0" w:color="0070C0"/>
            </w:tcBorders>
            <w:vAlign w:val="center"/>
          </w:tcPr>
          <w:p w14:paraId="23B8DDF7" w14:textId="77777777" w:rsidR="00A54E85" w:rsidRPr="00AD3F49" w:rsidRDefault="00A54E85" w:rsidP="00A54E85">
            <w:pPr>
              <w:spacing w:line="276" w:lineRule="auto"/>
              <w:jc w:val="left"/>
              <w:rPr>
                <w:rFonts w:ascii="Calibri" w:eastAsia="Calibri" w:hAnsi="Calibri" w:cs="Calibri"/>
              </w:rPr>
            </w:pPr>
            <w:r w:rsidRPr="00AD3F49">
              <w:rPr>
                <w:rFonts w:ascii="Calibri" w:eastAsia="Calibri" w:hAnsi="Calibri" w:cs="Calibri"/>
              </w:rPr>
              <w:t>Goitre thyroïdien</w:t>
            </w:r>
          </w:p>
          <w:p w14:paraId="06281D0F" w14:textId="77777777" w:rsidR="00A54E85" w:rsidRPr="00AD3F49" w:rsidRDefault="00A54E85" w:rsidP="00A54E85">
            <w:pPr>
              <w:spacing w:line="276" w:lineRule="auto"/>
              <w:jc w:val="left"/>
              <w:rPr>
                <w:rFonts w:ascii="Calibri" w:eastAsia="Calibri" w:hAnsi="Calibri" w:cs="Calibri"/>
              </w:rPr>
            </w:pPr>
            <w:r w:rsidRPr="00AD3F49">
              <w:rPr>
                <w:rFonts w:ascii="Calibri" w:eastAsia="Calibri" w:hAnsi="Calibri" w:cs="Calibri"/>
              </w:rPr>
              <w:t>Lésions parathyroïdiennes</w:t>
            </w:r>
          </w:p>
        </w:tc>
        <w:tc>
          <w:tcPr>
            <w:tcW w:w="2693" w:type="dxa"/>
            <w:tcBorders>
              <w:top w:val="single" w:sz="4" w:space="0" w:color="0070C0"/>
              <w:left w:val="single" w:sz="4" w:space="0" w:color="0070C0"/>
              <w:bottom w:val="single" w:sz="4" w:space="0" w:color="0070C0"/>
              <w:right w:val="single" w:sz="4" w:space="0" w:color="0070C0"/>
            </w:tcBorders>
            <w:vAlign w:val="center"/>
          </w:tcPr>
          <w:p w14:paraId="4BEF7123" w14:textId="77777777" w:rsidR="00A54E85" w:rsidRPr="00AD3F49" w:rsidRDefault="00A54E85" w:rsidP="00A54E85">
            <w:pPr>
              <w:spacing w:line="276" w:lineRule="auto"/>
              <w:jc w:val="left"/>
              <w:rPr>
                <w:rFonts w:ascii="Calibri" w:eastAsia="Calibri" w:hAnsi="Calibri" w:cs="Calibri"/>
              </w:rPr>
            </w:pPr>
            <w:r w:rsidRPr="00AD3F49">
              <w:rPr>
                <w:rFonts w:ascii="Calibri" w:eastAsia="Calibri" w:hAnsi="Calibri" w:cs="Calibri"/>
              </w:rPr>
              <w:t>Adénopathies</w:t>
            </w:r>
          </w:p>
        </w:tc>
        <w:tc>
          <w:tcPr>
            <w:tcW w:w="1985" w:type="dxa"/>
            <w:vMerge w:val="restart"/>
            <w:tcBorders>
              <w:top w:val="single" w:sz="4" w:space="0" w:color="0070C0"/>
              <w:left w:val="single" w:sz="4" w:space="0" w:color="0070C0"/>
              <w:bottom w:val="single" w:sz="4" w:space="0" w:color="0070C0"/>
              <w:right w:val="single" w:sz="4" w:space="0" w:color="0070C0"/>
            </w:tcBorders>
            <w:vAlign w:val="center"/>
          </w:tcPr>
          <w:p w14:paraId="3BD41765" w14:textId="77777777" w:rsidR="00A54E85" w:rsidRPr="00AD3F49" w:rsidRDefault="00A54E85" w:rsidP="00A54E85">
            <w:pPr>
              <w:pStyle w:val="Titre"/>
              <w:spacing w:after="0" w:line="276" w:lineRule="auto"/>
              <w:jc w:val="left"/>
              <w:rPr>
                <w:rFonts w:ascii="Calibri" w:eastAsia="Calibri" w:hAnsi="Calibri" w:cs="Calibri"/>
                <w:b/>
                <w:bCs/>
                <w:i/>
                <w:iCs/>
                <w:spacing w:val="0"/>
                <w:sz w:val="20"/>
                <w:szCs w:val="20"/>
              </w:rPr>
            </w:pPr>
            <w:r w:rsidRPr="00AD3F49">
              <w:rPr>
                <w:rFonts w:ascii="Calibri" w:eastAsia="Calibri" w:hAnsi="Calibri" w:cs="Calibri"/>
                <w:spacing w:val="0"/>
                <w:sz w:val="20"/>
                <w:szCs w:val="20"/>
              </w:rPr>
              <w:t>Tumeurs neurogènes</w:t>
            </w:r>
          </w:p>
          <w:p w14:paraId="529242B3" w14:textId="77777777" w:rsidR="00A54E85" w:rsidRPr="00AD3F49" w:rsidRDefault="00A54E85" w:rsidP="00A54E85">
            <w:pPr>
              <w:pStyle w:val="Titre"/>
              <w:spacing w:after="0" w:line="276" w:lineRule="auto"/>
              <w:jc w:val="left"/>
              <w:rPr>
                <w:rFonts w:ascii="Calibri" w:eastAsia="Calibri" w:hAnsi="Calibri" w:cs="Calibri"/>
                <w:b/>
                <w:bCs/>
                <w:i/>
                <w:iCs/>
                <w:spacing w:val="0"/>
                <w:sz w:val="20"/>
                <w:szCs w:val="20"/>
              </w:rPr>
            </w:pPr>
            <w:r w:rsidRPr="00AD3F49">
              <w:rPr>
                <w:rFonts w:ascii="Calibri" w:eastAsia="Calibri" w:hAnsi="Calibri" w:cs="Calibri"/>
                <w:spacing w:val="0"/>
                <w:sz w:val="20"/>
                <w:szCs w:val="20"/>
              </w:rPr>
              <w:t>- Schwannomes</w:t>
            </w:r>
          </w:p>
          <w:p w14:paraId="5015B208" w14:textId="77777777" w:rsidR="00A54E85" w:rsidRPr="00AD3F49" w:rsidRDefault="00A54E85" w:rsidP="00A54E85">
            <w:pPr>
              <w:pStyle w:val="Titre"/>
              <w:spacing w:after="0" w:line="276" w:lineRule="auto"/>
              <w:jc w:val="left"/>
              <w:rPr>
                <w:rFonts w:ascii="Calibri" w:eastAsia="Calibri" w:hAnsi="Calibri" w:cs="Calibri"/>
                <w:b/>
                <w:bCs/>
                <w:i/>
                <w:iCs/>
                <w:spacing w:val="0"/>
                <w:sz w:val="20"/>
                <w:szCs w:val="20"/>
              </w:rPr>
            </w:pPr>
            <w:r w:rsidRPr="00AD3F49">
              <w:rPr>
                <w:rFonts w:ascii="Calibri" w:eastAsia="Calibri" w:hAnsi="Calibri" w:cs="Calibri"/>
                <w:spacing w:val="0"/>
                <w:sz w:val="20"/>
                <w:szCs w:val="20"/>
              </w:rPr>
              <w:t>- Neuroblastomes</w:t>
            </w:r>
          </w:p>
          <w:p w14:paraId="6B5BB10C" w14:textId="77777777" w:rsidR="00A54E85" w:rsidRPr="00AD3F49" w:rsidRDefault="00A54E85" w:rsidP="00A54E85">
            <w:pPr>
              <w:pStyle w:val="Titre"/>
              <w:spacing w:after="0" w:line="276" w:lineRule="auto"/>
              <w:jc w:val="left"/>
              <w:rPr>
                <w:rFonts w:ascii="Calibri" w:eastAsia="Calibri" w:hAnsi="Calibri" w:cs="Calibri"/>
                <w:b/>
                <w:bCs/>
                <w:i/>
                <w:iCs/>
                <w:spacing w:val="0"/>
                <w:sz w:val="20"/>
                <w:szCs w:val="20"/>
              </w:rPr>
            </w:pPr>
            <w:r w:rsidRPr="00AD3F49">
              <w:rPr>
                <w:rFonts w:ascii="Calibri" w:eastAsia="Calibri" w:hAnsi="Calibri" w:cs="Calibri"/>
                <w:spacing w:val="0"/>
                <w:sz w:val="20"/>
                <w:szCs w:val="20"/>
              </w:rPr>
              <w:t>- Neurofibromes</w:t>
            </w:r>
          </w:p>
          <w:p w14:paraId="37A418E3" w14:textId="77777777" w:rsidR="00A54E85" w:rsidRPr="00AD3F49" w:rsidRDefault="00A54E85" w:rsidP="00A54E85">
            <w:pPr>
              <w:pStyle w:val="Titre"/>
              <w:spacing w:after="0" w:line="276" w:lineRule="auto"/>
              <w:jc w:val="left"/>
              <w:rPr>
                <w:rFonts w:ascii="Calibri" w:eastAsia="Calibri" w:hAnsi="Calibri" w:cs="Calibri"/>
                <w:b/>
                <w:bCs/>
                <w:i/>
                <w:iCs/>
                <w:spacing w:val="0"/>
                <w:sz w:val="20"/>
                <w:szCs w:val="20"/>
              </w:rPr>
            </w:pPr>
            <w:r w:rsidRPr="00AD3F49">
              <w:rPr>
                <w:rFonts w:ascii="Calibri" w:eastAsia="Calibri" w:hAnsi="Calibri" w:cs="Calibri"/>
                <w:spacing w:val="0"/>
                <w:sz w:val="20"/>
                <w:szCs w:val="20"/>
              </w:rPr>
              <w:t>- Paragangliomes</w:t>
            </w:r>
          </w:p>
          <w:p w14:paraId="2D5B9C4D" w14:textId="77777777" w:rsidR="00A54E85" w:rsidRPr="00AD3F49" w:rsidRDefault="00A54E85" w:rsidP="00A54E85">
            <w:pPr>
              <w:spacing w:line="276" w:lineRule="auto"/>
              <w:jc w:val="left"/>
              <w:rPr>
                <w:rFonts w:ascii="Calibri" w:eastAsia="Calibri" w:hAnsi="Calibri" w:cs="Calibri"/>
              </w:rPr>
            </w:pPr>
          </w:p>
        </w:tc>
      </w:tr>
      <w:tr w:rsidR="00A54E85" w:rsidRPr="00AD3F49" w14:paraId="014E8B44" w14:textId="77777777" w:rsidTr="00AD3F49">
        <w:tc>
          <w:tcPr>
            <w:tcW w:w="1696" w:type="dxa"/>
            <w:tcBorders>
              <w:top w:val="single" w:sz="4" w:space="0" w:color="0070C0"/>
              <w:left w:val="single" w:sz="4" w:space="0" w:color="0070C0"/>
              <w:bottom w:val="single" w:sz="4" w:space="0" w:color="0070C0"/>
              <w:right w:val="single" w:sz="4" w:space="0" w:color="0070C0"/>
            </w:tcBorders>
            <w:shd w:val="clear" w:color="auto" w:fill="0070C0"/>
            <w:vAlign w:val="center"/>
          </w:tcPr>
          <w:p w14:paraId="30E83D5F" w14:textId="77777777" w:rsidR="00A54E85" w:rsidRPr="00AD3F49" w:rsidRDefault="00A54E85" w:rsidP="00A54E85">
            <w:pPr>
              <w:spacing w:line="276" w:lineRule="auto"/>
              <w:jc w:val="center"/>
              <w:rPr>
                <w:rFonts w:ascii="Calibri" w:eastAsia="Calibri" w:hAnsi="Calibri" w:cs="Calibri"/>
                <w:b/>
                <w:bCs/>
                <w:color w:val="FFFFFF"/>
              </w:rPr>
            </w:pPr>
            <w:r w:rsidRPr="00AD3F49">
              <w:rPr>
                <w:rFonts w:ascii="Calibri" w:eastAsia="Calibri" w:hAnsi="Calibri" w:cs="Calibri"/>
                <w:b/>
                <w:bCs/>
                <w:color w:val="FFFFFF"/>
              </w:rPr>
              <w:t>Moyen</w:t>
            </w:r>
          </w:p>
        </w:tc>
        <w:tc>
          <w:tcPr>
            <w:tcW w:w="2552" w:type="dxa"/>
            <w:tcBorders>
              <w:top w:val="single" w:sz="4" w:space="0" w:color="0070C0"/>
              <w:left w:val="single" w:sz="4" w:space="0" w:color="0070C0"/>
              <w:bottom w:val="single" w:sz="4" w:space="0" w:color="0070C0"/>
              <w:right w:val="single" w:sz="4" w:space="0" w:color="0070C0"/>
            </w:tcBorders>
          </w:tcPr>
          <w:p w14:paraId="58872B58" w14:textId="77777777" w:rsidR="00A54E85" w:rsidRPr="00AD3F49" w:rsidRDefault="00A54E85" w:rsidP="00A54E85">
            <w:pPr>
              <w:pStyle w:val="Titre"/>
              <w:spacing w:after="0" w:line="276" w:lineRule="auto"/>
              <w:rPr>
                <w:rFonts w:ascii="Calibri" w:eastAsia="Calibri" w:hAnsi="Calibri" w:cs="Calibri"/>
                <w:b/>
                <w:bCs/>
                <w:i/>
                <w:iCs/>
                <w:spacing w:val="0"/>
                <w:sz w:val="20"/>
                <w:szCs w:val="20"/>
              </w:rPr>
            </w:pPr>
            <w:r w:rsidRPr="00AD3F49">
              <w:rPr>
                <w:rFonts w:ascii="Calibri" w:eastAsia="Calibri" w:hAnsi="Calibri" w:cs="Calibri"/>
                <w:spacing w:val="0"/>
                <w:sz w:val="20"/>
                <w:szCs w:val="20"/>
              </w:rPr>
              <w:t xml:space="preserve">Lésions thymiques </w:t>
            </w:r>
          </w:p>
          <w:p w14:paraId="5496B3E5" w14:textId="77777777" w:rsidR="00A54E85" w:rsidRPr="00AD3F49" w:rsidRDefault="00A54E85" w:rsidP="00A54E85">
            <w:pPr>
              <w:pStyle w:val="Titre"/>
              <w:spacing w:after="0" w:line="276" w:lineRule="auto"/>
              <w:rPr>
                <w:rFonts w:ascii="Calibri" w:eastAsia="Calibri" w:hAnsi="Calibri" w:cs="Calibri"/>
                <w:b/>
                <w:bCs/>
                <w:i/>
                <w:iCs/>
                <w:spacing w:val="0"/>
                <w:sz w:val="20"/>
                <w:szCs w:val="20"/>
              </w:rPr>
            </w:pPr>
            <w:r w:rsidRPr="00AD3F49">
              <w:rPr>
                <w:rFonts w:ascii="Calibri" w:eastAsia="Calibri" w:hAnsi="Calibri" w:cs="Calibri"/>
                <w:spacing w:val="0"/>
                <w:sz w:val="20"/>
                <w:szCs w:val="20"/>
              </w:rPr>
              <w:t>- Thymomes</w:t>
            </w:r>
          </w:p>
          <w:p w14:paraId="34804BBB" w14:textId="77777777" w:rsidR="00A54E85" w:rsidRPr="00AD3F49" w:rsidRDefault="00A54E85" w:rsidP="00A54E85">
            <w:pPr>
              <w:pStyle w:val="Titre"/>
              <w:spacing w:after="0" w:line="276" w:lineRule="auto"/>
              <w:rPr>
                <w:rFonts w:ascii="Calibri" w:eastAsia="Calibri" w:hAnsi="Calibri" w:cs="Calibri"/>
                <w:b/>
                <w:bCs/>
                <w:i/>
                <w:iCs/>
                <w:spacing w:val="0"/>
                <w:sz w:val="20"/>
                <w:szCs w:val="20"/>
              </w:rPr>
            </w:pPr>
            <w:r w:rsidRPr="00AD3F49">
              <w:rPr>
                <w:rFonts w:ascii="Calibri" w:eastAsia="Calibri" w:hAnsi="Calibri" w:cs="Calibri"/>
                <w:spacing w:val="0"/>
                <w:sz w:val="20"/>
                <w:szCs w:val="20"/>
              </w:rPr>
              <w:t>- Carcinomes thymiques</w:t>
            </w:r>
          </w:p>
          <w:p w14:paraId="38E62238" w14:textId="77777777" w:rsidR="00A54E85" w:rsidRPr="00AD3F49" w:rsidRDefault="00A54E85" w:rsidP="00A54E85">
            <w:pPr>
              <w:pStyle w:val="Titre"/>
              <w:spacing w:after="0" w:line="276" w:lineRule="auto"/>
              <w:rPr>
                <w:rFonts w:ascii="Calibri" w:eastAsia="Calibri" w:hAnsi="Calibri" w:cs="Calibri"/>
                <w:b/>
                <w:bCs/>
                <w:i/>
                <w:iCs/>
                <w:spacing w:val="0"/>
                <w:sz w:val="20"/>
                <w:szCs w:val="20"/>
              </w:rPr>
            </w:pPr>
            <w:r w:rsidRPr="00AD3F49">
              <w:rPr>
                <w:rFonts w:ascii="Calibri" w:eastAsia="Calibri" w:hAnsi="Calibri" w:cs="Calibri"/>
                <w:spacing w:val="0"/>
                <w:sz w:val="20"/>
                <w:szCs w:val="20"/>
              </w:rPr>
              <w:t>- Lymphomes</w:t>
            </w:r>
          </w:p>
          <w:p w14:paraId="6FBB9DA6" w14:textId="77777777" w:rsidR="00A54E85" w:rsidRPr="00AD3F49" w:rsidRDefault="00A54E85" w:rsidP="00A54E85">
            <w:pPr>
              <w:pStyle w:val="Titre"/>
              <w:spacing w:after="0" w:line="276" w:lineRule="auto"/>
              <w:rPr>
                <w:rFonts w:ascii="Calibri" w:eastAsia="Calibri" w:hAnsi="Calibri" w:cs="Calibri"/>
                <w:b/>
                <w:bCs/>
                <w:i/>
                <w:iCs/>
                <w:spacing w:val="0"/>
                <w:sz w:val="20"/>
                <w:szCs w:val="20"/>
              </w:rPr>
            </w:pPr>
            <w:r w:rsidRPr="00AD3F49">
              <w:rPr>
                <w:rFonts w:ascii="Calibri" w:eastAsia="Calibri" w:hAnsi="Calibri" w:cs="Calibri"/>
                <w:spacing w:val="0"/>
                <w:sz w:val="20"/>
                <w:szCs w:val="20"/>
              </w:rPr>
              <w:t xml:space="preserve">Tératomes </w:t>
            </w:r>
          </w:p>
          <w:p w14:paraId="0B9BEB4F" w14:textId="77777777" w:rsidR="00A54E85" w:rsidRPr="00AD3F49" w:rsidRDefault="00A54E85" w:rsidP="00A54E85">
            <w:pPr>
              <w:pStyle w:val="Titre"/>
              <w:spacing w:after="0" w:line="276" w:lineRule="auto"/>
              <w:rPr>
                <w:rFonts w:ascii="Calibri" w:eastAsia="Calibri" w:hAnsi="Calibri" w:cs="Calibri"/>
                <w:b/>
                <w:bCs/>
                <w:i/>
                <w:iCs/>
                <w:spacing w:val="0"/>
                <w:sz w:val="20"/>
                <w:szCs w:val="20"/>
              </w:rPr>
            </w:pPr>
            <w:r w:rsidRPr="00AD3F49">
              <w:rPr>
                <w:rFonts w:ascii="Calibri" w:eastAsia="Calibri" w:hAnsi="Calibri" w:cs="Calibri"/>
                <w:spacing w:val="0"/>
                <w:sz w:val="20"/>
                <w:szCs w:val="20"/>
              </w:rPr>
              <w:t>Tumeurs germinales</w:t>
            </w:r>
          </w:p>
        </w:tc>
        <w:tc>
          <w:tcPr>
            <w:tcW w:w="2693" w:type="dxa"/>
            <w:tcBorders>
              <w:top w:val="single" w:sz="4" w:space="0" w:color="0070C0"/>
              <w:left w:val="single" w:sz="4" w:space="0" w:color="0070C0"/>
              <w:bottom w:val="single" w:sz="4" w:space="0" w:color="0070C0"/>
              <w:right w:val="single" w:sz="4" w:space="0" w:color="0070C0"/>
            </w:tcBorders>
          </w:tcPr>
          <w:p w14:paraId="779EEEDE" w14:textId="77777777" w:rsidR="00A54E85" w:rsidRPr="00AD3F49" w:rsidRDefault="00A54E85" w:rsidP="00A54E85">
            <w:pPr>
              <w:spacing w:line="276" w:lineRule="auto"/>
              <w:rPr>
                <w:rFonts w:ascii="Calibri" w:eastAsia="Calibri" w:hAnsi="Calibri" w:cs="Calibri"/>
              </w:rPr>
            </w:pPr>
            <w:r w:rsidRPr="00AD3F49">
              <w:rPr>
                <w:rFonts w:ascii="Calibri" w:eastAsia="Calibri" w:hAnsi="Calibri" w:cs="Calibri"/>
              </w:rPr>
              <w:t>Adénopathies</w:t>
            </w:r>
          </w:p>
          <w:p w14:paraId="273EAB31" w14:textId="77777777" w:rsidR="00A54E85" w:rsidRPr="00AD3F49" w:rsidRDefault="00A54E85" w:rsidP="00A54E85">
            <w:pPr>
              <w:spacing w:line="276" w:lineRule="auto"/>
              <w:rPr>
                <w:rFonts w:ascii="Calibri" w:eastAsia="Calibri" w:hAnsi="Calibri" w:cs="Calibri"/>
              </w:rPr>
            </w:pPr>
            <w:r w:rsidRPr="00AD3F49">
              <w:rPr>
                <w:rFonts w:ascii="Calibri" w:eastAsia="Calibri" w:hAnsi="Calibri" w:cs="Calibri"/>
              </w:rPr>
              <w:t>Kystes bronchogéniques</w:t>
            </w:r>
          </w:p>
          <w:p w14:paraId="2A3A4A0C" w14:textId="77777777" w:rsidR="00A54E85" w:rsidRPr="00AD3F49" w:rsidRDefault="00A54E85" w:rsidP="00A54E85">
            <w:pPr>
              <w:spacing w:line="276" w:lineRule="auto"/>
              <w:rPr>
                <w:rFonts w:ascii="Calibri" w:eastAsia="Calibri" w:hAnsi="Calibri" w:cs="Calibri"/>
              </w:rPr>
            </w:pPr>
            <w:r w:rsidRPr="00AD3F49">
              <w:rPr>
                <w:rFonts w:ascii="Calibri" w:eastAsia="Calibri" w:hAnsi="Calibri" w:cs="Calibri"/>
              </w:rPr>
              <w:t>Paragangliomes</w:t>
            </w:r>
          </w:p>
        </w:tc>
        <w:tc>
          <w:tcPr>
            <w:tcW w:w="1985" w:type="dxa"/>
            <w:vMerge/>
            <w:tcBorders>
              <w:top w:val="single" w:sz="4" w:space="0" w:color="0070C0"/>
              <w:left w:val="single" w:sz="4" w:space="0" w:color="0070C0"/>
              <w:bottom w:val="single" w:sz="4" w:space="0" w:color="0070C0"/>
              <w:right w:val="single" w:sz="4" w:space="0" w:color="0070C0"/>
            </w:tcBorders>
            <w:vAlign w:val="center"/>
          </w:tcPr>
          <w:p w14:paraId="193780A2" w14:textId="77777777" w:rsidR="00A54E85" w:rsidRPr="00AD3F49" w:rsidRDefault="00A54E85" w:rsidP="00A54E85">
            <w:pPr>
              <w:widowControl w:val="0"/>
              <w:pBdr>
                <w:top w:val="nil"/>
                <w:left w:val="nil"/>
                <w:bottom w:val="nil"/>
                <w:right w:val="nil"/>
                <w:between w:val="nil"/>
              </w:pBdr>
              <w:spacing w:line="276" w:lineRule="auto"/>
              <w:jc w:val="left"/>
              <w:rPr>
                <w:rFonts w:ascii="Calibri" w:eastAsia="Calibri" w:hAnsi="Calibri" w:cs="Calibri"/>
              </w:rPr>
            </w:pPr>
          </w:p>
        </w:tc>
      </w:tr>
      <w:tr w:rsidR="00A54E85" w:rsidRPr="00AD3F49" w14:paraId="004D3EE7" w14:textId="77777777" w:rsidTr="00AD3F49">
        <w:tc>
          <w:tcPr>
            <w:tcW w:w="1696" w:type="dxa"/>
            <w:tcBorders>
              <w:top w:val="single" w:sz="4" w:space="0" w:color="0070C0"/>
              <w:left w:val="single" w:sz="4" w:space="0" w:color="0070C0"/>
              <w:bottom w:val="single" w:sz="4" w:space="0" w:color="0070C0"/>
              <w:right w:val="single" w:sz="4" w:space="0" w:color="0070C0"/>
            </w:tcBorders>
            <w:shd w:val="clear" w:color="auto" w:fill="0070C0"/>
            <w:vAlign w:val="center"/>
          </w:tcPr>
          <w:p w14:paraId="3D415CF6" w14:textId="77777777" w:rsidR="00A54E85" w:rsidRPr="00AD3F49" w:rsidRDefault="00A54E85" w:rsidP="00A54E85">
            <w:pPr>
              <w:spacing w:line="276" w:lineRule="auto"/>
              <w:jc w:val="center"/>
              <w:rPr>
                <w:rFonts w:ascii="Calibri" w:eastAsia="Calibri" w:hAnsi="Calibri" w:cs="Calibri"/>
                <w:b/>
                <w:bCs/>
                <w:color w:val="FFFFFF"/>
              </w:rPr>
            </w:pPr>
            <w:r w:rsidRPr="00AD3F49">
              <w:rPr>
                <w:rFonts w:ascii="Calibri" w:eastAsia="Calibri" w:hAnsi="Calibri" w:cs="Calibri"/>
                <w:b/>
                <w:bCs/>
                <w:color w:val="FFFFFF"/>
              </w:rPr>
              <w:t>Inférieur</w:t>
            </w:r>
          </w:p>
        </w:tc>
        <w:tc>
          <w:tcPr>
            <w:tcW w:w="2552" w:type="dxa"/>
            <w:tcBorders>
              <w:top w:val="single" w:sz="4" w:space="0" w:color="0070C0"/>
              <w:left w:val="single" w:sz="4" w:space="0" w:color="0070C0"/>
              <w:bottom w:val="single" w:sz="4" w:space="0" w:color="0070C0"/>
              <w:right w:val="single" w:sz="4" w:space="0" w:color="0070C0"/>
            </w:tcBorders>
          </w:tcPr>
          <w:p w14:paraId="0F98181F" w14:textId="77777777" w:rsidR="00A54E85" w:rsidRPr="00AD3F49" w:rsidRDefault="00A54E85" w:rsidP="00A54E85">
            <w:pPr>
              <w:spacing w:line="276" w:lineRule="auto"/>
              <w:rPr>
                <w:rFonts w:ascii="Calibri" w:eastAsia="Calibri" w:hAnsi="Calibri" w:cs="Calibri"/>
              </w:rPr>
            </w:pPr>
            <w:r w:rsidRPr="00AD3F49">
              <w:rPr>
                <w:rFonts w:ascii="Calibri" w:eastAsia="Calibri" w:hAnsi="Calibri" w:cs="Calibri"/>
              </w:rPr>
              <w:t>Kystes pleuropéricardiques</w:t>
            </w:r>
          </w:p>
        </w:tc>
        <w:tc>
          <w:tcPr>
            <w:tcW w:w="2693" w:type="dxa"/>
            <w:tcBorders>
              <w:top w:val="single" w:sz="4" w:space="0" w:color="0070C0"/>
              <w:left w:val="single" w:sz="4" w:space="0" w:color="0070C0"/>
              <w:bottom w:val="single" w:sz="4" w:space="0" w:color="0070C0"/>
              <w:right w:val="single" w:sz="4" w:space="0" w:color="0070C0"/>
            </w:tcBorders>
          </w:tcPr>
          <w:p w14:paraId="58E21887" w14:textId="77777777" w:rsidR="00A54E85" w:rsidRPr="00AD3F49" w:rsidRDefault="00A54E85" w:rsidP="00A54E85">
            <w:pPr>
              <w:spacing w:line="276" w:lineRule="auto"/>
              <w:rPr>
                <w:rFonts w:ascii="Calibri" w:eastAsia="Calibri" w:hAnsi="Calibri" w:cs="Calibri"/>
              </w:rPr>
            </w:pPr>
            <w:r w:rsidRPr="00AD3F49">
              <w:rPr>
                <w:rFonts w:ascii="Calibri" w:eastAsia="Calibri" w:hAnsi="Calibri" w:cs="Calibri"/>
              </w:rPr>
              <w:t>Kystes bronchogéniques</w:t>
            </w:r>
          </w:p>
        </w:tc>
        <w:tc>
          <w:tcPr>
            <w:tcW w:w="1985" w:type="dxa"/>
            <w:vMerge/>
            <w:tcBorders>
              <w:top w:val="single" w:sz="4" w:space="0" w:color="0070C0"/>
              <w:left w:val="single" w:sz="4" w:space="0" w:color="0070C0"/>
              <w:bottom w:val="single" w:sz="4" w:space="0" w:color="0070C0"/>
              <w:right w:val="single" w:sz="4" w:space="0" w:color="0070C0"/>
            </w:tcBorders>
            <w:vAlign w:val="center"/>
          </w:tcPr>
          <w:p w14:paraId="74D3E6E1" w14:textId="77777777" w:rsidR="00A54E85" w:rsidRPr="00AD3F49" w:rsidRDefault="00A54E85" w:rsidP="00A54E85">
            <w:pPr>
              <w:widowControl w:val="0"/>
              <w:pBdr>
                <w:top w:val="nil"/>
                <w:left w:val="nil"/>
                <w:bottom w:val="nil"/>
                <w:right w:val="nil"/>
                <w:between w:val="nil"/>
              </w:pBdr>
              <w:spacing w:line="276" w:lineRule="auto"/>
              <w:jc w:val="left"/>
              <w:rPr>
                <w:rFonts w:ascii="Calibri" w:eastAsia="Calibri" w:hAnsi="Calibri" w:cs="Calibri"/>
              </w:rPr>
            </w:pPr>
          </w:p>
        </w:tc>
      </w:tr>
    </w:tbl>
    <w:p w14:paraId="2E72CC75" w14:textId="77777777" w:rsidR="00A54E85" w:rsidRDefault="00A54E85" w:rsidP="00A54E85">
      <w:pPr>
        <w:spacing w:line="276" w:lineRule="auto"/>
        <w:ind w:right="66"/>
      </w:pPr>
    </w:p>
    <w:p w14:paraId="051A6240" w14:textId="77777777" w:rsidR="00A54E85" w:rsidRDefault="00A54E85" w:rsidP="00A54E85">
      <w:pPr>
        <w:spacing w:line="276" w:lineRule="auto"/>
        <w:ind w:right="66"/>
        <w:rPr>
          <w:b/>
          <w:bCs/>
        </w:rPr>
      </w:pPr>
      <w:r>
        <w:rPr>
          <w:b/>
          <w:bCs/>
        </w:rPr>
        <w:t>Les cas simples :</w:t>
      </w:r>
    </w:p>
    <w:p w14:paraId="6037E686" w14:textId="77777777" w:rsidR="00A54E85" w:rsidRDefault="00A54E85" w:rsidP="00A54E85">
      <w:pPr>
        <w:tabs>
          <w:tab w:val="left" w:pos="9000"/>
        </w:tabs>
        <w:spacing w:line="276" w:lineRule="auto"/>
        <w:ind w:right="66"/>
      </w:pPr>
      <w:r>
        <w:t>L’aspect TDM est typique d’une lésion bénigne (topographie dans le médiastin et morphologie) :</w:t>
      </w:r>
    </w:p>
    <w:p w14:paraId="5B938223" w14:textId="77777777" w:rsidR="00A54E85" w:rsidRDefault="00A54E85" w:rsidP="00A54E85">
      <w:pPr>
        <w:spacing w:line="276" w:lineRule="auto"/>
        <w:ind w:right="66"/>
      </w:pPr>
      <w:r>
        <w:t>- Goitre plongeant.</w:t>
      </w:r>
    </w:p>
    <w:p w14:paraId="44F4624A" w14:textId="77777777" w:rsidR="00A54E85" w:rsidRDefault="00A54E85" w:rsidP="00A54E85">
      <w:pPr>
        <w:spacing w:line="276" w:lineRule="auto"/>
        <w:ind w:right="66"/>
      </w:pPr>
      <w:r>
        <w:t>- Kystes bronchogéniques ou pleuropéricardiques.</w:t>
      </w:r>
    </w:p>
    <w:p w14:paraId="6E6B8819" w14:textId="77777777" w:rsidR="00A54E85" w:rsidRDefault="00A54E85" w:rsidP="00A54E85">
      <w:pPr>
        <w:spacing w:line="276" w:lineRule="auto"/>
        <w:ind w:right="66"/>
      </w:pPr>
      <w:r>
        <w:t>- Tumeur thymique bien limitée apparaissant résécable d’emblée au scanner.</w:t>
      </w:r>
    </w:p>
    <w:p w14:paraId="2E511168" w14:textId="77777777" w:rsidR="00A54E85" w:rsidRDefault="00A54E85" w:rsidP="00A54E85">
      <w:pPr>
        <w:spacing w:line="276" w:lineRule="auto"/>
        <w:ind w:right="66"/>
      </w:pPr>
      <w:r>
        <w:t>- Tumeurs neurogènes de l’adulte.</w:t>
      </w:r>
    </w:p>
    <w:p w14:paraId="77159307" w14:textId="77777777" w:rsidR="00A54E85" w:rsidRDefault="00A54E85" w:rsidP="00A54E85">
      <w:pPr>
        <w:tabs>
          <w:tab w:val="left" w:pos="9000"/>
        </w:tabs>
        <w:spacing w:line="276" w:lineRule="auto"/>
        <w:ind w:right="66"/>
      </w:pPr>
      <w:r>
        <w:t xml:space="preserve">La preuve histologique n’est pas nécessaire pour la prise de décision thérapeutique.  </w:t>
      </w:r>
    </w:p>
    <w:p w14:paraId="11B661FE" w14:textId="77777777" w:rsidR="00A54E85" w:rsidRDefault="00A54E85" w:rsidP="00A54E85">
      <w:pPr>
        <w:spacing w:line="276" w:lineRule="auto"/>
        <w:ind w:right="66"/>
      </w:pPr>
    </w:p>
    <w:p w14:paraId="1CD9F6DC" w14:textId="77777777" w:rsidR="00A54E85" w:rsidRDefault="00A54E85" w:rsidP="00A54E85">
      <w:pPr>
        <w:spacing w:line="276" w:lineRule="auto"/>
        <w:ind w:right="66"/>
        <w:rPr>
          <w:b/>
          <w:bCs/>
        </w:rPr>
      </w:pPr>
      <w:r>
        <w:rPr>
          <w:b/>
          <w:bCs/>
        </w:rPr>
        <w:t>Les cas moins simples :</w:t>
      </w:r>
    </w:p>
    <w:p w14:paraId="70E0287D" w14:textId="77777777" w:rsidR="00A54E85" w:rsidRDefault="00A54E85" w:rsidP="00A54E85">
      <w:pPr>
        <w:tabs>
          <w:tab w:val="left" w:pos="9000"/>
        </w:tabs>
        <w:spacing w:line="276" w:lineRule="auto"/>
        <w:ind w:right="66"/>
      </w:pPr>
      <w:r>
        <w:t>L’aspect TDM oriente vers une tumeur potentiellement maligne :</w:t>
      </w:r>
    </w:p>
    <w:p w14:paraId="627E4A0E" w14:textId="77777777" w:rsidR="00A54E85" w:rsidRDefault="00A54E85" w:rsidP="00A54E85">
      <w:pPr>
        <w:spacing w:line="276" w:lineRule="auto"/>
        <w:ind w:right="66"/>
      </w:pPr>
      <w:r>
        <w:t>- Lésions thymiques mal limitées.</w:t>
      </w:r>
    </w:p>
    <w:p w14:paraId="21EBE4A9" w14:textId="77777777" w:rsidR="00A54E85" w:rsidRDefault="00A54E85" w:rsidP="00A54E85">
      <w:pPr>
        <w:spacing w:line="276" w:lineRule="auto"/>
        <w:ind w:right="66"/>
      </w:pPr>
      <w:r>
        <w:t>- Tératomes.</w:t>
      </w:r>
    </w:p>
    <w:p w14:paraId="71AFFE9C" w14:textId="77777777" w:rsidR="00A54E85" w:rsidRDefault="00A54E85" w:rsidP="00A54E85">
      <w:pPr>
        <w:spacing w:line="276" w:lineRule="auto"/>
        <w:ind w:right="66"/>
      </w:pPr>
      <w:r>
        <w:t>- Tumeurs germinales.</w:t>
      </w:r>
    </w:p>
    <w:p w14:paraId="07C79100" w14:textId="77777777" w:rsidR="00A54E85" w:rsidRDefault="00A54E85" w:rsidP="00A54E85">
      <w:pPr>
        <w:spacing w:line="276" w:lineRule="auto"/>
        <w:ind w:right="66"/>
      </w:pPr>
      <w:r>
        <w:t>- Adénopathies.</w:t>
      </w:r>
    </w:p>
    <w:p w14:paraId="0E1256E3" w14:textId="77777777" w:rsidR="00A54E85" w:rsidRDefault="00A54E85" w:rsidP="00A54E85">
      <w:pPr>
        <w:spacing w:line="276" w:lineRule="auto"/>
        <w:ind w:right="66"/>
      </w:pPr>
      <w:r>
        <w:t>- Tumeurs neurogènes de l’enfant.</w:t>
      </w:r>
    </w:p>
    <w:p w14:paraId="709C0A8B" w14:textId="77777777" w:rsidR="00A54E85" w:rsidRDefault="00A54E85" w:rsidP="00A54E85">
      <w:pPr>
        <w:spacing w:line="276" w:lineRule="auto"/>
        <w:ind w:right="66"/>
      </w:pPr>
      <w:r>
        <w:t>- Tumeurs mal limitées en général.</w:t>
      </w:r>
    </w:p>
    <w:p w14:paraId="2D4D6CA9" w14:textId="77777777" w:rsidR="00A54E85" w:rsidRDefault="00A54E85" w:rsidP="00A54E85">
      <w:pPr>
        <w:tabs>
          <w:tab w:val="left" w:pos="9000"/>
        </w:tabs>
        <w:spacing w:line="276" w:lineRule="auto"/>
        <w:ind w:right="66"/>
      </w:pPr>
      <w:r>
        <w:t>La preuve histologique est nécessaire :</w:t>
      </w:r>
    </w:p>
    <w:p w14:paraId="0E4E541B" w14:textId="77777777" w:rsidR="00A54E85" w:rsidRDefault="00A54E85" w:rsidP="00A54E85">
      <w:pPr>
        <w:spacing w:line="276" w:lineRule="auto"/>
        <w:ind w:right="66"/>
      </w:pPr>
      <w:r>
        <w:t xml:space="preserve">- Abord à visée diagnostique selon la localisation. </w:t>
      </w:r>
    </w:p>
    <w:p w14:paraId="6DFD58F0" w14:textId="77777777" w:rsidR="00A54E85" w:rsidRDefault="00A54E85" w:rsidP="00A54E85">
      <w:pPr>
        <w:spacing w:line="276" w:lineRule="auto"/>
        <w:ind w:right="66"/>
      </w:pPr>
    </w:p>
    <w:p w14:paraId="2B49D3D1" w14:textId="77777777" w:rsidR="00A54E85" w:rsidRDefault="00A54E85" w:rsidP="00A54E85">
      <w:pPr>
        <w:spacing w:line="276" w:lineRule="auto"/>
        <w:ind w:right="66"/>
        <w:rPr>
          <w:b/>
          <w:bCs/>
        </w:rPr>
      </w:pPr>
      <w:r>
        <w:rPr>
          <w:b/>
          <w:bCs/>
        </w:rPr>
        <w:t>Les cas difficiles :</w:t>
      </w:r>
    </w:p>
    <w:p w14:paraId="4A4FD0AB" w14:textId="77777777" w:rsidR="00A54E85" w:rsidRDefault="00A54E85" w:rsidP="00A54E85">
      <w:pPr>
        <w:tabs>
          <w:tab w:val="left" w:pos="9000"/>
        </w:tabs>
        <w:spacing w:line="276" w:lineRule="auto"/>
        <w:ind w:right="66"/>
      </w:pPr>
      <w:r>
        <w:t>Urgence vitale (compression médiastinale aiguë par une masse volumineuse) chez un homme jeune suspect de tumeurs germinales non séminomateuses (TGNS) :</w:t>
      </w:r>
    </w:p>
    <w:p w14:paraId="7304FE7E" w14:textId="77777777" w:rsidR="00A54E85" w:rsidRDefault="00A54E85" w:rsidP="00A54E85">
      <w:pPr>
        <w:spacing w:line="276" w:lineRule="auto"/>
        <w:ind w:right="66"/>
      </w:pPr>
      <w:r>
        <w:t>- Le diagnostic de TGNS peut être porté sur la seule élévation franche de l’α-fœto-protéine ou de l’HCG.</w:t>
      </w:r>
    </w:p>
    <w:p w14:paraId="21A427D4" w14:textId="77777777" w:rsidR="00A54E85" w:rsidRDefault="00A54E85" w:rsidP="00A54E85">
      <w:pPr>
        <w:spacing w:line="276" w:lineRule="auto"/>
        <w:ind w:right="66"/>
      </w:pPr>
      <w:r>
        <w:t xml:space="preserve">- Si négatif, abord histologique. </w:t>
      </w:r>
    </w:p>
    <w:p w14:paraId="3198B3D4" w14:textId="77777777" w:rsidR="00A54E85" w:rsidRDefault="00A54E85" w:rsidP="00A54E85">
      <w:pPr>
        <w:spacing w:line="276" w:lineRule="auto"/>
        <w:jc w:val="left"/>
      </w:pPr>
    </w:p>
    <w:p w14:paraId="4A378E40" w14:textId="77777777" w:rsidR="00A54E85" w:rsidRDefault="00A54E85" w:rsidP="00A54E85">
      <w:pPr>
        <w:spacing w:line="276" w:lineRule="auto"/>
        <w:jc w:val="left"/>
        <w:rPr>
          <w:b/>
          <w:bCs/>
          <w:smallCaps/>
          <w:color w:val="2E74B5"/>
          <w:sz w:val="24"/>
          <w:szCs w:val="24"/>
        </w:rPr>
      </w:pPr>
      <w:r>
        <w:br w:type="page"/>
      </w:r>
    </w:p>
    <w:p w14:paraId="50591CF8" w14:textId="77777777" w:rsidR="00A54E85" w:rsidRDefault="00A54E85" w:rsidP="00A54E85">
      <w:pPr>
        <w:pBdr>
          <w:top w:val="nil"/>
          <w:left w:val="nil"/>
          <w:bottom w:val="nil"/>
          <w:right w:val="nil"/>
          <w:between w:val="nil"/>
        </w:pBdr>
        <w:spacing w:line="240" w:lineRule="auto"/>
        <w:rPr>
          <w:b/>
          <w:bCs/>
          <w:smallCaps/>
          <w:color w:val="2E74B5"/>
          <w:sz w:val="24"/>
          <w:szCs w:val="24"/>
        </w:rPr>
      </w:pPr>
      <w:r>
        <w:rPr>
          <w:b/>
          <w:bCs/>
          <w:smallCaps/>
          <w:color w:val="2E74B5"/>
          <w:sz w:val="24"/>
          <w:szCs w:val="24"/>
        </w:rPr>
        <w:lastRenderedPageBreak/>
        <w:t>QUESTIONS TOMBABLES</w:t>
      </w:r>
    </w:p>
    <w:p w14:paraId="05B92945" w14:textId="77777777" w:rsidR="00A54E85" w:rsidRDefault="00A54E85" w:rsidP="00A54E85">
      <w:pPr>
        <w:pBdr>
          <w:top w:val="nil"/>
          <w:left w:val="nil"/>
          <w:bottom w:val="nil"/>
          <w:right w:val="nil"/>
          <w:between w:val="nil"/>
        </w:pBdr>
        <w:spacing w:line="240" w:lineRule="auto"/>
        <w:rPr>
          <w:b/>
          <w:bCs/>
          <w:smallCaps/>
          <w:color w:val="2E74B5"/>
        </w:rPr>
      </w:pPr>
    </w:p>
    <w:p w14:paraId="2B70E102" w14:textId="77777777" w:rsidR="00A54E85" w:rsidRDefault="00A54E85" w:rsidP="00A54E85">
      <w:pPr>
        <w:rPr>
          <w:b/>
          <w:bCs/>
          <w:color w:val="0070C0"/>
        </w:rPr>
      </w:pPr>
      <w:r>
        <w:rPr>
          <w:b/>
          <w:bCs/>
          <w:color w:val="0070C0"/>
        </w:rPr>
        <w:t>KFP</w:t>
      </w:r>
    </w:p>
    <w:p w14:paraId="2474D242" w14:textId="77777777" w:rsidR="00A54E85" w:rsidRDefault="00A54E85" w:rsidP="00A54E85">
      <w:pPr>
        <w:rPr>
          <w:b/>
          <w:bCs/>
          <w:color w:val="0070C0"/>
        </w:rPr>
      </w:pPr>
    </w:p>
    <w:p w14:paraId="30B30139" w14:textId="77777777" w:rsidR="00A54E85" w:rsidRDefault="00A54E85" w:rsidP="00A54E85">
      <w:pPr>
        <w:numPr>
          <w:ilvl w:val="0"/>
          <w:numId w:val="27"/>
        </w:numPr>
        <w:pBdr>
          <w:top w:val="nil"/>
          <w:left w:val="nil"/>
          <w:bottom w:val="nil"/>
          <w:right w:val="nil"/>
          <w:between w:val="nil"/>
        </w:pBdr>
        <w:spacing w:line="240" w:lineRule="auto"/>
        <w:jc w:val="left"/>
        <w:rPr>
          <w:b/>
          <w:bCs/>
        </w:rPr>
      </w:pPr>
      <w:r>
        <w:rPr>
          <w:b/>
          <w:bCs/>
        </w:rPr>
        <w:t>QRP (3 réponses)</w:t>
      </w:r>
    </w:p>
    <w:p w14:paraId="5E42B9FA" w14:textId="77777777" w:rsidR="00A54E85" w:rsidRDefault="00A54E85" w:rsidP="00A54E85">
      <w:bookmarkStart w:id="5" w:name="_heading=h.mgbfcz66tih5" w:colFirst="0" w:colLast="0"/>
      <w:bookmarkEnd w:id="5"/>
      <w:r>
        <w:t xml:space="preserve">Une dame de 57 ans consulte pour une toux non productive évoluant depuis un peu plus de 3 mois. Ses antécédents sont marqués par un cancer du sein traité par tumorectomie seule 10 ans auparavant. Elle fume environ un paquet de cigarettes par jour depuis l’âge de 25 ans. Elle n’exprime pas de dyspnée d’effort. L’examen clinique note une pression artérielle à 170/90 mmHg, un poids à 70 kg pour une taille de 1,65 m. Le reste de l’examen est sans particularité. Son cliché de thorax montre un nodule du champ pulmonaire droit, ce qui a conduit à la réalisation d’un scanner thoracoabdominal dont les deux coupes les plus représentatives sont montrées ici. Il n’y a pas d’anomalie sous-diaphragmatique. </w:t>
      </w:r>
    </w:p>
    <w:p w14:paraId="40E59698" w14:textId="77777777" w:rsidR="00A54E85" w:rsidRDefault="00A54E85" w:rsidP="00A54E85"/>
    <w:p w14:paraId="42CF18D7" w14:textId="77777777" w:rsidR="00A54E85" w:rsidRDefault="00A54E85" w:rsidP="00A54E85">
      <w:pPr>
        <w:jc w:val="center"/>
      </w:pPr>
      <w:r>
        <w:rPr>
          <w:noProof/>
        </w:rPr>
        <w:drawing>
          <wp:inline distT="0" distB="0" distL="0" distR="0" wp14:anchorId="32A47698" wp14:editId="6A667A09">
            <wp:extent cx="2879725" cy="2505710"/>
            <wp:effectExtent l="0" t="0" r="0" b="0"/>
            <wp:docPr id="21" name="image16.jpg"/>
            <wp:cNvGraphicFramePr/>
            <a:graphic xmlns:a="http://schemas.openxmlformats.org/drawingml/2006/main">
              <a:graphicData uri="http://schemas.openxmlformats.org/drawingml/2006/picture">
                <pic:pic xmlns:pic="http://schemas.openxmlformats.org/drawingml/2006/picture">
                  <pic:nvPicPr>
                    <pic:cNvPr id="0" name="image16.jpg"/>
                    <pic:cNvPicPr preferRelativeResize="0"/>
                  </pic:nvPicPr>
                  <pic:blipFill>
                    <a:blip r:embed="rId34"/>
                    <a:srcRect/>
                    <a:stretch>
                      <a:fillRect/>
                    </a:stretch>
                  </pic:blipFill>
                  <pic:spPr>
                    <a:xfrm>
                      <a:off x="0" y="0"/>
                      <a:ext cx="2879725" cy="2505710"/>
                    </a:xfrm>
                    <a:prstGeom prst="rect">
                      <a:avLst/>
                    </a:prstGeom>
                    <a:ln/>
                  </pic:spPr>
                </pic:pic>
              </a:graphicData>
            </a:graphic>
          </wp:inline>
        </w:drawing>
      </w:r>
    </w:p>
    <w:p w14:paraId="1DF8BEDC" w14:textId="77777777" w:rsidR="00A54E85" w:rsidRDefault="00A54E85" w:rsidP="00A54E85">
      <w:pPr>
        <w:jc w:val="center"/>
      </w:pPr>
      <w:r>
        <w:rPr>
          <w:noProof/>
        </w:rPr>
        <w:drawing>
          <wp:inline distT="0" distB="0" distL="0" distR="0" wp14:anchorId="78649CC8" wp14:editId="46DFABFA">
            <wp:extent cx="4933950" cy="1793240"/>
            <wp:effectExtent l="0" t="0" r="0" b="0"/>
            <wp:docPr id="7" name="image14.png" descr="Une image contenant text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4.png" descr="Une image contenant texte&#10;&#10;Description générée automatiquement"/>
                    <pic:cNvPicPr preferRelativeResize="0"/>
                  </pic:nvPicPr>
                  <pic:blipFill>
                    <a:blip r:embed="rId35"/>
                    <a:srcRect/>
                    <a:stretch>
                      <a:fillRect/>
                    </a:stretch>
                  </pic:blipFill>
                  <pic:spPr>
                    <a:xfrm>
                      <a:off x="0" y="0"/>
                      <a:ext cx="4933950" cy="1793240"/>
                    </a:xfrm>
                    <a:prstGeom prst="rect">
                      <a:avLst/>
                    </a:prstGeom>
                    <a:ln/>
                  </pic:spPr>
                </pic:pic>
              </a:graphicData>
            </a:graphic>
          </wp:inline>
        </w:drawing>
      </w:r>
    </w:p>
    <w:p w14:paraId="6ABEADB9" w14:textId="77777777" w:rsidR="00A54E85" w:rsidRDefault="00A54E85" w:rsidP="00A54E85">
      <w:r>
        <w:t>À ce stade quels examens sont prioritaires pour avancer dans la prise en charge de l’anomalie observée</w:t>
      </w:r>
      <w:r>
        <w:rPr>
          <w:rFonts w:ascii="Arial" w:eastAsia="Arial" w:hAnsi="Arial" w:cs="Arial"/>
        </w:rPr>
        <w:t> </w:t>
      </w:r>
      <w:r>
        <w:t>?</w:t>
      </w:r>
    </w:p>
    <w:p w14:paraId="301B8E11" w14:textId="77777777" w:rsidR="00A54E85" w:rsidRDefault="00A54E85" w:rsidP="00A54E85">
      <w:pPr>
        <w:numPr>
          <w:ilvl w:val="0"/>
          <w:numId w:val="36"/>
        </w:numPr>
        <w:pBdr>
          <w:top w:val="nil"/>
          <w:left w:val="nil"/>
          <w:bottom w:val="nil"/>
          <w:right w:val="nil"/>
          <w:between w:val="nil"/>
        </w:pBdr>
        <w:spacing w:line="240" w:lineRule="auto"/>
      </w:pPr>
      <w:r>
        <w:t>Dosage des bêta HCG</w:t>
      </w:r>
    </w:p>
    <w:p w14:paraId="2C25DF52" w14:textId="77777777" w:rsidR="00A54E85" w:rsidRDefault="00A54E85" w:rsidP="00A54E85">
      <w:pPr>
        <w:numPr>
          <w:ilvl w:val="0"/>
          <w:numId w:val="36"/>
        </w:numPr>
        <w:pBdr>
          <w:top w:val="nil"/>
          <w:left w:val="nil"/>
          <w:bottom w:val="nil"/>
          <w:right w:val="nil"/>
          <w:between w:val="nil"/>
        </w:pBdr>
        <w:spacing w:line="240" w:lineRule="auto"/>
      </w:pPr>
      <w:r>
        <w:t>Exploration fonctionnelle respiratoire</w:t>
      </w:r>
    </w:p>
    <w:p w14:paraId="43F508A8" w14:textId="77777777" w:rsidR="00A54E85" w:rsidRDefault="00A54E85" w:rsidP="00A54E85">
      <w:pPr>
        <w:numPr>
          <w:ilvl w:val="0"/>
          <w:numId w:val="36"/>
        </w:numPr>
        <w:pBdr>
          <w:top w:val="nil"/>
          <w:left w:val="nil"/>
          <w:bottom w:val="nil"/>
          <w:right w:val="nil"/>
          <w:between w:val="nil"/>
        </w:pBdr>
        <w:spacing w:line="240" w:lineRule="auto"/>
      </w:pPr>
      <w:r>
        <w:t>Ponction transthoracique</w:t>
      </w:r>
    </w:p>
    <w:p w14:paraId="2A59F3E4" w14:textId="77777777" w:rsidR="00A54E85" w:rsidRDefault="00A54E85" w:rsidP="00A54E85">
      <w:pPr>
        <w:numPr>
          <w:ilvl w:val="0"/>
          <w:numId w:val="36"/>
        </w:numPr>
        <w:pBdr>
          <w:top w:val="nil"/>
          <w:left w:val="nil"/>
          <w:bottom w:val="nil"/>
          <w:right w:val="nil"/>
          <w:between w:val="nil"/>
        </w:pBdr>
        <w:spacing w:line="240" w:lineRule="auto"/>
      </w:pPr>
      <w:r>
        <w:t>Abord chirurgical par vidéothoracoscopie</w:t>
      </w:r>
    </w:p>
    <w:p w14:paraId="57EE4A05" w14:textId="77777777" w:rsidR="00A54E85" w:rsidRDefault="00A54E85" w:rsidP="00A54E85">
      <w:pPr>
        <w:numPr>
          <w:ilvl w:val="0"/>
          <w:numId w:val="36"/>
        </w:numPr>
        <w:pBdr>
          <w:top w:val="nil"/>
          <w:left w:val="nil"/>
          <w:bottom w:val="nil"/>
          <w:right w:val="nil"/>
          <w:between w:val="nil"/>
        </w:pBdr>
        <w:spacing w:line="240" w:lineRule="auto"/>
      </w:pPr>
      <w:r>
        <w:t>Bronchoscopie souple</w:t>
      </w:r>
    </w:p>
    <w:p w14:paraId="6B9A73A3" w14:textId="77777777" w:rsidR="00A54E85" w:rsidRDefault="00A54E85" w:rsidP="00A54E85">
      <w:pPr>
        <w:numPr>
          <w:ilvl w:val="0"/>
          <w:numId w:val="36"/>
        </w:numPr>
        <w:pBdr>
          <w:top w:val="nil"/>
          <w:left w:val="nil"/>
          <w:bottom w:val="nil"/>
          <w:right w:val="nil"/>
          <w:between w:val="nil"/>
        </w:pBdr>
        <w:spacing w:line="240" w:lineRule="auto"/>
      </w:pPr>
      <w:r>
        <w:t>Scanner ou IRM cérébral(e)</w:t>
      </w:r>
    </w:p>
    <w:p w14:paraId="1F531B8B" w14:textId="77777777" w:rsidR="00A54E85" w:rsidRDefault="00A54E85" w:rsidP="00A54E85">
      <w:pPr>
        <w:numPr>
          <w:ilvl w:val="0"/>
          <w:numId w:val="36"/>
        </w:numPr>
        <w:pBdr>
          <w:top w:val="nil"/>
          <w:left w:val="nil"/>
          <w:bottom w:val="nil"/>
          <w:right w:val="nil"/>
          <w:between w:val="nil"/>
        </w:pBdr>
        <w:spacing w:line="240" w:lineRule="auto"/>
      </w:pPr>
      <w:r>
        <w:lastRenderedPageBreak/>
        <w:t>Tomographie par émission de positons</w:t>
      </w:r>
    </w:p>
    <w:p w14:paraId="5254698E" w14:textId="77777777" w:rsidR="00A54E85" w:rsidRDefault="00A54E85" w:rsidP="00A54E85">
      <w:pPr>
        <w:numPr>
          <w:ilvl w:val="0"/>
          <w:numId w:val="36"/>
        </w:numPr>
        <w:pBdr>
          <w:top w:val="nil"/>
          <w:left w:val="nil"/>
          <w:bottom w:val="nil"/>
          <w:right w:val="nil"/>
          <w:between w:val="nil"/>
        </w:pBdr>
        <w:spacing w:line="240" w:lineRule="auto"/>
      </w:pPr>
      <w:r>
        <w:t>Médiastinoscopie</w:t>
      </w:r>
    </w:p>
    <w:p w14:paraId="0B62400F" w14:textId="77777777" w:rsidR="00A54E85" w:rsidRDefault="00A54E85" w:rsidP="00A54E85">
      <w:pPr>
        <w:numPr>
          <w:ilvl w:val="0"/>
          <w:numId w:val="36"/>
        </w:numPr>
        <w:pBdr>
          <w:top w:val="nil"/>
          <w:left w:val="nil"/>
          <w:bottom w:val="nil"/>
          <w:right w:val="nil"/>
          <w:between w:val="nil"/>
        </w:pBdr>
        <w:spacing w:line="240" w:lineRule="auto"/>
      </w:pPr>
      <w:r>
        <w:t>Abord chirurgical par thoracotomie</w:t>
      </w:r>
    </w:p>
    <w:p w14:paraId="53404043" w14:textId="77777777" w:rsidR="00A54E85" w:rsidRDefault="00A54E85" w:rsidP="00A54E85">
      <w:pPr>
        <w:numPr>
          <w:ilvl w:val="0"/>
          <w:numId w:val="36"/>
        </w:numPr>
        <w:pBdr>
          <w:top w:val="nil"/>
          <w:left w:val="nil"/>
          <w:bottom w:val="nil"/>
          <w:right w:val="nil"/>
          <w:between w:val="nil"/>
        </w:pBdr>
        <w:spacing w:line="240" w:lineRule="auto"/>
      </w:pPr>
      <w:r>
        <w:t>Scintigraphie osseuse</w:t>
      </w:r>
    </w:p>
    <w:p w14:paraId="62EE28BF" w14:textId="77777777" w:rsidR="00A54E85" w:rsidRDefault="00A54E85" w:rsidP="00A54E85">
      <w:pPr>
        <w:numPr>
          <w:ilvl w:val="0"/>
          <w:numId w:val="36"/>
        </w:numPr>
        <w:pBdr>
          <w:top w:val="nil"/>
          <w:left w:val="nil"/>
          <w:bottom w:val="nil"/>
          <w:right w:val="nil"/>
          <w:between w:val="nil"/>
        </w:pBdr>
        <w:spacing w:line="240" w:lineRule="auto"/>
      </w:pPr>
      <w:r>
        <w:t>Dosage de l’antigène carcino-embryonnaire</w:t>
      </w:r>
    </w:p>
    <w:p w14:paraId="659E227E" w14:textId="77777777" w:rsidR="00A54E85" w:rsidRDefault="00A54E85" w:rsidP="00A54E85">
      <w:pPr>
        <w:numPr>
          <w:ilvl w:val="0"/>
          <w:numId w:val="36"/>
        </w:numPr>
        <w:pBdr>
          <w:top w:val="nil"/>
          <w:left w:val="nil"/>
          <w:bottom w:val="nil"/>
          <w:right w:val="nil"/>
          <w:between w:val="nil"/>
        </w:pBdr>
        <w:spacing w:line="240" w:lineRule="auto"/>
      </w:pPr>
      <w:r>
        <w:t>Dosage de la neurone specific enolase</w:t>
      </w:r>
    </w:p>
    <w:p w14:paraId="7E9E2651" w14:textId="7D7A94DA" w:rsidR="00A54E85" w:rsidRDefault="00A54E85" w:rsidP="00A54E85">
      <w:pPr>
        <w:jc w:val="left"/>
      </w:pPr>
    </w:p>
    <w:p w14:paraId="1430FCDF" w14:textId="77777777" w:rsidR="00A54E85" w:rsidRDefault="00A54E85" w:rsidP="00A54E85">
      <w:pPr>
        <w:numPr>
          <w:ilvl w:val="0"/>
          <w:numId w:val="27"/>
        </w:numPr>
        <w:pBdr>
          <w:top w:val="nil"/>
          <w:left w:val="nil"/>
          <w:bottom w:val="nil"/>
          <w:right w:val="nil"/>
          <w:between w:val="nil"/>
        </w:pBdr>
        <w:spacing w:line="240" w:lineRule="auto"/>
        <w:jc w:val="left"/>
        <w:rPr>
          <w:b/>
          <w:bCs/>
        </w:rPr>
      </w:pPr>
      <w:r>
        <w:rPr>
          <w:b/>
          <w:bCs/>
        </w:rPr>
        <w:t>QROC</w:t>
      </w:r>
    </w:p>
    <w:p w14:paraId="3661ABD6" w14:textId="77777777" w:rsidR="00A54E85" w:rsidRDefault="00A54E85" w:rsidP="00A54E85">
      <w:r>
        <w:t>Une tomographie par émission de positons a été réalisée dont les deux coupes les plus représentatives sont montrées ici.</w:t>
      </w:r>
    </w:p>
    <w:p w14:paraId="5C0A0CC1" w14:textId="77777777" w:rsidR="00A54E85" w:rsidRDefault="00A54E85" w:rsidP="00A54E85">
      <w:pPr>
        <w:jc w:val="center"/>
      </w:pPr>
      <w:r>
        <w:rPr>
          <w:noProof/>
        </w:rPr>
        <w:drawing>
          <wp:inline distT="0" distB="0" distL="0" distR="0" wp14:anchorId="0DD57176" wp14:editId="506E74F6">
            <wp:extent cx="5783580" cy="2042795"/>
            <wp:effectExtent l="0" t="0" r="0" b="0"/>
            <wp:docPr id="8"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36"/>
                    <a:srcRect/>
                    <a:stretch>
                      <a:fillRect/>
                    </a:stretch>
                  </pic:blipFill>
                  <pic:spPr>
                    <a:xfrm>
                      <a:off x="0" y="0"/>
                      <a:ext cx="5783580" cy="2042795"/>
                    </a:xfrm>
                    <a:prstGeom prst="rect">
                      <a:avLst/>
                    </a:prstGeom>
                    <a:ln/>
                  </pic:spPr>
                </pic:pic>
              </a:graphicData>
            </a:graphic>
          </wp:inline>
        </w:drawing>
      </w:r>
    </w:p>
    <w:p w14:paraId="0898240E" w14:textId="77777777" w:rsidR="00A54E85" w:rsidRDefault="00A54E85" w:rsidP="00A54E85">
      <w:r>
        <w:t>Compte tenu de ces nouvelles données, quel examen vous semble le plus approprié pour obtenir le diagnostic de la tumeur dont souffre ce patient</w:t>
      </w:r>
      <w:r>
        <w:rPr>
          <w:rFonts w:ascii="Arial" w:eastAsia="Arial" w:hAnsi="Arial" w:cs="Arial"/>
        </w:rPr>
        <w:t> </w:t>
      </w:r>
      <w:r>
        <w:t>?</w:t>
      </w:r>
    </w:p>
    <w:p w14:paraId="4FABDBB1" w14:textId="77777777" w:rsidR="00A54E85" w:rsidRDefault="00A54E85" w:rsidP="00A54E85"/>
    <w:p w14:paraId="0F17EE65" w14:textId="77777777" w:rsidR="00A54E85" w:rsidRDefault="00A54E85" w:rsidP="00A54E85">
      <w:pPr>
        <w:numPr>
          <w:ilvl w:val="0"/>
          <w:numId w:val="27"/>
        </w:numPr>
        <w:pBdr>
          <w:top w:val="nil"/>
          <w:left w:val="nil"/>
          <w:bottom w:val="nil"/>
          <w:right w:val="nil"/>
          <w:between w:val="nil"/>
        </w:pBdr>
        <w:spacing w:line="240" w:lineRule="auto"/>
        <w:jc w:val="left"/>
        <w:rPr>
          <w:b/>
          <w:bCs/>
        </w:rPr>
      </w:pPr>
      <w:r>
        <w:rPr>
          <w:b/>
          <w:bCs/>
        </w:rPr>
        <w:t>QRU</w:t>
      </w:r>
    </w:p>
    <w:p w14:paraId="24214B0C" w14:textId="77777777" w:rsidR="00A54E85" w:rsidRDefault="00A54E85" w:rsidP="00A54E85">
      <w:r>
        <w:t>Une ponction à l’aiguille du ganglion hilaire droit sous vidéo-écho-endoscopie bronchique a permis d’obtenir le diagnostic d’adénocarcinome pulmonaire primitif. Sachant que la tomographie par émission de positons n’a pas montré d’autres anomalies que celles montrées ci-dessus et que l’IRM cérébrale est normale, quel est le stade TNM de la tumeur de cette patiente</w:t>
      </w:r>
      <w:r>
        <w:rPr>
          <w:rFonts w:ascii="Arial" w:eastAsia="Arial" w:hAnsi="Arial" w:cs="Arial"/>
        </w:rPr>
        <w:t> </w:t>
      </w:r>
      <w:r>
        <w:t>?</w:t>
      </w:r>
    </w:p>
    <w:p w14:paraId="2C48C13C" w14:textId="77777777" w:rsidR="00A54E85" w:rsidRDefault="00A54E85" w:rsidP="00A54E85">
      <w:pPr>
        <w:numPr>
          <w:ilvl w:val="0"/>
          <w:numId w:val="23"/>
        </w:numPr>
        <w:pBdr>
          <w:top w:val="nil"/>
          <w:left w:val="nil"/>
          <w:bottom w:val="nil"/>
          <w:right w:val="nil"/>
          <w:between w:val="nil"/>
        </w:pBdr>
        <w:spacing w:line="240" w:lineRule="auto"/>
      </w:pPr>
      <w:r>
        <w:t>pT1N1M0</w:t>
      </w:r>
    </w:p>
    <w:p w14:paraId="7E29E546" w14:textId="77777777" w:rsidR="00A54E85" w:rsidRDefault="00A54E85" w:rsidP="00A54E85">
      <w:pPr>
        <w:numPr>
          <w:ilvl w:val="0"/>
          <w:numId w:val="23"/>
        </w:numPr>
        <w:pBdr>
          <w:top w:val="nil"/>
          <w:left w:val="nil"/>
          <w:bottom w:val="nil"/>
          <w:right w:val="nil"/>
          <w:between w:val="nil"/>
        </w:pBdr>
        <w:spacing w:line="240" w:lineRule="auto"/>
      </w:pPr>
      <w:r>
        <w:t>cT1N1M0</w:t>
      </w:r>
    </w:p>
    <w:p w14:paraId="284D9D66" w14:textId="77777777" w:rsidR="00A54E85" w:rsidRDefault="00A54E85" w:rsidP="00A54E85">
      <w:pPr>
        <w:numPr>
          <w:ilvl w:val="0"/>
          <w:numId w:val="23"/>
        </w:numPr>
        <w:pBdr>
          <w:top w:val="nil"/>
          <w:left w:val="nil"/>
          <w:bottom w:val="nil"/>
          <w:right w:val="nil"/>
          <w:between w:val="nil"/>
        </w:pBdr>
        <w:spacing w:line="240" w:lineRule="auto"/>
      </w:pPr>
      <w:r>
        <w:t>cT3N2M0</w:t>
      </w:r>
    </w:p>
    <w:p w14:paraId="449C2C58" w14:textId="77777777" w:rsidR="00A54E85" w:rsidRDefault="00A54E85" w:rsidP="00A54E85">
      <w:pPr>
        <w:numPr>
          <w:ilvl w:val="0"/>
          <w:numId w:val="23"/>
        </w:numPr>
        <w:pBdr>
          <w:top w:val="nil"/>
          <w:left w:val="nil"/>
          <w:bottom w:val="nil"/>
          <w:right w:val="nil"/>
          <w:between w:val="nil"/>
        </w:pBdr>
        <w:spacing w:line="240" w:lineRule="auto"/>
      </w:pPr>
      <w:r>
        <w:t>cT3N3M1</w:t>
      </w:r>
    </w:p>
    <w:p w14:paraId="365E0117" w14:textId="77777777" w:rsidR="00A54E85" w:rsidRDefault="00A54E85" w:rsidP="00A54E85">
      <w:pPr>
        <w:numPr>
          <w:ilvl w:val="0"/>
          <w:numId w:val="23"/>
        </w:numPr>
        <w:pBdr>
          <w:top w:val="nil"/>
          <w:left w:val="nil"/>
          <w:bottom w:val="nil"/>
          <w:right w:val="nil"/>
          <w:between w:val="nil"/>
        </w:pBdr>
        <w:spacing w:line="240" w:lineRule="auto"/>
      </w:pPr>
      <w:r>
        <w:t>pT2N0M1</w:t>
      </w:r>
    </w:p>
    <w:p w14:paraId="4F5C9005" w14:textId="77777777" w:rsidR="00A54E85" w:rsidRDefault="00A54E85" w:rsidP="00A54E85"/>
    <w:p w14:paraId="2D0DE04A" w14:textId="237418B4" w:rsidR="00A54E85" w:rsidRDefault="00A54E85" w:rsidP="00A54E85">
      <w:pPr>
        <w:numPr>
          <w:ilvl w:val="0"/>
          <w:numId w:val="27"/>
        </w:numPr>
        <w:pBdr>
          <w:top w:val="nil"/>
          <w:left w:val="nil"/>
          <w:bottom w:val="nil"/>
          <w:right w:val="nil"/>
          <w:between w:val="nil"/>
        </w:pBdr>
        <w:spacing w:line="240" w:lineRule="auto"/>
        <w:jc w:val="left"/>
        <w:rPr>
          <w:b/>
          <w:bCs/>
        </w:rPr>
      </w:pPr>
      <w:r>
        <w:rPr>
          <w:b/>
          <w:bCs/>
        </w:rPr>
        <w:t>QRU</w:t>
      </w:r>
    </w:p>
    <w:p w14:paraId="086253DF" w14:textId="37E488E8" w:rsidR="00A54E85" w:rsidRDefault="0010133D" w:rsidP="00A54E85">
      <w:r w:rsidRPr="00D23361">
        <w:rPr>
          <w:rFonts w:ascii="Arial" w:eastAsia="Arial" w:hAnsi="Arial"/>
          <w:noProof/>
          <w:sz w:val="18"/>
          <w:szCs w:val="18"/>
          <w14:ligatures w14:val="standardContextual"/>
        </w:rPr>
        <w:lastRenderedPageBreak/>
        <w:drawing>
          <wp:anchor distT="0" distB="0" distL="114300" distR="114300" simplePos="0" relativeHeight="251857920" behindDoc="1" locked="0" layoutInCell="1" allowOverlap="1" wp14:anchorId="7BECDAF3" wp14:editId="70664666">
            <wp:simplePos x="0" y="0"/>
            <wp:positionH relativeFrom="column">
              <wp:posOffset>3766820</wp:posOffset>
            </wp:positionH>
            <wp:positionV relativeFrom="paragraph">
              <wp:posOffset>12065</wp:posOffset>
            </wp:positionV>
            <wp:extent cx="2409190" cy="1877060"/>
            <wp:effectExtent l="0" t="0" r="3810" b="2540"/>
            <wp:wrapTight wrapText="bothSides">
              <wp:wrapPolygon edited="0">
                <wp:start x="0" y="0"/>
                <wp:lineTo x="0" y="21483"/>
                <wp:lineTo x="21520" y="21483"/>
                <wp:lineTo x="21520" y="0"/>
                <wp:lineTo x="0" y="0"/>
              </wp:wrapPolygon>
            </wp:wrapTight>
            <wp:docPr id="174669520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9242" r="18673"/>
                    <a:stretch>
                      <a:fillRect/>
                    </a:stretch>
                  </pic:blipFill>
                  <pic:spPr bwMode="auto">
                    <a:xfrm>
                      <a:off x="0" y="0"/>
                      <a:ext cx="2409190" cy="1877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4E85">
        <w:t>Un homme de 57 ans s’est vu découvrir un thymome.</w:t>
      </w:r>
    </w:p>
    <w:p w14:paraId="3F385573" w14:textId="199CAAB5" w:rsidR="00A54E85" w:rsidRDefault="00A54E85" w:rsidP="00A54E85">
      <w:r>
        <w:t>Dans quelle loge se trouve habituellement ce type de tumeur</w:t>
      </w:r>
      <w:r>
        <w:rPr>
          <w:rFonts w:ascii="Arial" w:eastAsia="Arial" w:hAnsi="Arial" w:cs="Arial"/>
        </w:rPr>
        <w:t> </w:t>
      </w:r>
      <w:r>
        <w:t>?</w:t>
      </w:r>
    </w:p>
    <w:p w14:paraId="6F32E288" w14:textId="77777777" w:rsidR="00A54E85" w:rsidRDefault="00A54E85" w:rsidP="00A54E85">
      <w:pPr>
        <w:numPr>
          <w:ilvl w:val="0"/>
          <w:numId w:val="35"/>
        </w:numPr>
        <w:pBdr>
          <w:top w:val="nil"/>
          <w:left w:val="nil"/>
          <w:bottom w:val="nil"/>
          <w:right w:val="nil"/>
          <w:between w:val="nil"/>
        </w:pBdr>
        <w:spacing w:line="240" w:lineRule="auto"/>
      </w:pPr>
      <w:r>
        <w:t>Étage supérieur, compartiment antérieur</w:t>
      </w:r>
    </w:p>
    <w:p w14:paraId="0E297FBC" w14:textId="77777777" w:rsidR="00A54E85" w:rsidRDefault="00A54E85" w:rsidP="00A54E85">
      <w:pPr>
        <w:numPr>
          <w:ilvl w:val="0"/>
          <w:numId w:val="35"/>
        </w:numPr>
        <w:pBdr>
          <w:top w:val="nil"/>
          <w:left w:val="nil"/>
          <w:bottom w:val="nil"/>
          <w:right w:val="nil"/>
          <w:between w:val="nil"/>
        </w:pBdr>
        <w:spacing w:line="240" w:lineRule="auto"/>
      </w:pPr>
      <w:r>
        <w:t>Étage supérieur compartiment moyen</w:t>
      </w:r>
    </w:p>
    <w:p w14:paraId="6915FA61" w14:textId="77777777" w:rsidR="00A54E85" w:rsidRDefault="00A54E85" w:rsidP="00A54E85">
      <w:pPr>
        <w:numPr>
          <w:ilvl w:val="0"/>
          <w:numId w:val="35"/>
        </w:numPr>
        <w:pBdr>
          <w:top w:val="nil"/>
          <w:left w:val="nil"/>
          <w:bottom w:val="nil"/>
          <w:right w:val="nil"/>
          <w:between w:val="nil"/>
        </w:pBdr>
        <w:spacing w:line="240" w:lineRule="auto"/>
      </w:pPr>
      <w:r>
        <w:t>Étage supérieur compartiment postérieur</w:t>
      </w:r>
    </w:p>
    <w:p w14:paraId="0B334617" w14:textId="77777777" w:rsidR="00A54E85" w:rsidRDefault="00A54E85" w:rsidP="00A54E85">
      <w:pPr>
        <w:numPr>
          <w:ilvl w:val="0"/>
          <w:numId w:val="35"/>
        </w:numPr>
        <w:pBdr>
          <w:top w:val="nil"/>
          <w:left w:val="nil"/>
          <w:bottom w:val="nil"/>
          <w:right w:val="nil"/>
          <w:between w:val="nil"/>
        </w:pBdr>
        <w:spacing w:line="240" w:lineRule="auto"/>
      </w:pPr>
      <w:r>
        <w:t>Étage moyen, compartiment antérieur</w:t>
      </w:r>
    </w:p>
    <w:p w14:paraId="49149495" w14:textId="77777777" w:rsidR="00A54E85" w:rsidRDefault="00A54E85" w:rsidP="00A54E85">
      <w:pPr>
        <w:numPr>
          <w:ilvl w:val="0"/>
          <w:numId w:val="35"/>
        </w:numPr>
        <w:pBdr>
          <w:top w:val="nil"/>
          <w:left w:val="nil"/>
          <w:bottom w:val="nil"/>
          <w:right w:val="nil"/>
          <w:between w:val="nil"/>
        </w:pBdr>
        <w:spacing w:line="240" w:lineRule="auto"/>
      </w:pPr>
      <w:r>
        <w:t>Étage moyen, compartiment moyen</w:t>
      </w:r>
    </w:p>
    <w:p w14:paraId="3594E2C2" w14:textId="77777777" w:rsidR="00A54E85" w:rsidRDefault="00A54E85" w:rsidP="00A54E85">
      <w:pPr>
        <w:numPr>
          <w:ilvl w:val="0"/>
          <w:numId w:val="35"/>
        </w:numPr>
        <w:pBdr>
          <w:top w:val="nil"/>
          <w:left w:val="nil"/>
          <w:bottom w:val="nil"/>
          <w:right w:val="nil"/>
          <w:between w:val="nil"/>
        </w:pBdr>
        <w:spacing w:line="240" w:lineRule="auto"/>
      </w:pPr>
      <w:r>
        <w:t>Étage moyen, compartiment postérieur</w:t>
      </w:r>
    </w:p>
    <w:p w14:paraId="2BCC0305" w14:textId="77777777" w:rsidR="00A54E85" w:rsidRDefault="00A54E85" w:rsidP="00A54E85">
      <w:pPr>
        <w:numPr>
          <w:ilvl w:val="0"/>
          <w:numId w:val="35"/>
        </w:numPr>
        <w:pBdr>
          <w:top w:val="nil"/>
          <w:left w:val="nil"/>
          <w:bottom w:val="nil"/>
          <w:right w:val="nil"/>
          <w:between w:val="nil"/>
        </w:pBdr>
        <w:spacing w:line="240" w:lineRule="auto"/>
      </w:pPr>
      <w:r>
        <w:t>Étage inférieur, compartiment antérieur</w:t>
      </w:r>
    </w:p>
    <w:p w14:paraId="4C9CA8CA" w14:textId="77777777" w:rsidR="00A54E85" w:rsidRDefault="00A54E85" w:rsidP="00A54E85">
      <w:pPr>
        <w:numPr>
          <w:ilvl w:val="0"/>
          <w:numId w:val="35"/>
        </w:numPr>
        <w:pBdr>
          <w:top w:val="nil"/>
          <w:left w:val="nil"/>
          <w:bottom w:val="nil"/>
          <w:right w:val="nil"/>
          <w:between w:val="nil"/>
        </w:pBdr>
        <w:spacing w:line="240" w:lineRule="auto"/>
      </w:pPr>
      <w:r>
        <w:t>Étage inférieur, compartiment moyen</w:t>
      </w:r>
    </w:p>
    <w:p w14:paraId="31041C49" w14:textId="77777777" w:rsidR="00A54E85" w:rsidRDefault="00A54E85" w:rsidP="00A54E85">
      <w:pPr>
        <w:numPr>
          <w:ilvl w:val="0"/>
          <w:numId w:val="35"/>
        </w:numPr>
        <w:pBdr>
          <w:top w:val="nil"/>
          <w:left w:val="nil"/>
          <w:bottom w:val="nil"/>
          <w:right w:val="nil"/>
          <w:between w:val="nil"/>
        </w:pBdr>
        <w:spacing w:line="240" w:lineRule="auto"/>
      </w:pPr>
      <w:r>
        <w:t>Étage inférieur, compartiment postérieur</w:t>
      </w:r>
    </w:p>
    <w:p w14:paraId="05BDDA44" w14:textId="77777777" w:rsidR="00A54E85" w:rsidRDefault="00A54E85" w:rsidP="00A54E85">
      <w:pPr>
        <w:jc w:val="center"/>
      </w:pPr>
    </w:p>
    <w:p w14:paraId="5F6B0997" w14:textId="77777777" w:rsidR="00A54E85" w:rsidRDefault="00A54E85" w:rsidP="00A54E85">
      <w:pPr>
        <w:jc w:val="center"/>
      </w:pPr>
    </w:p>
    <w:p w14:paraId="285BCA1C" w14:textId="77777777" w:rsidR="00A54E85" w:rsidRDefault="00A54E85" w:rsidP="00A54E85">
      <w:pPr>
        <w:jc w:val="center"/>
      </w:pPr>
    </w:p>
    <w:p w14:paraId="64656F5C" w14:textId="4FAE35CC" w:rsidR="00A54E85" w:rsidRDefault="00A54E85" w:rsidP="00A54E85">
      <w:pPr>
        <w:jc w:val="left"/>
      </w:pPr>
    </w:p>
    <w:p w14:paraId="24E40AE4" w14:textId="77777777" w:rsidR="003D376E" w:rsidRDefault="003D376E" w:rsidP="00A54E85">
      <w:pPr>
        <w:jc w:val="left"/>
      </w:pPr>
    </w:p>
    <w:p w14:paraId="666AEB85" w14:textId="77777777" w:rsidR="003D376E" w:rsidRDefault="003D376E" w:rsidP="00A54E85">
      <w:pPr>
        <w:jc w:val="left"/>
      </w:pPr>
    </w:p>
    <w:p w14:paraId="226DF870" w14:textId="73EF6660" w:rsidR="00A54E85" w:rsidRDefault="003D376E" w:rsidP="00A54E85">
      <w:pPr>
        <w:numPr>
          <w:ilvl w:val="0"/>
          <w:numId w:val="27"/>
        </w:numPr>
        <w:pBdr>
          <w:top w:val="nil"/>
          <w:left w:val="nil"/>
          <w:bottom w:val="nil"/>
          <w:right w:val="nil"/>
          <w:between w:val="nil"/>
        </w:pBdr>
        <w:spacing w:line="240" w:lineRule="auto"/>
        <w:jc w:val="left"/>
        <w:rPr>
          <w:b/>
          <w:bCs/>
        </w:rPr>
      </w:pPr>
      <w:r>
        <w:rPr>
          <w:noProof/>
        </w:rPr>
        <w:drawing>
          <wp:anchor distT="0" distB="0" distL="114300" distR="114300" simplePos="0" relativeHeight="251852800" behindDoc="0" locked="0" layoutInCell="1" hidden="0" allowOverlap="1" wp14:anchorId="0C35A788" wp14:editId="42376DA1">
            <wp:simplePos x="0" y="0"/>
            <wp:positionH relativeFrom="margin">
              <wp:align>right</wp:align>
            </wp:positionH>
            <wp:positionV relativeFrom="paragraph">
              <wp:posOffset>8890</wp:posOffset>
            </wp:positionV>
            <wp:extent cx="2458085" cy="2060575"/>
            <wp:effectExtent l="0" t="0" r="0" b="0"/>
            <wp:wrapSquare wrapText="bothSides" distT="0" distB="0" distL="114300" distR="114300"/>
            <wp:docPr id="4" name="image12.jpg" descr="Une image contenant texte, noir, chocolat, fermer&#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12.jpg" descr="Une image contenant texte, noir, chocolat, fermer&#10;&#10;Description générée automatiquement"/>
                    <pic:cNvPicPr preferRelativeResize="0"/>
                  </pic:nvPicPr>
                  <pic:blipFill>
                    <a:blip r:embed="rId38"/>
                    <a:srcRect/>
                    <a:stretch>
                      <a:fillRect/>
                    </a:stretch>
                  </pic:blipFill>
                  <pic:spPr>
                    <a:xfrm>
                      <a:off x="0" y="0"/>
                      <a:ext cx="2458085" cy="2060575"/>
                    </a:xfrm>
                    <a:prstGeom prst="rect">
                      <a:avLst/>
                    </a:prstGeom>
                    <a:ln/>
                  </pic:spPr>
                </pic:pic>
              </a:graphicData>
            </a:graphic>
          </wp:anchor>
        </w:drawing>
      </w:r>
      <w:r w:rsidR="00A54E85">
        <w:rPr>
          <w:b/>
          <w:bCs/>
        </w:rPr>
        <w:t>QRM</w:t>
      </w:r>
    </w:p>
    <w:p w14:paraId="6FE09642" w14:textId="77777777" w:rsidR="00A54E85" w:rsidRDefault="00A54E85" w:rsidP="00A54E85">
      <w:r>
        <w:t>Un homme de 48 ans est adressé aux urgences pour une gêne respiratoire s’aggravant depuis plusieurs semaines. Voici l’une des images du scanner thoracique injecté réalisé en ville.</w:t>
      </w:r>
    </w:p>
    <w:p w14:paraId="15F15D50" w14:textId="77777777" w:rsidR="00A54E85" w:rsidRDefault="00A54E85" w:rsidP="00A54E85">
      <w:pPr>
        <w:jc w:val="center"/>
      </w:pPr>
    </w:p>
    <w:p w14:paraId="679578F0" w14:textId="77777777" w:rsidR="00A54E85" w:rsidRDefault="00A54E85" w:rsidP="00A54E85">
      <w:r>
        <w:t>Quelle(s) est (sont) l’(les) hypothèse(s) étiologique(s) à évoquer devant cette image</w:t>
      </w:r>
      <w:r>
        <w:rPr>
          <w:rFonts w:ascii="Arial" w:eastAsia="Arial" w:hAnsi="Arial" w:cs="Arial"/>
        </w:rPr>
        <w:t> </w:t>
      </w:r>
      <w:r>
        <w:t>?</w:t>
      </w:r>
    </w:p>
    <w:p w14:paraId="6C4D75D6" w14:textId="77777777" w:rsidR="00A54E85" w:rsidRDefault="00A54E85" w:rsidP="00A54E85">
      <w:pPr>
        <w:numPr>
          <w:ilvl w:val="0"/>
          <w:numId w:val="24"/>
        </w:numPr>
        <w:spacing w:line="240" w:lineRule="auto"/>
        <w:ind w:left="714" w:hanging="357"/>
      </w:pPr>
      <w:r>
        <w:t>Lymphome thymique</w:t>
      </w:r>
    </w:p>
    <w:p w14:paraId="72AE8D19" w14:textId="77777777" w:rsidR="00A54E85" w:rsidRDefault="00A54E85" w:rsidP="00A54E85">
      <w:pPr>
        <w:numPr>
          <w:ilvl w:val="0"/>
          <w:numId w:val="24"/>
        </w:numPr>
        <w:pBdr>
          <w:top w:val="nil"/>
          <w:left w:val="nil"/>
          <w:bottom w:val="nil"/>
          <w:right w:val="nil"/>
          <w:between w:val="nil"/>
        </w:pBdr>
        <w:spacing w:line="240" w:lineRule="auto"/>
        <w:ind w:left="714" w:hanging="357"/>
      </w:pPr>
      <w:r>
        <w:t>Kyste pleuropéricardique</w:t>
      </w:r>
    </w:p>
    <w:p w14:paraId="2D67E9C0" w14:textId="77777777" w:rsidR="00A54E85" w:rsidRDefault="00A54E85" w:rsidP="00A54E85">
      <w:pPr>
        <w:numPr>
          <w:ilvl w:val="0"/>
          <w:numId w:val="24"/>
        </w:numPr>
        <w:pBdr>
          <w:top w:val="nil"/>
          <w:left w:val="nil"/>
          <w:bottom w:val="nil"/>
          <w:right w:val="nil"/>
          <w:between w:val="nil"/>
        </w:pBdr>
        <w:spacing w:line="240" w:lineRule="auto"/>
      </w:pPr>
      <w:r>
        <w:t>Schwannome</w:t>
      </w:r>
    </w:p>
    <w:p w14:paraId="067F335C" w14:textId="77777777" w:rsidR="00A54E85" w:rsidRDefault="00A54E85" w:rsidP="00A54E85">
      <w:pPr>
        <w:numPr>
          <w:ilvl w:val="0"/>
          <w:numId w:val="24"/>
        </w:numPr>
        <w:pBdr>
          <w:top w:val="nil"/>
          <w:left w:val="nil"/>
          <w:bottom w:val="nil"/>
          <w:right w:val="nil"/>
          <w:between w:val="nil"/>
        </w:pBdr>
        <w:spacing w:line="240" w:lineRule="auto"/>
      </w:pPr>
      <w:r>
        <w:t>Tératome</w:t>
      </w:r>
    </w:p>
    <w:p w14:paraId="58E20445" w14:textId="77777777" w:rsidR="00A54E85" w:rsidRDefault="00A54E85" w:rsidP="00A54E85">
      <w:pPr>
        <w:numPr>
          <w:ilvl w:val="0"/>
          <w:numId w:val="24"/>
        </w:numPr>
        <w:pBdr>
          <w:top w:val="nil"/>
          <w:left w:val="nil"/>
          <w:bottom w:val="nil"/>
          <w:right w:val="nil"/>
          <w:between w:val="nil"/>
        </w:pBdr>
        <w:spacing w:line="240" w:lineRule="auto"/>
      </w:pPr>
      <w:r>
        <w:t>Adénopathie médiastinale dans le cadre d’une sarcoïdose</w:t>
      </w:r>
    </w:p>
    <w:p w14:paraId="71CABF94" w14:textId="77777777" w:rsidR="00A54E85" w:rsidRDefault="00A54E85" w:rsidP="00A54E85">
      <w:pPr>
        <w:jc w:val="center"/>
      </w:pPr>
    </w:p>
    <w:p w14:paraId="0A247BEB" w14:textId="77777777" w:rsidR="00A54E85" w:rsidRDefault="00A54E85" w:rsidP="00A54E85">
      <w:pPr>
        <w:numPr>
          <w:ilvl w:val="0"/>
          <w:numId w:val="27"/>
        </w:numPr>
        <w:pBdr>
          <w:top w:val="nil"/>
          <w:left w:val="nil"/>
          <w:bottom w:val="nil"/>
          <w:right w:val="nil"/>
          <w:between w:val="nil"/>
        </w:pBdr>
        <w:spacing w:line="240" w:lineRule="auto"/>
        <w:jc w:val="left"/>
        <w:rPr>
          <w:b/>
          <w:bCs/>
        </w:rPr>
      </w:pPr>
      <w:r>
        <w:rPr>
          <w:b/>
          <w:bCs/>
        </w:rPr>
        <w:t xml:space="preserve">QRM </w:t>
      </w:r>
    </w:p>
    <w:p w14:paraId="34B29042" w14:textId="77777777" w:rsidR="00A54E85" w:rsidRDefault="00A54E85" w:rsidP="00A54E85">
      <w:r>
        <w:t>Concernant les masses médiastinales, quelle(s) est (sont) l’(les) affirmation(s) exacte(s)</w:t>
      </w:r>
      <w:r>
        <w:rPr>
          <w:rFonts w:ascii="Arial" w:eastAsia="Arial" w:hAnsi="Arial" w:cs="Arial"/>
        </w:rPr>
        <w:t> </w:t>
      </w:r>
      <w:r>
        <w:t xml:space="preserve">? </w:t>
      </w:r>
    </w:p>
    <w:p w14:paraId="4154FC0F" w14:textId="77777777" w:rsidR="00A54E85" w:rsidRDefault="00A54E85" w:rsidP="00A54E85">
      <w:pPr>
        <w:numPr>
          <w:ilvl w:val="0"/>
          <w:numId w:val="26"/>
        </w:numPr>
        <w:pBdr>
          <w:top w:val="nil"/>
          <w:left w:val="nil"/>
          <w:bottom w:val="nil"/>
          <w:right w:val="nil"/>
          <w:between w:val="nil"/>
        </w:pBdr>
        <w:spacing w:line="240" w:lineRule="auto"/>
        <w:jc w:val="left"/>
      </w:pPr>
      <w:r>
        <w:t>Les tumeurs germinales sont habituellement situées dans le médiastin antérieur</w:t>
      </w:r>
    </w:p>
    <w:p w14:paraId="74569B3F" w14:textId="77777777" w:rsidR="00A54E85" w:rsidRDefault="00A54E85" w:rsidP="00A54E85">
      <w:pPr>
        <w:numPr>
          <w:ilvl w:val="0"/>
          <w:numId w:val="26"/>
        </w:numPr>
        <w:pBdr>
          <w:top w:val="nil"/>
          <w:left w:val="nil"/>
          <w:bottom w:val="nil"/>
          <w:right w:val="nil"/>
          <w:between w:val="nil"/>
        </w:pBdr>
        <w:spacing w:line="240" w:lineRule="auto"/>
        <w:jc w:val="left"/>
      </w:pPr>
      <w:r>
        <w:t>La découverte d’une masse du médiastin moyen doit faire réaliser en urgence un dosage de l’α-foeto-protéine et de l’HCG</w:t>
      </w:r>
    </w:p>
    <w:p w14:paraId="398EAAE3" w14:textId="77777777" w:rsidR="00A54E85" w:rsidRDefault="00A54E85" w:rsidP="00A54E85">
      <w:pPr>
        <w:numPr>
          <w:ilvl w:val="0"/>
          <w:numId w:val="26"/>
        </w:numPr>
        <w:pBdr>
          <w:top w:val="nil"/>
          <w:left w:val="nil"/>
          <w:bottom w:val="nil"/>
          <w:right w:val="nil"/>
          <w:between w:val="nil"/>
        </w:pBdr>
        <w:spacing w:line="240" w:lineRule="auto"/>
      </w:pPr>
      <w:r>
        <w:t>La médiastinoscopie permet d’obtenir le diagnostic histologique des tumeurs du médiastin postérieur</w:t>
      </w:r>
    </w:p>
    <w:p w14:paraId="313E88A1" w14:textId="77777777" w:rsidR="00A54E85" w:rsidRDefault="00A54E85" w:rsidP="00A54E85">
      <w:pPr>
        <w:numPr>
          <w:ilvl w:val="0"/>
          <w:numId w:val="26"/>
        </w:numPr>
        <w:pBdr>
          <w:top w:val="nil"/>
          <w:left w:val="nil"/>
          <w:bottom w:val="nil"/>
          <w:right w:val="nil"/>
          <w:between w:val="nil"/>
        </w:pBdr>
        <w:spacing w:line="240" w:lineRule="auto"/>
        <w:jc w:val="left"/>
      </w:pPr>
      <w:r>
        <w:t>La ponction transpariétale à l’aiguille permet habituellement d’obtenir le diagnostic histologique des tumeurs du médiastin moyen</w:t>
      </w:r>
    </w:p>
    <w:p w14:paraId="470C4AE0" w14:textId="77777777" w:rsidR="00A54E85" w:rsidRDefault="00A54E85" w:rsidP="00A54E85">
      <w:pPr>
        <w:numPr>
          <w:ilvl w:val="0"/>
          <w:numId w:val="26"/>
        </w:numPr>
        <w:pBdr>
          <w:top w:val="nil"/>
          <w:left w:val="nil"/>
          <w:bottom w:val="nil"/>
          <w:right w:val="nil"/>
          <w:between w:val="nil"/>
        </w:pBdr>
        <w:spacing w:line="240" w:lineRule="auto"/>
        <w:jc w:val="left"/>
      </w:pPr>
      <w:r>
        <w:t>La preuve histologique n’est pas nécessaire pour le diagnostic des kystes bronchogéniques</w:t>
      </w:r>
    </w:p>
    <w:p w14:paraId="1EDDF9F9" w14:textId="7DFB33BE" w:rsidR="00A54E85" w:rsidRDefault="004D552E" w:rsidP="004D552E">
      <w:pPr>
        <w:spacing w:after="160"/>
        <w:jc w:val="left"/>
        <w:rPr>
          <w:b/>
          <w:bCs/>
        </w:rPr>
      </w:pPr>
      <w:r>
        <w:rPr>
          <w:b/>
          <w:bCs/>
        </w:rPr>
        <w:br w:type="page"/>
      </w:r>
    </w:p>
    <w:p w14:paraId="6FBA4D0C" w14:textId="77777777" w:rsidR="00A54E85" w:rsidRDefault="00A54E85" w:rsidP="00A54E85">
      <w:pPr>
        <w:numPr>
          <w:ilvl w:val="0"/>
          <w:numId w:val="27"/>
        </w:numPr>
        <w:pBdr>
          <w:top w:val="nil"/>
          <w:left w:val="nil"/>
          <w:bottom w:val="nil"/>
          <w:right w:val="nil"/>
          <w:between w:val="nil"/>
        </w:pBdr>
        <w:spacing w:line="240" w:lineRule="auto"/>
        <w:jc w:val="left"/>
        <w:rPr>
          <w:b/>
          <w:bCs/>
        </w:rPr>
      </w:pPr>
      <w:r>
        <w:rPr>
          <w:b/>
          <w:bCs/>
        </w:rPr>
        <w:lastRenderedPageBreak/>
        <w:t>QRM</w:t>
      </w:r>
    </w:p>
    <w:p w14:paraId="592AB7C6" w14:textId="77777777" w:rsidR="00A54E85" w:rsidRDefault="00A54E85" w:rsidP="00A54E85">
      <w:r>
        <w:t>Vous recevez en consultation un homme de 66 ans, fumeur actif, en raison de la découverte de l’opacité pulmonaire suivante sur un scanner thoracique réalisé dans le cadre d’un bilan de toux chronique.</w:t>
      </w:r>
    </w:p>
    <w:p w14:paraId="56D90EDB" w14:textId="77777777" w:rsidR="00A54E85" w:rsidRDefault="00A54E85" w:rsidP="00A54E85">
      <w:r>
        <w:rPr>
          <w:noProof/>
        </w:rPr>
        <w:drawing>
          <wp:anchor distT="0" distB="0" distL="114300" distR="114300" simplePos="0" relativeHeight="251853824" behindDoc="0" locked="0" layoutInCell="1" hidden="0" allowOverlap="1" wp14:anchorId="29234375" wp14:editId="48DFB36D">
            <wp:simplePos x="0" y="0"/>
            <wp:positionH relativeFrom="column">
              <wp:posOffset>3061969</wp:posOffset>
            </wp:positionH>
            <wp:positionV relativeFrom="paragraph">
              <wp:posOffset>63216</wp:posOffset>
            </wp:positionV>
            <wp:extent cx="3058160" cy="2867660"/>
            <wp:effectExtent l="0" t="0" r="0" b="0"/>
            <wp:wrapSquare wrapText="bothSides" distT="0" distB="0" distL="114300" distR="114300"/>
            <wp:docPr id="12" name="image4.jpg" descr="Une image contenant texte, roue&#10;&#10;Description générée automatiquement"/>
            <wp:cNvGraphicFramePr/>
            <a:graphic xmlns:a="http://schemas.openxmlformats.org/drawingml/2006/main">
              <a:graphicData uri="http://schemas.openxmlformats.org/drawingml/2006/picture">
                <pic:pic xmlns:pic="http://schemas.openxmlformats.org/drawingml/2006/picture">
                  <pic:nvPicPr>
                    <pic:cNvPr id="0" name="image4.jpg" descr="Une image contenant texte, roue&#10;&#10;Description générée automatiquement"/>
                    <pic:cNvPicPr preferRelativeResize="0"/>
                  </pic:nvPicPr>
                  <pic:blipFill>
                    <a:blip r:embed="rId39"/>
                    <a:srcRect/>
                    <a:stretch>
                      <a:fillRect/>
                    </a:stretch>
                  </pic:blipFill>
                  <pic:spPr>
                    <a:xfrm>
                      <a:off x="0" y="0"/>
                      <a:ext cx="3058160" cy="2867660"/>
                    </a:xfrm>
                    <a:prstGeom prst="rect">
                      <a:avLst/>
                    </a:prstGeom>
                    <a:ln/>
                  </pic:spPr>
                </pic:pic>
              </a:graphicData>
            </a:graphic>
          </wp:anchor>
        </w:drawing>
      </w:r>
    </w:p>
    <w:p w14:paraId="601BBEEC" w14:textId="77777777" w:rsidR="00A54E85" w:rsidRDefault="00A54E85" w:rsidP="00A54E85">
      <w:r>
        <w:t>Un TEP scanner a également été réalisé et met en évidence un hypermétabolisme de l’opacité pulmonaire isolé sans autre lésion à distance. Parmi les propositions suivantes concernant la lésion pulmonaire la(es)quelle(s) est (sont) juste(s)</w:t>
      </w:r>
      <w:r>
        <w:rPr>
          <w:rFonts w:ascii="Arial" w:eastAsia="Arial" w:hAnsi="Arial" w:cs="Arial"/>
        </w:rPr>
        <w:t> </w:t>
      </w:r>
      <w:r>
        <w:t>?</w:t>
      </w:r>
    </w:p>
    <w:p w14:paraId="23785BFF" w14:textId="77777777" w:rsidR="00A54E85" w:rsidRDefault="00A54E85" w:rsidP="00A54E85">
      <w:pPr>
        <w:numPr>
          <w:ilvl w:val="0"/>
          <w:numId w:val="25"/>
        </w:numPr>
        <w:pBdr>
          <w:top w:val="nil"/>
          <w:left w:val="nil"/>
          <w:bottom w:val="nil"/>
          <w:right w:val="nil"/>
          <w:between w:val="nil"/>
        </w:pBdr>
        <w:spacing w:line="240" w:lineRule="auto"/>
        <w:jc w:val="left"/>
      </w:pPr>
      <w:r>
        <w:t>La nature cancéreuse de la lésion pulmonaire peut être affirmée, car la lésion présente un hypermétabolisme au TEP scanner</w:t>
      </w:r>
    </w:p>
    <w:p w14:paraId="5B6E0D91" w14:textId="77777777" w:rsidR="00A54E85" w:rsidRDefault="00A54E85" w:rsidP="00A54E85">
      <w:pPr>
        <w:numPr>
          <w:ilvl w:val="0"/>
          <w:numId w:val="25"/>
        </w:numPr>
        <w:pBdr>
          <w:top w:val="nil"/>
          <w:left w:val="nil"/>
          <w:bottom w:val="nil"/>
          <w:right w:val="nil"/>
          <w:between w:val="nil"/>
        </w:pBdr>
        <w:spacing w:line="240" w:lineRule="auto"/>
        <w:jc w:val="left"/>
      </w:pPr>
      <w:r>
        <w:t>Il s’agit d’un nodule pulmonaire</w:t>
      </w:r>
    </w:p>
    <w:p w14:paraId="280B5BE7" w14:textId="77777777" w:rsidR="00A54E85" w:rsidRDefault="00A54E85" w:rsidP="00A54E85">
      <w:pPr>
        <w:numPr>
          <w:ilvl w:val="0"/>
          <w:numId w:val="25"/>
        </w:numPr>
        <w:pBdr>
          <w:top w:val="nil"/>
          <w:left w:val="nil"/>
          <w:bottom w:val="nil"/>
          <w:right w:val="nil"/>
          <w:between w:val="nil"/>
        </w:pBdr>
        <w:spacing w:line="240" w:lineRule="auto"/>
        <w:jc w:val="left"/>
      </w:pPr>
      <w:r>
        <w:t xml:space="preserve">Le tabagisme exclut une cause bénigne à l’origine de la lésion pulmonaire </w:t>
      </w:r>
    </w:p>
    <w:p w14:paraId="56D179CB" w14:textId="77777777" w:rsidR="00A54E85" w:rsidRDefault="00A54E85" w:rsidP="00A54E85">
      <w:pPr>
        <w:numPr>
          <w:ilvl w:val="0"/>
          <w:numId w:val="25"/>
        </w:numPr>
        <w:pBdr>
          <w:top w:val="nil"/>
          <w:left w:val="nil"/>
          <w:bottom w:val="nil"/>
          <w:right w:val="nil"/>
          <w:between w:val="nil"/>
        </w:pBdr>
        <w:spacing w:line="240" w:lineRule="auto"/>
        <w:jc w:val="left"/>
      </w:pPr>
      <w:r>
        <w:t>Une ponction à l’aiguille sous écho-endoscopie transbronchique est l’examen à privilégier pour obtenir un diagnostic histologique</w:t>
      </w:r>
    </w:p>
    <w:p w14:paraId="3D3A4886" w14:textId="77777777" w:rsidR="00A54E85" w:rsidRDefault="00A54E85" w:rsidP="00A54E85">
      <w:pPr>
        <w:numPr>
          <w:ilvl w:val="0"/>
          <w:numId w:val="25"/>
        </w:numPr>
        <w:pBdr>
          <w:top w:val="nil"/>
          <w:left w:val="nil"/>
          <w:bottom w:val="nil"/>
          <w:right w:val="nil"/>
          <w:between w:val="nil"/>
        </w:pBdr>
        <w:spacing w:line="240" w:lineRule="auto"/>
        <w:jc w:val="left"/>
      </w:pPr>
      <w:r>
        <w:t>Les contours irréguliers orientent vers une lésion pulmonaire maligne</w:t>
      </w:r>
    </w:p>
    <w:p w14:paraId="7FFD061B" w14:textId="77777777" w:rsidR="00A54E85" w:rsidRDefault="00A54E85" w:rsidP="00A54E85">
      <w:pPr>
        <w:jc w:val="left"/>
        <w:rPr>
          <w:b/>
          <w:bCs/>
          <w:smallCaps/>
          <w:color w:val="2E74B5"/>
          <w:sz w:val="24"/>
          <w:szCs w:val="24"/>
        </w:rPr>
      </w:pPr>
      <w:r>
        <w:br w:type="page"/>
      </w:r>
    </w:p>
    <w:p w14:paraId="28E03A50" w14:textId="77777777" w:rsidR="00A54E85" w:rsidRDefault="00A54E85" w:rsidP="00A54E85">
      <w:pPr>
        <w:pBdr>
          <w:top w:val="nil"/>
          <w:left w:val="nil"/>
          <w:bottom w:val="nil"/>
          <w:right w:val="nil"/>
          <w:between w:val="nil"/>
        </w:pBdr>
        <w:spacing w:before="120" w:line="240" w:lineRule="auto"/>
        <w:rPr>
          <w:b/>
          <w:bCs/>
          <w:smallCaps/>
          <w:color w:val="2E74B5"/>
          <w:sz w:val="24"/>
          <w:szCs w:val="24"/>
        </w:rPr>
      </w:pPr>
      <w:r>
        <w:rPr>
          <w:b/>
          <w:bCs/>
          <w:smallCaps/>
          <w:color w:val="2E74B5"/>
          <w:sz w:val="24"/>
          <w:szCs w:val="24"/>
        </w:rPr>
        <w:lastRenderedPageBreak/>
        <w:t>Réponses</w:t>
      </w:r>
    </w:p>
    <w:p w14:paraId="3D29D652" w14:textId="77777777" w:rsidR="00A54E85" w:rsidRDefault="00A54E85" w:rsidP="00A54E85">
      <w:pPr>
        <w:pBdr>
          <w:top w:val="nil"/>
          <w:left w:val="nil"/>
          <w:bottom w:val="nil"/>
          <w:right w:val="nil"/>
          <w:between w:val="nil"/>
        </w:pBdr>
        <w:spacing w:before="120" w:line="240" w:lineRule="auto"/>
        <w:rPr>
          <w:b/>
          <w:bCs/>
          <w:smallCaps/>
          <w:color w:val="2E74B5"/>
          <w:sz w:val="24"/>
          <w:szCs w:val="24"/>
        </w:rPr>
      </w:pPr>
    </w:p>
    <w:p w14:paraId="090FD7AB" w14:textId="77777777" w:rsidR="00A54E85" w:rsidRDefault="00A54E85" w:rsidP="00A54E85">
      <w:pPr>
        <w:numPr>
          <w:ilvl w:val="0"/>
          <w:numId w:val="34"/>
        </w:numPr>
        <w:pBdr>
          <w:top w:val="nil"/>
          <w:left w:val="nil"/>
          <w:bottom w:val="nil"/>
          <w:right w:val="nil"/>
          <w:between w:val="nil"/>
        </w:pBdr>
        <w:spacing w:line="240" w:lineRule="auto"/>
        <w:jc w:val="left"/>
        <w:rPr>
          <w:b/>
          <w:bCs/>
        </w:rPr>
      </w:pPr>
      <w:r>
        <w:rPr>
          <w:b/>
          <w:bCs/>
        </w:rPr>
        <w:t>QRP – 3 réponses</w:t>
      </w:r>
    </w:p>
    <w:p w14:paraId="3FD1605C" w14:textId="77777777" w:rsidR="00A54E85" w:rsidRDefault="00A54E85" w:rsidP="00A54E85">
      <w:r>
        <w:t>Réponses : CFG</w:t>
      </w:r>
    </w:p>
    <w:p w14:paraId="5E6A8DD3" w14:textId="77777777" w:rsidR="00A54E85" w:rsidRDefault="00A54E85" w:rsidP="00A54E85"/>
    <w:p w14:paraId="38CFC0C7" w14:textId="77777777" w:rsidR="00A54E85" w:rsidRDefault="00A54E85" w:rsidP="00A54E85">
      <w:pPr>
        <w:numPr>
          <w:ilvl w:val="0"/>
          <w:numId w:val="34"/>
        </w:numPr>
        <w:pBdr>
          <w:top w:val="nil"/>
          <w:left w:val="nil"/>
          <w:bottom w:val="nil"/>
          <w:right w:val="nil"/>
          <w:between w:val="nil"/>
        </w:pBdr>
        <w:spacing w:line="240" w:lineRule="auto"/>
        <w:jc w:val="left"/>
        <w:rPr>
          <w:b/>
          <w:bCs/>
        </w:rPr>
      </w:pPr>
      <w:r>
        <w:rPr>
          <w:b/>
          <w:bCs/>
        </w:rPr>
        <w:t>QROC</w:t>
      </w:r>
    </w:p>
    <w:p w14:paraId="15236611" w14:textId="77777777" w:rsidR="00A54E85" w:rsidRDefault="00A54E85" w:rsidP="00A54E85">
      <w:r>
        <w:t xml:space="preserve">Réponses acceptées : </w:t>
      </w:r>
    </w:p>
    <w:p w14:paraId="0A0F5081" w14:textId="77777777" w:rsidR="00A54E85" w:rsidRDefault="00A54E85" w:rsidP="00A54E85">
      <w:pPr>
        <w:spacing w:line="240" w:lineRule="auto"/>
      </w:pPr>
      <w:r>
        <w:t>- ponction - aiguille – adénopathie – bronchoscopie - échoguidées</w:t>
      </w:r>
    </w:p>
    <w:p w14:paraId="08900C6E" w14:textId="77777777" w:rsidR="00A54E85" w:rsidRDefault="00A54E85" w:rsidP="00A54E85">
      <w:pPr>
        <w:spacing w:line="240" w:lineRule="auto"/>
      </w:pPr>
      <w:r>
        <w:t>- ponction - aiguille – ganglion – bronchoscopie - échoguidées</w:t>
      </w:r>
    </w:p>
    <w:p w14:paraId="193987D8" w14:textId="77777777" w:rsidR="00A54E85" w:rsidRDefault="00A54E85" w:rsidP="00A54E85">
      <w:pPr>
        <w:spacing w:line="240" w:lineRule="auto"/>
      </w:pPr>
      <w:r>
        <w:t>- ponction - aiguille – adénopathie – fibroscopie - échoguidées</w:t>
      </w:r>
    </w:p>
    <w:p w14:paraId="4F1D1F91" w14:textId="77777777" w:rsidR="00A54E85" w:rsidRDefault="00A54E85" w:rsidP="00A54E85">
      <w:pPr>
        <w:spacing w:line="240" w:lineRule="auto"/>
      </w:pPr>
      <w:r>
        <w:t>- ponction - aiguille – ganglion – fibroscopie - échoguidées</w:t>
      </w:r>
    </w:p>
    <w:p w14:paraId="2B50DD10" w14:textId="77777777" w:rsidR="00A54E85" w:rsidRDefault="00A54E85" w:rsidP="00A54E85">
      <w:pPr>
        <w:spacing w:line="240" w:lineRule="auto"/>
      </w:pPr>
      <w:r>
        <w:t>- EBUS</w:t>
      </w:r>
    </w:p>
    <w:p w14:paraId="583D6B0E" w14:textId="77777777" w:rsidR="00A54E85" w:rsidRDefault="00A54E85" w:rsidP="00A54E85">
      <w:pPr>
        <w:spacing w:line="240" w:lineRule="auto"/>
      </w:pPr>
      <w:r>
        <w:t>- échoendoscopie bronchique pour ponction transbronchique à l’aiguille échoguidées</w:t>
      </w:r>
    </w:p>
    <w:p w14:paraId="4740D36C" w14:textId="77777777" w:rsidR="00A54E85" w:rsidRDefault="00A54E85" w:rsidP="00A54E85"/>
    <w:p w14:paraId="1CFBC02F" w14:textId="77777777" w:rsidR="00A54E85" w:rsidRDefault="00A54E85" w:rsidP="00A54E85">
      <w:pPr>
        <w:numPr>
          <w:ilvl w:val="0"/>
          <w:numId w:val="34"/>
        </w:numPr>
        <w:pBdr>
          <w:top w:val="nil"/>
          <w:left w:val="nil"/>
          <w:bottom w:val="nil"/>
          <w:right w:val="nil"/>
          <w:between w:val="nil"/>
        </w:pBdr>
        <w:spacing w:line="240" w:lineRule="auto"/>
        <w:jc w:val="left"/>
        <w:rPr>
          <w:b/>
          <w:bCs/>
        </w:rPr>
      </w:pPr>
      <w:r>
        <w:rPr>
          <w:b/>
          <w:bCs/>
        </w:rPr>
        <w:t>QRU</w:t>
      </w:r>
    </w:p>
    <w:p w14:paraId="01089EC6" w14:textId="77777777" w:rsidR="00A54E85" w:rsidRDefault="00A54E85" w:rsidP="00A54E85">
      <w:r>
        <w:t>Réponse : B</w:t>
      </w:r>
    </w:p>
    <w:p w14:paraId="42BFC149" w14:textId="77777777" w:rsidR="00A54E85" w:rsidRDefault="00A54E85" w:rsidP="00A54E85">
      <w:pPr>
        <w:pBdr>
          <w:top w:val="nil"/>
          <w:left w:val="nil"/>
          <w:bottom w:val="nil"/>
          <w:right w:val="nil"/>
          <w:between w:val="nil"/>
        </w:pBdr>
        <w:jc w:val="left"/>
        <w:rPr>
          <w:b/>
          <w:bCs/>
        </w:rPr>
      </w:pPr>
    </w:p>
    <w:p w14:paraId="5166DF91" w14:textId="77777777" w:rsidR="00A54E85" w:rsidRDefault="00A54E85" w:rsidP="00A54E85">
      <w:pPr>
        <w:numPr>
          <w:ilvl w:val="0"/>
          <w:numId w:val="34"/>
        </w:numPr>
        <w:pBdr>
          <w:top w:val="nil"/>
          <w:left w:val="nil"/>
          <w:bottom w:val="nil"/>
          <w:right w:val="nil"/>
          <w:between w:val="nil"/>
        </w:pBdr>
        <w:spacing w:line="240" w:lineRule="auto"/>
        <w:jc w:val="left"/>
        <w:rPr>
          <w:b/>
          <w:bCs/>
        </w:rPr>
      </w:pPr>
      <w:r>
        <w:rPr>
          <w:b/>
          <w:bCs/>
        </w:rPr>
        <w:t>QRU</w:t>
      </w:r>
    </w:p>
    <w:p w14:paraId="729B9F01" w14:textId="77777777" w:rsidR="00A54E85" w:rsidRDefault="00A54E85" w:rsidP="00A54E85">
      <w:r>
        <w:t>Réponse : D</w:t>
      </w:r>
    </w:p>
    <w:p w14:paraId="572FE7B1" w14:textId="77777777" w:rsidR="00A54E85" w:rsidRDefault="00A54E85" w:rsidP="00A54E85"/>
    <w:p w14:paraId="63D854BB" w14:textId="77777777" w:rsidR="00A54E85" w:rsidRDefault="00A54E85" w:rsidP="00A54E85">
      <w:pPr>
        <w:numPr>
          <w:ilvl w:val="0"/>
          <w:numId w:val="34"/>
        </w:numPr>
        <w:pBdr>
          <w:top w:val="nil"/>
          <w:left w:val="nil"/>
          <w:bottom w:val="nil"/>
          <w:right w:val="nil"/>
          <w:between w:val="nil"/>
        </w:pBdr>
        <w:spacing w:line="240" w:lineRule="auto"/>
        <w:jc w:val="left"/>
        <w:rPr>
          <w:b/>
          <w:bCs/>
        </w:rPr>
      </w:pPr>
      <w:r>
        <w:rPr>
          <w:b/>
          <w:bCs/>
        </w:rPr>
        <w:t>QRM</w:t>
      </w:r>
    </w:p>
    <w:p w14:paraId="7D376531" w14:textId="77777777" w:rsidR="00A54E85" w:rsidRDefault="00A54E85" w:rsidP="00A54E85">
      <w:r>
        <w:t>Réponses : AD</w:t>
      </w:r>
    </w:p>
    <w:p w14:paraId="51321225" w14:textId="77777777" w:rsidR="00A54E85" w:rsidRDefault="00A54E85" w:rsidP="00A54E85">
      <w:r>
        <w:t xml:space="preserve">Commentaires : </w:t>
      </w:r>
    </w:p>
    <w:p w14:paraId="08EEED56" w14:textId="77777777" w:rsidR="00A54E85" w:rsidRDefault="00A54E85" w:rsidP="00A54E85">
      <w:r>
        <w:t xml:space="preserve">La lésion est située dans le médiastin moyen antérieur, car en avant de la trachée et entre la crosse de l’aorte et la carène. Les tumeurs du médiastin moyen antérieur regroupent : </w:t>
      </w:r>
    </w:p>
    <w:p w14:paraId="5113B231" w14:textId="77777777" w:rsidR="00A54E85" w:rsidRDefault="00A54E85" w:rsidP="00A54E85">
      <w:pPr>
        <w:spacing w:line="240" w:lineRule="auto"/>
      </w:pPr>
      <w:r>
        <w:t>- Les tumeurs thymiques : thymomes, carcinomes thymiques, lymphomes thymiques, kystes et tumeurs bénignes du thymus.</w:t>
      </w:r>
    </w:p>
    <w:p w14:paraId="7BA7D33F" w14:textId="77777777" w:rsidR="00A54E85" w:rsidRDefault="00A54E85" w:rsidP="00A54E85">
      <w:pPr>
        <w:spacing w:line="240" w:lineRule="auto"/>
      </w:pPr>
      <w:r>
        <w:t>- Les tumeurs germinales : tératomes (tumeur germinale bénigne), tumeurs germinales séminomateuses, tumeurs germinales non séminomateuses (tumeurs vitellines et choriocarcinomes)</w:t>
      </w:r>
    </w:p>
    <w:p w14:paraId="706002BB" w14:textId="77777777" w:rsidR="00A54E85" w:rsidRDefault="00A54E85" w:rsidP="00A54E85"/>
    <w:p w14:paraId="2E55C109" w14:textId="77777777" w:rsidR="00A54E85" w:rsidRDefault="00A54E85" w:rsidP="00A54E85">
      <w:r>
        <w:t xml:space="preserve">Les kystes pleuropéricardiques sont le plus souvent asymptomatiques, de densité liquidienne et situés dans le médiastin antérieur et inférieur au niveau de l’angle cardiophrénique. </w:t>
      </w:r>
    </w:p>
    <w:p w14:paraId="2ADB4EE9" w14:textId="77777777" w:rsidR="00A54E85" w:rsidRDefault="00A54E85" w:rsidP="00A54E85">
      <w:r>
        <w:t xml:space="preserve">Le schwannome est une tumeur neurogène principalement située dans le médiastin postérieur. </w:t>
      </w:r>
    </w:p>
    <w:p w14:paraId="3A6F15EA" w14:textId="77777777" w:rsidR="00A54E85" w:rsidRDefault="00A54E85" w:rsidP="00A54E85">
      <w:r>
        <w:t>Les adénopathies médiastinales concernent le médiastin moyen</w:t>
      </w:r>
      <w:r>
        <w:rPr>
          <w:rFonts w:ascii="Arial" w:eastAsia="Arial" w:hAnsi="Arial" w:cs="Arial"/>
        </w:rPr>
        <w:t> </w:t>
      </w:r>
      <w:r>
        <w:t>; par ailleurs les adénopathies médiastinales liées à la sarcoïdose sont le plus souvent bilatérales symétriques et non compressives.</w:t>
      </w:r>
    </w:p>
    <w:p w14:paraId="52A8809B" w14:textId="77777777" w:rsidR="00A54E85" w:rsidRDefault="00A54E85" w:rsidP="00A54E85"/>
    <w:p w14:paraId="255AA8E8" w14:textId="77777777" w:rsidR="00A54E85" w:rsidRDefault="00A54E85" w:rsidP="00A54E85">
      <w:pPr>
        <w:numPr>
          <w:ilvl w:val="0"/>
          <w:numId w:val="34"/>
        </w:numPr>
        <w:pBdr>
          <w:top w:val="nil"/>
          <w:left w:val="nil"/>
          <w:bottom w:val="nil"/>
          <w:right w:val="nil"/>
          <w:between w:val="nil"/>
        </w:pBdr>
        <w:spacing w:line="240" w:lineRule="auto"/>
        <w:jc w:val="left"/>
        <w:rPr>
          <w:b/>
          <w:bCs/>
        </w:rPr>
      </w:pPr>
      <w:r>
        <w:rPr>
          <w:b/>
          <w:bCs/>
        </w:rPr>
        <w:t xml:space="preserve">QRM </w:t>
      </w:r>
    </w:p>
    <w:p w14:paraId="220E83A8" w14:textId="77777777" w:rsidR="00A54E85" w:rsidRDefault="00A54E85" w:rsidP="00A54E85">
      <w:r>
        <w:t>Réponses : A E</w:t>
      </w:r>
    </w:p>
    <w:p w14:paraId="21DD806D" w14:textId="77777777" w:rsidR="00A54E85" w:rsidRDefault="00A54E85" w:rsidP="00A54E85">
      <w:r>
        <w:t>Commentaires :</w:t>
      </w:r>
    </w:p>
    <w:p w14:paraId="49949882" w14:textId="77777777" w:rsidR="00A54E85" w:rsidRDefault="00A54E85" w:rsidP="00A54E85">
      <w:r>
        <w:t>Les tumeurs germinales font partie des tumeurs à évoquer devant une masse du médiastin antérieur.</w:t>
      </w:r>
    </w:p>
    <w:p w14:paraId="64AB94EE" w14:textId="77777777" w:rsidR="00A54E85" w:rsidRDefault="00A54E85" w:rsidP="00A54E85">
      <w:r>
        <w:t>L’α-foeto-protéine et l’HCG sont utilisées dans les opacités et les masses du médiastin antérieur comme marqueurs sériques des tumeurs germinales non séminomateuses.</w:t>
      </w:r>
    </w:p>
    <w:p w14:paraId="257D6945" w14:textId="77777777" w:rsidR="00A54E85" w:rsidRDefault="00A54E85" w:rsidP="00A54E85">
      <w:r>
        <w:t>La médiastinoscopie permet d’accéder aux tumeurs du médiastin moyen et plus particulièrement aux adénopathies situées autour de la trachée et au-dessus de la carène.</w:t>
      </w:r>
    </w:p>
    <w:p w14:paraId="573C4ABD" w14:textId="77777777" w:rsidR="00A54E85" w:rsidRDefault="00A54E85" w:rsidP="00A54E85">
      <w:r>
        <w:t>La ponction transpariétale à l’aiguille permet l’obtention d’une preuve histologique des masses du médiastin antérieur ou postérieur.</w:t>
      </w:r>
    </w:p>
    <w:p w14:paraId="3F0C2A39" w14:textId="77777777" w:rsidR="00A54E85" w:rsidRDefault="00A54E85" w:rsidP="00A54E85">
      <w:r>
        <w:t>La preuve histologique n’est pas nécessaire au diagnostic des kystes bonchogéniques.</w:t>
      </w:r>
    </w:p>
    <w:p w14:paraId="50BCA652" w14:textId="28FCEED8" w:rsidR="004D552E" w:rsidRDefault="004D552E">
      <w:pPr>
        <w:spacing w:after="160"/>
        <w:jc w:val="left"/>
      </w:pPr>
      <w:r>
        <w:br w:type="page"/>
      </w:r>
    </w:p>
    <w:p w14:paraId="0A63A0D3" w14:textId="77777777" w:rsidR="00A54E85" w:rsidRDefault="00A54E85" w:rsidP="004D552E"/>
    <w:p w14:paraId="70457AEB" w14:textId="77777777" w:rsidR="00A54E85" w:rsidRDefault="00A54E85" w:rsidP="00A54E85">
      <w:pPr>
        <w:numPr>
          <w:ilvl w:val="0"/>
          <w:numId w:val="34"/>
        </w:numPr>
        <w:pBdr>
          <w:top w:val="nil"/>
          <w:left w:val="nil"/>
          <w:bottom w:val="nil"/>
          <w:right w:val="nil"/>
          <w:between w:val="nil"/>
        </w:pBdr>
        <w:spacing w:line="240" w:lineRule="auto"/>
        <w:jc w:val="left"/>
        <w:rPr>
          <w:b/>
          <w:bCs/>
        </w:rPr>
      </w:pPr>
      <w:r>
        <w:rPr>
          <w:b/>
          <w:bCs/>
        </w:rPr>
        <w:t>QRM</w:t>
      </w:r>
    </w:p>
    <w:p w14:paraId="34896F20" w14:textId="77777777" w:rsidR="00A54E85" w:rsidRDefault="00A54E85" w:rsidP="00A54E85">
      <w:r>
        <w:t>Réponses : BE</w:t>
      </w:r>
    </w:p>
    <w:p w14:paraId="15B96620" w14:textId="3743B379" w:rsidR="00F75368" w:rsidRDefault="00A54E85" w:rsidP="00A54E85">
      <w:r>
        <w:t>Commentaires : Un hyper-métabolisme au TEP scanner est un critère de haut risque de malignité d’un nodule pulmonaire, mais ne permet pas d’affirmer sa nature cancéreuse, car il existe de faux positifs liés à des processus inflammatoires, granulomateux, ou infectieux. Un nodule pulmonaire est une opacité intra-parenchymateuse pulmonaire dont le diamètre mesure entre 3 mm et 3 cm. Le tabagisme augment la probabilité d’un nodule d’origine maligne, mais ne peut à lui seul suffire à affirmer le caractère malin d’un nodule pulmonaire. La nature cancéreuse d’un nodule pulmonaire est affirmée par l’examen anatomopathologique. La ponction à l’aiguille sous écho-endoscopie transbronchique permet d’accéder aux lésions médiastinales et hilaires (le plus souvent des adénopathies), elle ne permet pas l’abord d’un nodule intra-parenchymateux. Les contours irréguliers d’un nodule pulmonaire font partie des critères de haut risque de malignité.</w:t>
      </w:r>
    </w:p>
    <w:sectPr w:rsidR="00F75368" w:rsidSect="00876EF8">
      <w:headerReference w:type="even" r:id="rId40"/>
      <w:headerReference w:type="default" r:id="rId41"/>
      <w:footerReference w:type="even" r:id="rId42"/>
      <w:footerReference w:type="default" r:id="rId43"/>
      <w:headerReference w:type="first" r:id="rId44"/>
      <w:footerReference w:type="first" r:id="rId45"/>
      <w:pgSz w:w="11340" w:h="14742" w:code="9"/>
      <w:pgMar w:top="851" w:right="1134" w:bottom="1134" w:left="1134"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comment w:id="4" w:author="jesus Gonzalez" w:date="2026-06-09T15:00:00Z" w:initials="jG">
    <w:p w14:paraId="3C3E8F80" w14:textId="77777777" w:rsidR="009C5EA7" w:rsidRDefault="009C5EA7" w:rsidP="009C5EA7">
      <w:pPr>
        <w:jc w:val="left"/>
      </w:pPr>
      <w:r>
        <w:rPr>
          <w:rStyle w:val="Marquedecommentaire"/>
        </w:rPr>
        <w:annotationRef/>
      </w:r>
      <w:r>
        <w:t>enlever le bleu du tableau</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commentEx w15:paraId="3C3E8F8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2D2B4919" w16cex:dateUtc="2026-06-09T13: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6cid:commentId w16cid:paraId="3C3E8F80" w16cid:durableId="2D2B491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90E0454" w14:textId="77777777" w:rsidR="00C50BA0" w:rsidRDefault="00C50BA0" w:rsidP="002E03D6">
      <w:pPr>
        <w:spacing w:line="240" w:lineRule="auto"/>
      </w:pPr>
      <w:r>
        <w:separator/>
      </w:r>
    </w:p>
  </w:endnote>
  <w:endnote w:type="continuationSeparator" w:id="0">
    <w:p w14:paraId="49609A94" w14:textId="77777777" w:rsidR="00C50BA0" w:rsidRDefault="00C50BA0" w:rsidP="002E03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860803E" w14:textId="77777777" w:rsidR="002E03D6" w:rsidRDefault="002E03D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4F5AA2" w14:textId="77777777" w:rsidR="002E03D6" w:rsidRDefault="002E03D6">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137F6D9" w14:textId="77777777" w:rsidR="002E03D6" w:rsidRDefault="002E03D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B7E82C5" w14:textId="77777777" w:rsidR="00C50BA0" w:rsidRDefault="00C50BA0" w:rsidP="002E03D6">
      <w:pPr>
        <w:spacing w:line="240" w:lineRule="auto"/>
      </w:pPr>
      <w:r>
        <w:separator/>
      </w:r>
    </w:p>
  </w:footnote>
  <w:footnote w:type="continuationSeparator" w:id="0">
    <w:p w14:paraId="3CACCAAE" w14:textId="77777777" w:rsidR="00C50BA0" w:rsidRDefault="00C50BA0" w:rsidP="002E03D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20F883" w14:textId="77777777" w:rsidR="002E03D6" w:rsidRDefault="002E03D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2E0BF8" w14:textId="77777777" w:rsidR="002E03D6" w:rsidRPr="00F201C7" w:rsidRDefault="002E03D6" w:rsidP="002E03D6">
    <w:pPr>
      <w:pStyle w:val="En-tte"/>
      <w:tabs>
        <w:tab w:val="clear" w:pos="9072"/>
        <w:tab w:val="right" w:pos="10206"/>
      </w:tabs>
      <w:ind w:right="-650"/>
      <w:jc w:val="right"/>
      <w:rPr>
        <w:rFonts w:ascii="Arial" w:hAnsi="Arial" w:cs="Arial"/>
        <w:b/>
        <w:color w:val="3366FF"/>
        <w:sz w:val="36"/>
      </w:rPr>
    </w:pPr>
    <w:r w:rsidRPr="00F201C7">
      <w:rPr>
        <w:rFonts w:ascii="Arial" w:hAnsi="Arial" w:cs="Arial"/>
        <w:b/>
        <w:color w:val="3366FF"/>
        <w:sz w:val="36"/>
      </w:rPr>
      <w:t>Collège des Enseignants de Pneumologie - 20</w:t>
    </w:r>
    <w:r>
      <w:rPr>
        <w:rFonts w:ascii="Arial" w:hAnsi="Arial" w:cs="Arial"/>
        <w:b/>
        <w:color w:val="3366FF"/>
        <w:sz w:val="36"/>
      </w:rPr>
      <w:t>26</w:t>
    </w:r>
  </w:p>
  <w:p w14:paraId="46C53B8B" w14:textId="77777777" w:rsidR="002E03D6" w:rsidRDefault="002E03D6">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07914E" w14:textId="77777777" w:rsidR="002E03D6" w:rsidRDefault="002E03D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9007F1"/>
    <w:multiLevelType w:val="multilevel"/>
    <w:tmpl w:val="CA4C66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C5034F"/>
    <w:multiLevelType w:val="multilevel"/>
    <w:tmpl w:val="195EB01C"/>
    <w:lvl w:ilvl="0">
      <w:start w:val="1"/>
      <w:numFmt w:val="decimal"/>
      <w:lvlText w:val="%1)"/>
      <w:lvlJc w:val="left"/>
      <w:pPr>
        <w:ind w:left="360" w:hanging="360"/>
      </w:pPr>
      <w:rPr>
        <w:rFonts w:ascii="Arial" w:eastAsia="Arial" w:hAnsi="Arial" w:cs="Arial"/>
      </w:rPr>
    </w:lvl>
    <w:lvl w:ilvl="1">
      <w:start w:val="1"/>
      <w:numFmt w:val="bullet"/>
      <w:lvlText w:val="-"/>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05D30DEF"/>
    <w:multiLevelType w:val="multilevel"/>
    <w:tmpl w:val="58BA476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80F486E"/>
    <w:multiLevelType w:val="multilevel"/>
    <w:tmpl w:val="532045B4"/>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08280EE0"/>
    <w:multiLevelType w:val="multilevel"/>
    <w:tmpl w:val="A2CCEF3E"/>
    <w:lvl w:ilvl="0">
      <w:start w:val="1"/>
      <w:numFmt w:val="decimal"/>
      <w:lvlText w:val="%1."/>
      <w:lvlJc w:val="left"/>
      <w:pPr>
        <w:ind w:left="360" w:hanging="360"/>
      </w:pPr>
      <w:rPr>
        <w:b w:val="0"/>
        <w:bCs w:val="0"/>
        <w:i w:val="0"/>
        <w:iCs w:val="0"/>
        <w:smallCaps w:val="0"/>
        <w:strike w:val="0"/>
        <w:color w:val="FFFFFF" w:themeColor="background1"/>
        <w:u w:val="none"/>
        <w:vertAlign w:val="baseline"/>
      </w:rPr>
    </w:lvl>
    <w:lvl w:ilvl="1">
      <w:start w:val="1"/>
      <w:numFmt w:val="decimal"/>
      <w:pStyle w:val="Titre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506665"/>
    <w:multiLevelType w:val="multilevel"/>
    <w:tmpl w:val="1DB4D2DE"/>
    <w:lvl w:ilvl="0">
      <w:start w:val="1"/>
      <w:numFmt w:val="bullet"/>
      <w:lvlText w:val=""/>
      <w:lvlJc w:val="left"/>
      <w:pPr>
        <w:ind w:left="1068" w:hanging="360"/>
      </w:pPr>
      <w:rPr>
        <w:rFonts w:ascii="Wingdings 2" w:hAnsi="Wingdings 2" w:hint="default"/>
        <w:color w:val="000000"/>
      </w:rPr>
    </w:lvl>
    <w:lvl w:ilvl="1">
      <w:start w:val="1"/>
      <w:numFmt w:val="bullet"/>
      <w:lvlText w:val="▪"/>
      <w:lvlJc w:val="left"/>
      <w:pPr>
        <w:ind w:left="2148" w:hanging="360"/>
      </w:pPr>
      <w:rPr>
        <w:rFonts w:ascii="Noto Sans Symbols" w:eastAsia="Noto Sans Symbols" w:hAnsi="Noto Sans Symbols" w:cs="Noto Sans Symbols"/>
      </w:r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6" w15:restartNumberingAfterBreak="0">
    <w:nsid w:val="11C8511D"/>
    <w:multiLevelType w:val="multilevel"/>
    <w:tmpl w:val="241EF59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1320567B"/>
    <w:multiLevelType w:val="multilevel"/>
    <w:tmpl w:val="0690350A"/>
    <w:lvl w:ilvl="0">
      <w:start w:val="1"/>
      <w:numFmt w:val="decimal"/>
      <w:lvlText w:val="%1)"/>
      <w:lvlJc w:val="left"/>
      <w:pPr>
        <w:ind w:left="1440" w:hanging="360"/>
      </w:pPr>
      <w:rPr>
        <w:b w:val="0"/>
        <w:bCs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9725D59"/>
    <w:multiLevelType w:val="multilevel"/>
    <w:tmpl w:val="E0363A8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F023BEE"/>
    <w:multiLevelType w:val="multilevel"/>
    <w:tmpl w:val="AF3AD550"/>
    <w:lvl w:ilvl="0">
      <w:start w:val="1"/>
      <w:numFmt w:val="upperLetter"/>
      <w:lvlText w:val="%1."/>
      <w:lvlJc w:val="left"/>
      <w:pPr>
        <w:ind w:left="720" w:hanging="360"/>
      </w:pPr>
    </w:lvl>
    <w:lvl w:ilvl="1">
      <w:start w:val="1"/>
      <w:numFmt w:val="upperLetter"/>
      <w:lvlText w:val="%2."/>
      <w:lvlJc w:val="left"/>
      <w:pPr>
        <w:ind w:left="1440" w:hanging="360"/>
      </w:pPr>
    </w:lvl>
    <w:lvl w:ilvl="2">
      <w:start w:val="1"/>
      <w:numFmt w:val="upperLetter"/>
      <w:lvlText w:val="%3."/>
      <w:lvlJc w:val="left"/>
      <w:pPr>
        <w:ind w:left="2160" w:hanging="360"/>
      </w:pPr>
    </w:lvl>
    <w:lvl w:ilvl="3">
      <w:start w:val="1"/>
      <w:numFmt w:val="upperLetter"/>
      <w:lvlText w:val="%4."/>
      <w:lvlJc w:val="left"/>
      <w:pPr>
        <w:ind w:left="2880" w:hanging="360"/>
      </w:pPr>
    </w:lvl>
    <w:lvl w:ilvl="4">
      <w:start w:val="1"/>
      <w:numFmt w:val="upperLetter"/>
      <w:lvlText w:val="%5."/>
      <w:lvlJc w:val="left"/>
      <w:pPr>
        <w:ind w:left="3600" w:hanging="360"/>
      </w:pPr>
    </w:lvl>
    <w:lvl w:ilvl="5">
      <w:start w:val="1"/>
      <w:numFmt w:val="upperLetter"/>
      <w:lvlText w:val="%6."/>
      <w:lvlJc w:val="left"/>
      <w:pPr>
        <w:ind w:left="4320" w:hanging="360"/>
      </w:pPr>
    </w:lvl>
    <w:lvl w:ilvl="6">
      <w:start w:val="1"/>
      <w:numFmt w:val="upperLetter"/>
      <w:lvlText w:val="%7."/>
      <w:lvlJc w:val="left"/>
      <w:pPr>
        <w:ind w:left="5040" w:hanging="360"/>
      </w:pPr>
    </w:lvl>
    <w:lvl w:ilvl="7">
      <w:start w:val="1"/>
      <w:numFmt w:val="upperLetter"/>
      <w:lvlText w:val="%8."/>
      <w:lvlJc w:val="left"/>
      <w:pPr>
        <w:ind w:left="5760" w:hanging="360"/>
      </w:pPr>
    </w:lvl>
    <w:lvl w:ilvl="8">
      <w:start w:val="1"/>
      <w:numFmt w:val="upperLetter"/>
      <w:lvlText w:val="%9."/>
      <w:lvlJc w:val="left"/>
      <w:pPr>
        <w:ind w:left="6480" w:hanging="360"/>
      </w:pPr>
    </w:lvl>
  </w:abstractNum>
  <w:abstractNum w:abstractNumId="10" w15:restartNumberingAfterBreak="0">
    <w:nsid w:val="21060E91"/>
    <w:multiLevelType w:val="multilevel"/>
    <w:tmpl w:val="493E1F7E"/>
    <w:lvl w:ilvl="0">
      <w:start w:val="1"/>
      <w:numFmt w:val="bullet"/>
      <w:lvlText w:val=""/>
      <w:lvlJc w:val="left"/>
      <w:pPr>
        <w:ind w:left="1080" w:hanging="360"/>
      </w:pPr>
      <w:rPr>
        <w:rFonts w:ascii="Wingdings 2" w:hAnsi="Wingdings 2" w:hint="default"/>
        <w:color w:val="000000"/>
        <w:sz w:val="20"/>
        <w:szCs w:val="20"/>
      </w:rPr>
    </w:lvl>
    <w:lvl w:ilvl="1">
      <w:start w:val="1"/>
      <w:numFmt w:val="bullet"/>
      <w:lvlText w:val="■"/>
      <w:lvlJc w:val="left"/>
      <w:pPr>
        <w:ind w:left="1800" w:hanging="360"/>
      </w:pPr>
      <w:rPr>
        <w:rFonts w:ascii="Noto Sans Symbols" w:eastAsia="Noto Sans Symbols" w:hAnsi="Noto Sans Symbols" w:cs="Noto Sans Symbols"/>
        <w:color w:val="000000"/>
        <w:sz w:val="12"/>
        <w:szCs w:val="12"/>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21A7335E"/>
    <w:multiLevelType w:val="multilevel"/>
    <w:tmpl w:val="D60E7D8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42676CB"/>
    <w:multiLevelType w:val="multilevel"/>
    <w:tmpl w:val="24BE0614"/>
    <w:lvl w:ilvl="0">
      <w:start w:val="1"/>
      <w:numFmt w:val="upperLetter"/>
      <w:lvlText w:val="%1."/>
      <w:lvlJc w:val="left"/>
      <w:pPr>
        <w:ind w:left="824" w:hanging="347"/>
      </w:pPr>
      <w:rPr>
        <w:rFonts w:ascii="Trebuchet MS" w:eastAsia="Trebuchet MS" w:hAnsi="Trebuchet MS" w:cs="Trebuchet MS"/>
        <w:sz w:val="20"/>
        <w:szCs w:val="20"/>
      </w:rPr>
    </w:lvl>
    <w:lvl w:ilvl="1">
      <w:numFmt w:val="bullet"/>
      <w:lvlText w:val="•"/>
      <w:lvlJc w:val="left"/>
      <w:pPr>
        <w:ind w:left="1668" w:hanging="348"/>
      </w:pPr>
    </w:lvl>
    <w:lvl w:ilvl="2">
      <w:numFmt w:val="bullet"/>
      <w:lvlText w:val="•"/>
      <w:lvlJc w:val="left"/>
      <w:pPr>
        <w:ind w:left="2517" w:hanging="348"/>
      </w:pPr>
    </w:lvl>
    <w:lvl w:ilvl="3">
      <w:numFmt w:val="bullet"/>
      <w:lvlText w:val="•"/>
      <w:lvlJc w:val="left"/>
      <w:pPr>
        <w:ind w:left="3365" w:hanging="348"/>
      </w:pPr>
    </w:lvl>
    <w:lvl w:ilvl="4">
      <w:numFmt w:val="bullet"/>
      <w:lvlText w:val="•"/>
      <w:lvlJc w:val="left"/>
      <w:pPr>
        <w:ind w:left="4214" w:hanging="348"/>
      </w:pPr>
    </w:lvl>
    <w:lvl w:ilvl="5">
      <w:numFmt w:val="bullet"/>
      <w:lvlText w:val="•"/>
      <w:lvlJc w:val="left"/>
      <w:pPr>
        <w:ind w:left="5063" w:hanging="348"/>
      </w:pPr>
    </w:lvl>
    <w:lvl w:ilvl="6">
      <w:numFmt w:val="bullet"/>
      <w:lvlText w:val="•"/>
      <w:lvlJc w:val="left"/>
      <w:pPr>
        <w:ind w:left="5911" w:hanging="347"/>
      </w:pPr>
    </w:lvl>
    <w:lvl w:ilvl="7">
      <w:numFmt w:val="bullet"/>
      <w:lvlText w:val="•"/>
      <w:lvlJc w:val="left"/>
      <w:pPr>
        <w:ind w:left="6760" w:hanging="348"/>
      </w:pPr>
    </w:lvl>
    <w:lvl w:ilvl="8">
      <w:numFmt w:val="bullet"/>
      <w:lvlText w:val="•"/>
      <w:lvlJc w:val="left"/>
      <w:pPr>
        <w:ind w:left="7609" w:hanging="348"/>
      </w:pPr>
    </w:lvl>
  </w:abstractNum>
  <w:abstractNum w:abstractNumId="13" w15:restartNumberingAfterBreak="0">
    <w:nsid w:val="25416AEC"/>
    <w:multiLevelType w:val="multilevel"/>
    <w:tmpl w:val="E77C337A"/>
    <w:lvl w:ilvl="0">
      <w:start w:val="1"/>
      <w:numFmt w:val="bullet"/>
      <w:lvlText w:val=""/>
      <w:lvlJc w:val="left"/>
      <w:pPr>
        <w:ind w:left="1440" w:hanging="360"/>
      </w:pPr>
      <w:rPr>
        <w:rFonts w:ascii="Wingdings 2" w:hAnsi="Wingdings 2" w:hint="default"/>
        <w:color w:val="000000"/>
        <w:sz w:val="20"/>
        <w:szCs w:val="20"/>
      </w:rPr>
    </w:lvl>
    <w:lvl w:ilvl="1">
      <w:start w:val="1"/>
      <w:numFmt w:val="bullet"/>
      <w:lvlText w:val="■"/>
      <w:lvlJc w:val="left"/>
      <w:pPr>
        <w:ind w:left="2160" w:hanging="360"/>
      </w:pPr>
      <w:rPr>
        <w:rFonts w:ascii="Noto Sans Symbols" w:eastAsia="Noto Sans Symbols" w:hAnsi="Noto Sans Symbols" w:cs="Noto Sans Symbols"/>
        <w:color w:val="000000"/>
        <w:sz w:val="12"/>
        <w:szCs w:val="12"/>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4" w15:restartNumberingAfterBreak="0">
    <w:nsid w:val="277B4922"/>
    <w:multiLevelType w:val="multilevel"/>
    <w:tmpl w:val="0E448662"/>
    <w:lvl w:ilvl="0">
      <w:start w:val="1"/>
      <w:numFmt w:val="bullet"/>
      <w:lvlText w:val=""/>
      <w:lvlJc w:val="left"/>
      <w:pPr>
        <w:ind w:left="1068" w:hanging="360"/>
      </w:pPr>
      <w:rPr>
        <w:rFonts w:ascii="Wingdings 2" w:hAnsi="Wingdings 2" w:hint="default"/>
        <w:color w:val="0070C0"/>
      </w:rPr>
    </w:lvl>
    <w:lvl w:ilvl="1">
      <w:start w:val="1"/>
      <w:numFmt w:val="bullet"/>
      <w:lvlText w:val="▪"/>
      <w:lvlJc w:val="left"/>
      <w:pPr>
        <w:ind w:left="2148" w:hanging="360"/>
      </w:pPr>
      <w:rPr>
        <w:rFonts w:ascii="Noto Sans Symbols" w:eastAsia="Noto Sans Symbols" w:hAnsi="Noto Sans Symbols" w:cs="Noto Sans Symbols"/>
      </w:r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5" w15:restartNumberingAfterBreak="0">
    <w:nsid w:val="2C3F30E1"/>
    <w:multiLevelType w:val="hybridMultilevel"/>
    <w:tmpl w:val="CC988C58"/>
    <w:lvl w:ilvl="0" w:tplc="535438FC">
      <w:start w:val="1"/>
      <w:numFmt w:val="decimal"/>
      <w:pStyle w:val="1titre"/>
      <w:lvlText w:val="%1."/>
      <w:lvlJc w:val="left"/>
      <w:pPr>
        <w:ind w:left="720" w:hanging="360"/>
      </w:pPr>
      <w:rPr>
        <w:rFonts w:hint="default"/>
      </w:rPr>
    </w:lvl>
    <w:lvl w:ilvl="1" w:tplc="040C000F">
      <w:start w:val="1"/>
      <w:numFmt w:val="decimal"/>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D2D5F9E"/>
    <w:multiLevelType w:val="multilevel"/>
    <w:tmpl w:val="855C92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Wingdings 2" w:hAnsi="Wingdings 2"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51479A1"/>
    <w:multiLevelType w:val="multilevel"/>
    <w:tmpl w:val="B702771E"/>
    <w:lvl w:ilvl="0">
      <w:start w:val="1"/>
      <w:numFmt w:val="decimal"/>
      <w:lvlText w:val="%1."/>
      <w:lvlJc w:val="left"/>
      <w:pPr>
        <w:ind w:left="0" w:firstLine="0"/>
      </w:pPr>
      <w:rPr>
        <w:b w:val="0"/>
        <w:bCs w:val="0"/>
        <w:i w:val="0"/>
        <w:iCs w:val="0"/>
        <w:smallCaps w:val="0"/>
        <w:strike w:val="0"/>
        <w:color w:val="000000"/>
        <w:u w:val="none"/>
        <w:vertAlign w:val="baseline"/>
      </w:rPr>
    </w:lvl>
    <w:lvl w:ilvl="1">
      <w:start w:val="1"/>
      <w:numFmt w:val="decimal"/>
      <w:lvlText w:val="%1.%2"/>
      <w:lvlJc w:val="left"/>
      <w:pPr>
        <w:ind w:left="705" w:hanging="705"/>
      </w:pPr>
    </w:lvl>
    <w:lvl w:ilvl="2">
      <w:start w:val="2"/>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15:restartNumberingAfterBreak="0">
    <w:nsid w:val="3BFE3D43"/>
    <w:multiLevelType w:val="multilevel"/>
    <w:tmpl w:val="96CEC83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itre4"/>
      <w:lvlText w:val="%1.%2.%3."/>
      <w:lvlJc w:val="left"/>
      <w:pPr>
        <w:ind w:left="1224" w:hanging="504"/>
      </w:pPr>
      <w:rPr>
        <w:i w:val="0"/>
        <w:iCs w:val="0"/>
      </w:rPr>
    </w:lvl>
    <w:lvl w:ilvl="3">
      <w:start w:val="1"/>
      <w:numFmt w:val="decimal"/>
      <w:pStyle w:val="Titre5"/>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E1F7BE5"/>
    <w:multiLevelType w:val="multilevel"/>
    <w:tmpl w:val="44B8DB5C"/>
    <w:lvl w:ilvl="0">
      <w:start w:val="1"/>
      <w:numFmt w:val="bullet"/>
      <w:lvlText w:val=""/>
      <w:lvlJc w:val="left"/>
      <w:pPr>
        <w:ind w:left="720" w:hanging="360"/>
      </w:pPr>
      <w:rPr>
        <w:rFonts w:ascii="Wingdings 2" w:hAnsi="Wingdings 2" w:hint="default"/>
        <w:color w:val="2E74B5"/>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E383A3F"/>
    <w:multiLevelType w:val="multilevel"/>
    <w:tmpl w:val="94AAA5A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4910DD"/>
    <w:multiLevelType w:val="multilevel"/>
    <w:tmpl w:val="A7B65F30"/>
    <w:lvl w:ilvl="0">
      <w:start w:val="1"/>
      <w:numFmt w:val="bullet"/>
      <w:lvlText w:val=""/>
      <w:lvlJc w:val="left"/>
      <w:pPr>
        <w:ind w:left="1068" w:hanging="360"/>
      </w:pPr>
      <w:rPr>
        <w:rFonts w:ascii="Wingdings 2" w:hAnsi="Wingdings 2" w:hint="default"/>
        <w:color w:val="0070C0"/>
      </w:rPr>
    </w:lvl>
    <w:lvl w:ilvl="1">
      <w:start w:val="1"/>
      <w:numFmt w:val="bullet"/>
      <w:lvlText w:val="−"/>
      <w:lvlJc w:val="left"/>
      <w:pPr>
        <w:ind w:left="2148" w:hanging="360"/>
      </w:pPr>
      <w:rPr>
        <w:rFonts w:ascii="Noto Sans Symbols" w:eastAsia="Noto Sans Symbols" w:hAnsi="Noto Sans Symbols" w:cs="Noto Sans Symbols"/>
      </w:r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2" w15:restartNumberingAfterBreak="0">
    <w:nsid w:val="41CB3E46"/>
    <w:multiLevelType w:val="multilevel"/>
    <w:tmpl w:val="741E351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8507132"/>
    <w:multiLevelType w:val="multilevel"/>
    <w:tmpl w:val="B314965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CEE7C9B"/>
    <w:multiLevelType w:val="multilevel"/>
    <w:tmpl w:val="DED41382"/>
    <w:lvl w:ilvl="0">
      <w:start w:val="1"/>
      <w:numFmt w:val="bullet"/>
      <w:lvlText w:val=""/>
      <w:lvlJc w:val="left"/>
      <w:pPr>
        <w:ind w:left="1416" w:hanging="360"/>
      </w:pPr>
      <w:rPr>
        <w:rFonts w:ascii="Wingdings 2" w:hAnsi="Wingdings 2" w:hint="default"/>
      </w:rPr>
    </w:lvl>
    <w:lvl w:ilvl="1">
      <w:start w:val="3"/>
      <w:numFmt w:val="bullet"/>
      <w:lvlText w:val="-"/>
      <w:lvlJc w:val="left"/>
      <w:pPr>
        <w:ind w:left="1086" w:hanging="360"/>
      </w:pPr>
      <w:rPr>
        <w:rFonts w:ascii="Times New Roman" w:eastAsia="Times New Roman" w:hAnsi="Times New Roman" w:cs="Times New Roman"/>
      </w:rPr>
    </w:lvl>
    <w:lvl w:ilvl="2">
      <w:start w:val="1"/>
      <w:numFmt w:val="bullet"/>
      <w:lvlText w:val="●"/>
      <w:lvlJc w:val="left"/>
      <w:pPr>
        <w:ind w:left="1806" w:hanging="360"/>
      </w:pPr>
      <w:rPr>
        <w:rFonts w:ascii="Noto Sans Symbols" w:eastAsia="Noto Sans Symbols" w:hAnsi="Noto Sans Symbols" w:cs="Noto Sans Symbols"/>
      </w:rPr>
    </w:lvl>
    <w:lvl w:ilvl="3">
      <w:numFmt w:val="bullet"/>
      <w:lvlText w:val="→"/>
      <w:lvlJc w:val="left"/>
      <w:pPr>
        <w:ind w:left="2526" w:hanging="360"/>
      </w:pPr>
      <w:rPr>
        <w:rFonts w:ascii="Noto Sans Symbols" w:eastAsia="Noto Sans Symbols" w:hAnsi="Noto Sans Symbols" w:cs="Noto Sans Symbols"/>
      </w:rPr>
    </w:lvl>
    <w:lvl w:ilvl="4">
      <w:start w:val="1"/>
      <w:numFmt w:val="bullet"/>
      <w:lvlText w:val="o"/>
      <w:lvlJc w:val="left"/>
      <w:pPr>
        <w:ind w:left="3246" w:hanging="360"/>
      </w:pPr>
      <w:rPr>
        <w:rFonts w:ascii="Courier New" w:eastAsia="Courier New" w:hAnsi="Courier New" w:cs="Courier New"/>
      </w:rPr>
    </w:lvl>
    <w:lvl w:ilvl="5">
      <w:start w:val="1"/>
      <w:numFmt w:val="bullet"/>
      <w:lvlText w:val="▪"/>
      <w:lvlJc w:val="left"/>
      <w:pPr>
        <w:ind w:left="3966" w:hanging="360"/>
      </w:pPr>
      <w:rPr>
        <w:rFonts w:ascii="Noto Sans Symbols" w:eastAsia="Noto Sans Symbols" w:hAnsi="Noto Sans Symbols" w:cs="Noto Sans Symbols"/>
      </w:rPr>
    </w:lvl>
    <w:lvl w:ilvl="6">
      <w:start w:val="1"/>
      <w:numFmt w:val="bullet"/>
      <w:lvlText w:val="●"/>
      <w:lvlJc w:val="left"/>
      <w:pPr>
        <w:ind w:left="4686" w:hanging="360"/>
      </w:pPr>
      <w:rPr>
        <w:rFonts w:ascii="Noto Sans Symbols" w:eastAsia="Noto Sans Symbols" w:hAnsi="Noto Sans Symbols" w:cs="Noto Sans Symbols"/>
      </w:rPr>
    </w:lvl>
    <w:lvl w:ilvl="7">
      <w:start w:val="1"/>
      <w:numFmt w:val="bullet"/>
      <w:lvlText w:val="o"/>
      <w:lvlJc w:val="left"/>
      <w:pPr>
        <w:ind w:left="5406" w:hanging="360"/>
      </w:pPr>
      <w:rPr>
        <w:rFonts w:ascii="Courier New" w:eastAsia="Courier New" w:hAnsi="Courier New" w:cs="Courier New"/>
      </w:rPr>
    </w:lvl>
    <w:lvl w:ilvl="8">
      <w:start w:val="1"/>
      <w:numFmt w:val="bullet"/>
      <w:lvlText w:val="▪"/>
      <w:lvlJc w:val="left"/>
      <w:pPr>
        <w:ind w:left="6126" w:hanging="360"/>
      </w:pPr>
      <w:rPr>
        <w:rFonts w:ascii="Noto Sans Symbols" w:eastAsia="Noto Sans Symbols" w:hAnsi="Noto Sans Symbols" w:cs="Noto Sans Symbols"/>
      </w:rPr>
    </w:lvl>
  </w:abstractNum>
  <w:abstractNum w:abstractNumId="25" w15:restartNumberingAfterBreak="0">
    <w:nsid w:val="4D697581"/>
    <w:multiLevelType w:val="multilevel"/>
    <w:tmpl w:val="3162E01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FBE5799"/>
    <w:multiLevelType w:val="multilevel"/>
    <w:tmpl w:val="8BA83AE4"/>
    <w:lvl w:ilvl="0">
      <w:start w:val="1"/>
      <w:numFmt w:val="bullet"/>
      <w:lvlText w:val=""/>
      <w:lvlJc w:val="left"/>
      <w:pPr>
        <w:ind w:left="720" w:hanging="360"/>
      </w:pPr>
      <w:rPr>
        <w:rFonts w:ascii="Wingdings 2" w:hAnsi="Wingdings 2" w:hint="default"/>
        <w:color w:val="2E74B5"/>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65E011A8"/>
    <w:multiLevelType w:val="multilevel"/>
    <w:tmpl w:val="261C47FE"/>
    <w:lvl w:ilvl="0">
      <w:start w:val="1"/>
      <w:numFmt w:val="decimal"/>
      <w:lvlText w:val="%1."/>
      <w:lvlJc w:val="left"/>
      <w:pPr>
        <w:ind w:left="360" w:hanging="360"/>
      </w:pPr>
      <w:rPr>
        <w:i w:val="0"/>
        <w:iCs w:val="0"/>
        <w:color w:val="FFFFFF"/>
      </w:rPr>
    </w:lvl>
    <w:lvl w:ilvl="1">
      <w:start w:val="1"/>
      <w:numFmt w:val="decimal"/>
      <w:lvlText w:val="%1.%2"/>
      <w:lvlJc w:val="left"/>
      <w:pPr>
        <w:ind w:left="1212" w:hanging="360"/>
      </w:pPr>
    </w:lvl>
    <w:lvl w:ilvl="2">
      <w:start w:val="1"/>
      <w:numFmt w:val="decimal"/>
      <w:lvlText w:val="%1.%2.%3"/>
      <w:lvlJc w:val="left"/>
      <w:pPr>
        <w:ind w:left="2424" w:hanging="720"/>
      </w:pPr>
    </w:lvl>
    <w:lvl w:ilvl="3">
      <w:start w:val="1"/>
      <w:numFmt w:val="decimal"/>
      <w:lvlText w:val="%1.%2.%3.%4"/>
      <w:lvlJc w:val="left"/>
      <w:pPr>
        <w:ind w:left="3276" w:hanging="720"/>
      </w:pPr>
    </w:lvl>
    <w:lvl w:ilvl="4">
      <w:start w:val="1"/>
      <w:numFmt w:val="decimal"/>
      <w:lvlText w:val="%1.%2.%3.%4.%5"/>
      <w:lvlJc w:val="left"/>
      <w:pPr>
        <w:ind w:left="4488" w:hanging="1080"/>
      </w:pPr>
    </w:lvl>
    <w:lvl w:ilvl="5">
      <w:start w:val="1"/>
      <w:numFmt w:val="decimal"/>
      <w:lvlText w:val="%1.%2.%3.%4.%5.%6"/>
      <w:lvlJc w:val="left"/>
      <w:pPr>
        <w:ind w:left="5340" w:hanging="1080"/>
      </w:pPr>
    </w:lvl>
    <w:lvl w:ilvl="6">
      <w:start w:val="1"/>
      <w:numFmt w:val="decimal"/>
      <w:lvlText w:val="%1.%2.%3.%4.%5.%6.%7"/>
      <w:lvlJc w:val="left"/>
      <w:pPr>
        <w:ind w:left="6552" w:hanging="1440"/>
      </w:pPr>
    </w:lvl>
    <w:lvl w:ilvl="7">
      <w:start w:val="1"/>
      <w:numFmt w:val="decimal"/>
      <w:lvlText w:val="%1.%2.%3.%4.%5.%6.%7.%8"/>
      <w:lvlJc w:val="left"/>
      <w:pPr>
        <w:ind w:left="7764" w:hanging="1800"/>
      </w:pPr>
    </w:lvl>
    <w:lvl w:ilvl="8">
      <w:start w:val="1"/>
      <w:numFmt w:val="decimal"/>
      <w:lvlText w:val="%1.%2.%3.%4.%5.%6.%7.%8.%9"/>
      <w:lvlJc w:val="left"/>
      <w:pPr>
        <w:ind w:left="8616" w:hanging="1800"/>
      </w:pPr>
    </w:lvl>
  </w:abstractNum>
  <w:abstractNum w:abstractNumId="28" w15:restartNumberingAfterBreak="0">
    <w:nsid w:val="6A70228D"/>
    <w:multiLevelType w:val="multilevel"/>
    <w:tmpl w:val="8A2666E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AB7331E"/>
    <w:multiLevelType w:val="multilevel"/>
    <w:tmpl w:val="74E61F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E865D34"/>
    <w:multiLevelType w:val="multilevel"/>
    <w:tmpl w:val="98EAEC7A"/>
    <w:lvl w:ilvl="0">
      <w:start w:val="1"/>
      <w:numFmt w:val="decimal"/>
      <w:lvlText w:val="%1."/>
      <w:lvlJc w:val="left"/>
      <w:pPr>
        <w:ind w:left="460" w:hanging="460"/>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31" w15:restartNumberingAfterBreak="0">
    <w:nsid w:val="6F0020B3"/>
    <w:multiLevelType w:val="multilevel"/>
    <w:tmpl w:val="394A41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3B82735"/>
    <w:multiLevelType w:val="multilevel"/>
    <w:tmpl w:val="8B94141A"/>
    <w:lvl w:ilvl="0">
      <w:start w:val="1"/>
      <w:numFmt w:val="decimal"/>
      <w:lvlText w:val="%1."/>
      <w:lvlJc w:val="left"/>
      <w:pPr>
        <w:ind w:left="0" w:firstLine="0"/>
      </w:pPr>
      <w:rPr>
        <w:b w:val="0"/>
        <w:bCs w:val="0"/>
        <w:i w:val="0"/>
        <w:iCs w:val="0"/>
        <w:smallCaps w:val="0"/>
        <w:strike w:val="0"/>
        <w:color w:val="000000"/>
        <w:u w:val="none"/>
        <w:vertAlign w:val="baseline"/>
      </w:rPr>
    </w:lvl>
    <w:lvl w:ilvl="1">
      <w:start w:val="1"/>
      <w:numFmt w:val="decimal"/>
      <w:lvlText w:val="%1.%2"/>
      <w:lvlJc w:val="left"/>
      <w:pPr>
        <w:ind w:left="705" w:hanging="705"/>
      </w:pPr>
    </w:lvl>
    <w:lvl w:ilvl="2">
      <w:start w:val="2"/>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15:restartNumberingAfterBreak="0">
    <w:nsid w:val="7DBB3B38"/>
    <w:multiLevelType w:val="multilevel"/>
    <w:tmpl w:val="35C8861E"/>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7F692767"/>
    <w:multiLevelType w:val="hybridMultilevel"/>
    <w:tmpl w:val="4774C124"/>
    <w:lvl w:ilvl="0" w:tplc="024A0D5A">
      <w:start w:val="1"/>
      <w:numFmt w:val="decimal"/>
      <w:pStyle w:val="pointscls1"/>
      <w:lvlText w:val="%1."/>
      <w:lvlJc w:val="left"/>
      <w:pPr>
        <w:ind w:left="502" w:hanging="360"/>
      </w:pPr>
    </w:lvl>
    <w:lvl w:ilvl="1" w:tplc="040C0019" w:tentative="1">
      <w:start w:val="1"/>
      <w:numFmt w:val="lowerLetter"/>
      <w:lvlText w:val="%2."/>
      <w:lvlJc w:val="left"/>
      <w:pPr>
        <w:ind w:left="1222" w:hanging="360"/>
      </w:pPr>
    </w:lvl>
    <w:lvl w:ilvl="2" w:tplc="040C001B" w:tentative="1">
      <w:start w:val="1"/>
      <w:numFmt w:val="lowerRoman"/>
      <w:lvlText w:val="%3."/>
      <w:lvlJc w:val="right"/>
      <w:pPr>
        <w:ind w:left="1942" w:hanging="180"/>
      </w:pPr>
    </w:lvl>
    <w:lvl w:ilvl="3" w:tplc="040C000F" w:tentative="1">
      <w:start w:val="1"/>
      <w:numFmt w:val="decimal"/>
      <w:lvlText w:val="%4."/>
      <w:lvlJc w:val="left"/>
      <w:pPr>
        <w:ind w:left="2662" w:hanging="360"/>
      </w:pPr>
    </w:lvl>
    <w:lvl w:ilvl="4" w:tplc="040C0019" w:tentative="1">
      <w:start w:val="1"/>
      <w:numFmt w:val="lowerLetter"/>
      <w:lvlText w:val="%5."/>
      <w:lvlJc w:val="left"/>
      <w:pPr>
        <w:ind w:left="3382" w:hanging="360"/>
      </w:pPr>
    </w:lvl>
    <w:lvl w:ilvl="5" w:tplc="040C001B" w:tentative="1">
      <w:start w:val="1"/>
      <w:numFmt w:val="lowerRoman"/>
      <w:lvlText w:val="%6."/>
      <w:lvlJc w:val="right"/>
      <w:pPr>
        <w:ind w:left="4102" w:hanging="180"/>
      </w:pPr>
    </w:lvl>
    <w:lvl w:ilvl="6" w:tplc="040C000F" w:tentative="1">
      <w:start w:val="1"/>
      <w:numFmt w:val="decimal"/>
      <w:lvlText w:val="%7."/>
      <w:lvlJc w:val="left"/>
      <w:pPr>
        <w:ind w:left="4822" w:hanging="360"/>
      </w:pPr>
    </w:lvl>
    <w:lvl w:ilvl="7" w:tplc="040C0019" w:tentative="1">
      <w:start w:val="1"/>
      <w:numFmt w:val="lowerLetter"/>
      <w:lvlText w:val="%8."/>
      <w:lvlJc w:val="left"/>
      <w:pPr>
        <w:ind w:left="5542" w:hanging="360"/>
      </w:pPr>
    </w:lvl>
    <w:lvl w:ilvl="8" w:tplc="040C001B" w:tentative="1">
      <w:start w:val="1"/>
      <w:numFmt w:val="lowerRoman"/>
      <w:lvlText w:val="%9."/>
      <w:lvlJc w:val="right"/>
      <w:pPr>
        <w:ind w:left="6262" w:hanging="180"/>
      </w:pPr>
    </w:lvl>
  </w:abstractNum>
  <w:num w:numId="1" w16cid:durableId="1976450999">
    <w:abstractNumId w:val="4"/>
  </w:num>
  <w:num w:numId="2" w16cid:durableId="1579822130">
    <w:abstractNumId w:val="15"/>
  </w:num>
  <w:num w:numId="3" w16cid:durableId="2103211215">
    <w:abstractNumId w:val="34"/>
  </w:num>
  <w:num w:numId="4" w16cid:durableId="762844049">
    <w:abstractNumId w:val="18"/>
  </w:num>
  <w:num w:numId="5" w16cid:durableId="1217400965">
    <w:abstractNumId w:val="0"/>
  </w:num>
  <w:num w:numId="6" w16cid:durableId="1334068415">
    <w:abstractNumId w:val="25"/>
  </w:num>
  <w:num w:numId="7" w16cid:durableId="672954356">
    <w:abstractNumId w:val="12"/>
  </w:num>
  <w:num w:numId="8" w16cid:durableId="238751747">
    <w:abstractNumId w:val="22"/>
  </w:num>
  <w:num w:numId="9" w16cid:durableId="110827615">
    <w:abstractNumId w:val="2"/>
  </w:num>
  <w:num w:numId="10" w16cid:durableId="1354111158">
    <w:abstractNumId w:val="3"/>
  </w:num>
  <w:num w:numId="11" w16cid:durableId="224338547">
    <w:abstractNumId w:val="6"/>
  </w:num>
  <w:num w:numId="12" w16cid:durableId="1084305143">
    <w:abstractNumId w:val="1"/>
  </w:num>
  <w:num w:numId="13" w16cid:durableId="1584727181">
    <w:abstractNumId w:val="7"/>
  </w:num>
  <w:num w:numId="14" w16cid:durableId="1372681312">
    <w:abstractNumId w:val="31"/>
  </w:num>
  <w:num w:numId="15" w16cid:durableId="1995261570">
    <w:abstractNumId w:val="13"/>
  </w:num>
  <w:num w:numId="16" w16cid:durableId="769817960">
    <w:abstractNumId w:val="19"/>
  </w:num>
  <w:num w:numId="17" w16cid:durableId="876509196">
    <w:abstractNumId w:val="10"/>
  </w:num>
  <w:num w:numId="18" w16cid:durableId="662272799">
    <w:abstractNumId w:val="26"/>
  </w:num>
  <w:num w:numId="19" w16cid:durableId="7753594">
    <w:abstractNumId w:val="15"/>
    <w:lvlOverride w:ilvl="0">
      <w:startOverride w:val="1"/>
    </w:lvlOverride>
  </w:num>
  <w:num w:numId="20" w16cid:durableId="933823146">
    <w:abstractNumId w:val="17"/>
  </w:num>
  <w:num w:numId="21" w16cid:durableId="1291127398">
    <w:abstractNumId w:val="32"/>
  </w:num>
  <w:num w:numId="22" w16cid:durableId="2026397530">
    <w:abstractNumId w:val="34"/>
    <w:lvlOverride w:ilvl="0">
      <w:startOverride w:val="1"/>
    </w:lvlOverride>
  </w:num>
  <w:num w:numId="23" w16cid:durableId="1612470310">
    <w:abstractNumId w:val="20"/>
  </w:num>
  <w:num w:numId="24" w16cid:durableId="24600720">
    <w:abstractNumId w:val="9"/>
  </w:num>
  <w:num w:numId="25" w16cid:durableId="1138035652">
    <w:abstractNumId w:val="29"/>
  </w:num>
  <w:num w:numId="26" w16cid:durableId="1757627740">
    <w:abstractNumId w:val="11"/>
  </w:num>
  <w:num w:numId="27" w16cid:durableId="1589147741">
    <w:abstractNumId w:val="8"/>
  </w:num>
  <w:num w:numId="28" w16cid:durableId="1188249060">
    <w:abstractNumId w:val="14"/>
  </w:num>
  <w:num w:numId="29" w16cid:durableId="1767336307">
    <w:abstractNumId w:val="16"/>
  </w:num>
  <w:num w:numId="30" w16cid:durableId="235094590">
    <w:abstractNumId w:val="21"/>
  </w:num>
  <w:num w:numId="31" w16cid:durableId="979191186">
    <w:abstractNumId w:val="5"/>
  </w:num>
  <w:num w:numId="32" w16cid:durableId="2027948823">
    <w:abstractNumId w:val="24"/>
  </w:num>
  <w:num w:numId="33" w16cid:durableId="560167315">
    <w:abstractNumId w:val="27"/>
  </w:num>
  <w:num w:numId="34" w16cid:durableId="761296288">
    <w:abstractNumId w:val="33"/>
  </w:num>
  <w:num w:numId="35" w16cid:durableId="1080055453">
    <w:abstractNumId w:val="23"/>
  </w:num>
  <w:num w:numId="36" w16cid:durableId="231501812">
    <w:abstractNumId w:val="28"/>
  </w:num>
  <w:num w:numId="37" w16cid:durableId="1154176898">
    <w:abstractNumId w:val="30"/>
  </w:num>
  <w:numIdMacAtCleanup w:val="1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15:person w15:author="jesus Gonzalez">
    <w15:presenceInfo w15:providerId="Windows Live" w15:userId="cb719cc4d3bd8ea3"/>
  </w15:person>
</w15:peopl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EF8"/>
    <w:rsid w:val="00083536"/>
    <w:rsid w:val="000B56A5"/>
    <w:rsid w:val="000E568F"/>
    <w:rsid w:val="0010133D"/>
    <w:rsid w:val="0010541F"/>
    <w:rsid w:val="00114750"/>
    <w:rsid w:val="001C54DE"/>
    <w:rsid w:val="001D386C"/>
    <w:rsid w:val="00236555"/>
    <w:rsid w:val="002C5A5E"/>
    <w:rsid w:val="002C7C57"/>
    <w:rsid w:val="002E03D6"/>
    <w:rsid w:val="00306201"/>
    <w:rsid w:val="00362251"/>
    <w:rsid w:val="00375B9C"/>
    <w:rsid w:val="003C3137"/>
    <w:rsid w:val="003D376E"/>
    <w:rsid w:val="003E5332"/>
    <w:rsid w:val="00447337"/>
    <w:rsid w:val="00454A58"/>
    <w:rsid w:val="00475741"/>
    <w:rsid w:val="004B3B0C"/>
    <w:rsid w:val="004D552E"/>
    <w:rsid w:val="004E371F"/>
    <w:rsid w:val="005645B3"/>
    <w:rsid w:val="005B6A3A"/>
    <w:rsid w:val="005F05D0"/>
    <w:rsid w:val="00614CBE"/>
    <w:rsid w:val="00665E5D"/>
    <w:rsid w:val="00696E6A"/>
    <w:rsid w:val="00711BBF"/>
    <w:rsid w:val="00717C5F"/>
    <w:rsid w:val="00776EA2"/>
    <w:rsid w:val="007F6BF8"/>
    <w:rsid w:val="00822CB5"/>
    <w:rsid w:val="0082796C"/>
    <w:rsid w:val="0087650C"/>
    <w:rsid w:val="00876EF8"/>
    <w:rsid w:val="0088205E"/>
    <w:rsid w:val="00895A52"/>
    <w:rsid w:val="00896114"/>
    <w:rsid w:val="0089667B"/>
    <w:rsid w:val="008B41F0"/>
    <w:rsid w:val="008D0B6D"/>
    <w:rsid w:val="008D7B43"/>
    <w:rsid w:val="00907A92"/>
    <w:rsid w:val="00930986"/>
    <w:rsid w:val="00995C77"/>
    <w:rsid w:val="009C5EA7"/>
    <w:rsid w:val="00A54E85"/>
    <w:rsid w:val="00A65C23"/>
    <w:rsid w:val="00AC56AB"/>
    <w:rsid w:val="00AD3F49"/>
    <w:rsid w:val="00AF2941"/>
    <w:rsid w:val="00B33C89"/>
    <w:rsid w:val="00B54AEF"/>
    <w:rsid w:val="00B63810"/>
    <w:rsid w:val="00BC1F3F"/>
    <w:rsid w:val="00BC5580"/>
    <w:rsid w:val="00BE1ECC"/>
    <w:rsid w:val="00C2589B"/>
    <w:rsid w:val="00C50BA0"/>
    <w:rsid w:val="00C65E3C"/>
    <w:rsid w:val="00CC4FD4"/>
    <w:rsid w:val="00D12181"/>
    <w:rsid w:val="00D20C82"/>
    <w:rsid w:val="00D4011F"/>
    <w:rsid w:val="00D55DF5"/>
    <w:rsid w:val="00E22E24"/>
    <w:rsid w:val="00E24639"/>
    <w:rsid w:val="00E420F7"/>
    <w:rsid w:val="00E54D0A"/>
    <w:rsid w:val="00E84981"/>
    <w:rsid w:val="00EC1890"/>
    <w:rsid w:val="00ED0F5F"/>
    <w:rsid w:val="00EE0D03"/>
    <w:rsid w:val="00F03B9C"/>
    <w:rsid w:val="00F75368"/>
    <w:rsid w:val="00F90151"/>
    <w:rsid w:val="00FB180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BE76B"/>
  <w15:chartTrackingRefBased/>
  <w15:docId w15:val="{1CB5EAEC-F4F2-4F7A-BEB3-CC8F856C6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Theme="minorHAnsi" w:hAnsi="Calibri" w:cs="Calibri"/>
        <w:kern w:val="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251"/>
    <w:pPr>
      <w:spacing w:after="0"/>
      <w:jc w:val="both"/>
    </w:pPr>
    <w:rPr>
      <w:rFonts w:ascii="Trebuchet MS" w:eastAsia="Trebuchet MS" w:hAnsi="Trebuchet MS" w:cs="Trebuchet MS"/>
      <w:color w:val="000000"/>
      <w:kern w:val="0"/>
      <w:szCs w:val="20"/>
      <w:lang w:val="fr" w:eastAsia="fr-FR"/>
      <w14:ligatures w14:val="none"/>
    </w:rPr>
  </w:style>
  <w:style w:type="paragraph" w:styleId="Titre1">
    <w:name w:val="heading 1"/>
    <w:basedOn w:val="Normal"/>
    <w:next w:val="Normal"/>
    <w:link w:val="Titre1Car"/>
    <w:uiPriority w:val="9"/>
    <w:qFormat/>
    <w:rsid w:val="00E84981"/>
    <w:pPr>
      <w:jc w:val="center"/>
      <w:outlineLvl w:val="0"/>
    </w:pPr>
    <w:rPr>
      <w:b/>
      <w:bCs/>
      <w:color w:val="2E74B5"/>
      <w:sz w:val="44"/>
      <w:szCs w:val="44"/>
    </w:rPr>
  </w:style>
  <w:style w:type="paragraph" w:styleId="Titre2">
    <w:name w:val="heading 2"/>
    <w:basedOn w:val="1titre"/>
    <w:next w:val="Normal"/>
    <w:link w:val="Titre2Car"/>
    <w:uiPriority w:val="9"/>
    <w:unhideWhenUsed/>
    <w:qFormat/>
    <w:rsid w:val="00EE0D03"/>
    <w:pPr>
      <w:outlineLvl w:val="1"/>
    </w:pPr>
  </w:style>
  <w:style w:type="paragraph" w:styleId="Titre3">
    <w:name w:val="heading 3"/>
    <w:basedOn w:val="11titre"/>
    <w:next w:val="Normal"/>
    <w:link w:val="Titre3Car"/>
    <w:uiPriority w:val="9"/>
    <w:unhideWhenUsed/>
    <w:qFormat/>
    <w:rsid w:val="00D4011F"/>
    <w:pPr>
      <w:numPr>
        <w:ilvl w:val="1"/>
        <w:numId w:val="1"/>
      </w:numPr>
      <w:ind w:left="851" w:hanging="491"/>
      <w:outlineLvl w:val="2"/>
    </w:pPr>
  </w:style>
  <w:style w:type="paragraph" w:styleId="Titre4">
    <w:name w:val="heading 4"/>
    <w:basedOn w:val="Paragraphedeliste"/>
    <w:next w:val="Normal"/>
    <w:link w:val="Titre4Car"/>
    <w:uiPriority w:val="9"/>
    <w:unhideWhenUsed/>
    <w:qFormat/>
    <w:rsid w:val="000B56A5"/>
    <w:pPr>
      <w:numPr>
        <w:ilvl w:val="2"/>
        <w:numId w:val="4"/>
      </w:numPr>
      <w:pBdr>
        <w:top w:val="nil"/>
        <w:left w:val="nil"/>
        <w:bottom w:val="nil"/>
        <w:right w:val="nil"/>
        <w:between w:val="nil"/>
      </w:pBdr>
      <w:spacing w:after="240"/>
      <w:outlineLvl w:val="3"/>
    </w:pPr>
    <w:rPr>
      <w:b/>
      <w:bCs/>
    </w:rPr>
  </w:style>
  <w:style w:type="paragraph" w:styleId="Titre5">
    <w:name w:val="heading 5"/>
    <w:basedOn w:val="Titre4"/>
    <w:next w:val="Normal"/>
    <w:link w:val="Titre5Car"/>
    <w:uiPriority w:val="9"/>
    <w:unhideWhenUsed/>
    <w:qFormat/>
    <w:rsid w:val="00AD3F49"/>
    <w:pPr>
      <w:numPr>
        <w:ilvl w:val="3"/>
      </w:numPr>
      <w:ind w:left="1985" w:hanging="905"/>
      <w:outlineLvl w:val="4"/>
    </w:pPr>
  </w:style>
  <w:style w:type="paragraph" w:styleId="Titre6">
    <w:name w:val="heading 6"/>
    <w:basedOn w:val="Normal"/>
    <w:next w:val="Normal"/>
    <w:link w:val="Titre6Car"/>
    <w:uiPriority w:val="9"/>
    <w:semiHidden/>
    <w:unhideWhenUsed/>
    <w:qFormat/>
    <w:rsid w:val="00876EF8"/>
    <w:pPr>
      <w:keepNext/>
      <w:keepLines/>
      <w:spacing w:before="40"/>
      <w:outlineLvl w:val="5"/>
    </w:pPr>
    <w:rPr>
      <w:rFonts w:asciiTheme="minorHAnsi" w:eastAsiaTheme="majorEastAsia" w:hAnsiTheme="minorHAnsi" w:cstheme="majorBidi"/>
      <w:i/>
      <w:iCs/>
      <w:color w:val="595959" w:themeColor="text1" w:themeTint="A6"/>
    </w:rPr>
  </w:style>
  <w:style w:type="paragraph" w:styleId="Titre7">
    <w:name w:val="heading 7"/>
    <w:basedOn w:val="Normal"/>
    <w:next w:val="Normal"/>
    <w:link w:val="Titre7Car"/>
    <w:uiPriority w:val="9"/>
    <w:semiHidden/>
    <w:unhideWhenUsed/>
    <w:qFormat/>
    <w:rsid w:val="00876EF8"/>
    <w:pPr>
      <w:keepNext/>
      <w:keepLines/>
      <w:spacing w:before="40"/>
      <w:outlineLvl w:val="6"/>
    </w:pPr>
    <w:rPr>
      <w:rFonts w:asciiTheme="minorHAnsi" w:eastAsiaTheme="majorEastAsia" w:hAnsiTheme="minorHAnsi" w:cstheme="majorBidi"/>
      <w:color w:val="595959" w:themeColor="text1" w:themeTint="A6"/>
    </w:rPr>
  </w:style>
  <w:style w:type="paragraph" w:styleId="Titre8">
    <w:name w:val="heading 8"/>
    <w:basedOn w:val="Normal"/>
    <w:next w:val="Normal"/>
    <w:link w:val="Titre8Car"/>
    <w:uiPriority w:val="9"/>
    <w:semiHidden/>
    <w:unhideWhenUsed/>
    <w:qFormat/>
    <w:rsid w:val="00876EF8"/>
    <w:pPr>
      <w:keepNext/>
      <w:keepLines/>
      <w:outlineLvl w:val="7"/>
    </w:pPr>
    <w:rPr>
      <w:rFonts w:asciiTheme="minorHAnsi" w:eastAsiaTheme="majorEastAsia" w:hAnsiTheme="minorHAnsi" w:cstheme="majorBidi"/>
      <w:i/>
      <w:iCs/>
      <w:color w:val="272727" w:themeColor="text1" w:themeTint="D8"/>
    </w:rPr>
  </w:style>
  <w:style w:type="paragraph" w:styleId="Titre9">
    <w:name w:val="heading 9"/>
    <w:basedOn w:val="Normal"/>
    <w:next w:val="Normal"/>
    <w:link w:val="Titre9Car"/>
    <w:uiPriority w:val="9"/>
    <w:semiHidden/>
    <w:unhideWhenUsed/>
    <w:qFormat/>
    <w:rsid w:val="00876EF8"/>
    <w:pPr>
      <w:keepNext/>
      <w:keepLines/>
      <w:outlineLvl w:val="8"/>
    </w:pPr>
    <w:rPr>
      <w:rFonts w:asciiTheme="minorHAnsi" w:eastAsiaTheme="majorEastAsia" w:hAnsiTheme="minorHAnsi"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84981"/>
    <w:rPr>
      <w:rFonts w:ascii="Trebuchet MS" w:eastAsia="Trebuchet MS" w:hAnsi="Trebuchet MS" w:cs="Trebuchet MS"/>
      <w:b/>
      <w:bCs/>
      <w:color w:val="2E74B5"/>
      <w:kern w:val="0"/>
      <w:sz w:val="44"/>
      <w:szCs w:val="44"/>
      <w:lang w:val="fr" w:eastAsia="fr-FR"/>
      <w14:ligatures w14:val="none"/>
    </w:rPr>
  </w:style>
  <w:style w:type="character" w:customStyle="1" w:styleId="Titre2Car">
    <w:name w:val="Titre 2 Car"/>
    <w:basedOn w:val="Policepardfaut"/>
    <w:link w:val="Titre2"/>
    <w:uiPriority w:val="9"/>
    <w:rsid w:val="00EE0D03"/>
    <w:rPr>
      <w:rFonts w:ascii="Trebuchet MS" w:eastAsia="Trebuchet MS" w:hAnsi="Trebuchet MS" w:cs="Trebuchet MS"/>
      <w:b/>
      <w:bCs/>
      <w:color w:val="000000"/>
      <w:kern w:val="0"/>
      <w:szCs w:val="20"/>
      <w:lang w:val="fr" w:eastAsia="fr-FR"/>
      <w14:ligatures w14:val="none"/>
    </w:rPr>
  </w:style>
  <w:style w:type="character" w:customStyle="1" w:styleId="Titre3Car">
    <w:name w:val="Titre 3 Car"/>
    <w:basedOn w:val="Policepardfaut"/>
    <w:link w:val="Titre3"/>
    <w:uiPriority w:val="9"/>
    <w:rsid w:val="00D4011F"/>
    <w:rPr>
      <w:rFonts w:ascii="Trebuchet MS" w:eastAsia="Trebuchet MS" w:hAnsi="Trebuchet MS" w:cs="Trebuchet MS"/>
      <w:b/>
      <w:bCs/>
      <w:color w:val="000000"/>
      <w:kern w:val="0"/>
      <w:szCs w:val="20"/>
      <w:lang w:val="fr" w:eastAsia="fr-FR"/>
      <w14:ligatures w14:val="none"/>
    </w:rPr>
  </w:style>
  <w:style w:type="character" w:customStyle="1" w:styleId="Titre4Car">
    <w:name w:val="Titre 4 Car"/>
    <w:basedOn w:val="Policepardfaut"/>
    <w:link w:val="Titre4"/>
    <w:uiPriority w:val="9"/>
    <w:rsid w:val="000B56A5"/>
    <w:rPr>
      <w:rFonts w:ascii="Trebuchet MS" w:eastAsia="Trebuchet MS" w:hAnsi="Trebuchet MS" w:cs="Trebuchet MS"/>
      <w:b/>
      <w:bCs/>
      <w:color w:val="000000"/>
      <w:kern w:val="0"/>
      <w:szCs w:val="20"/>
      <w:lang w:val="fr" w:eastAsia="fr-FR"/>
      <w14:ligatures w14:val="none"/>
    </w:rPr>
  </w:style>
  <w:style w:type="character" w:customStyle="1" w:styleId="Titre5Car">
    <w:name w:val="Titre 5 Car"/>
    <w:basedOn w:val="Policepardfaut"/>
    <w:link w:val="Titre5"/>
    <w:uiPriority w:val="9"/>
    <w:rsid w:val="00AD3F49"/>
    <w:rPr>
      <w:rFonts w:ascii="Trebuchet MS" w:eastAsia="Trebuchet MS" w:hAnsi="Trebuchet MS" w:cs="Trebuchet MS"/>
      <w:b/>
      <w:bCs/>
      <w:color w:val="000000"/>
      <w:kern w:val="0"/>
      <w:szCs w:val="20"/>
      <w:lang w:val="fr" w:eastAsia="fr-FR"/>
      <w14:ligatures w14:val="none"/>
    </w:rPr>
  </w:style>
  <w:style w:type="character" w:customStyle="1" w:styleId="Titre6Car">
    <w:name w:val="Titre 6 Car"/>
    <w:basedOn w:val="Policepardfaut"/>
    <w:link w:val="Titre6"/>
    <w:uiPriority w:val="9"/>
    <w:semiHidden/>
    <w:rsid w:val="00876EF8"/>
    <w:rPr>
      <w:rFonts w:asciiTheme="minorHAnsi" w:eastAsiaTheme="majorEastAsia" w:hAnsiTheme="minorHAnsi" w:cstheme="majorBidi"/>
      <w:i/>
      <w:iCs/>
      <w:color w:val="595959" w:themeColor="text1" w:themeTint="A6"/>
    </w:rPr>
  </w:style>
  <w:style w:type="character" w:customStyle="1" w:styleId="Titre7Car">
    <w:name w:val="Titre 7 Car"/>
    <w:basedOn w:val="Policepardfaut"/>
    <w:link w:val="Titre7"/>
    <w:uiPriority w:val="9"/>
    <w:semiHidden/>
    <w:rsid w:val="00876EF8"/>
    <w:rPr>
      <w:rFonts w:asciiTheme="minorHAnsi" w:eastAsiaTheme="majorEastAsia" w:hAnsiTheme="minorHAnsi" w:cstheme="majorBidi"/>
      <w:color w:val="595959" w:themeColor="text1" w:themeTint="A6"/>
    </w:rPr>
  </w:style>
  <w:style w:type="character" w:customStyle="1" w:styleId="Titre8Car">
    <w:name w:val="Titre 8 Car"/>
    <w:basedOn w:val="Policepardfaut"/>
    <w:link w:val="Titre8"/>
    <w:uiPriority w:val="9"/>
    <w:semiHidden/>
    <w:rsid w:val="00876EF8"/>
    <w:rPr>
      <w:rFonts w:asciiTheme="minorHAnsi" w:eastAsiaTheme="majorEastAsia" w:hAnsiTheme="minorHAnsi" w:cstheme="majorBidi"/>
      <w:i/>
      <w:iCs/>
      <w:color w:val="272727" w:themeColor="text1" w:themeTint="D8"/>
    </w:rPr>
  </w:style>
  <w:style w:type="character" w:customStyle="1" w:styleId="Titre9Car">
    <w:name w:val="Titre 9 Car"/>
    <w:basedOn w:val="Policepardfaut"/>
    <w:link w:val="Titre9"/>
    <w:uiPriority w:val="9"/>
    <w:semiHidden/>
    <w:rsid w:val="00876EF8"/>
    <w:rPr>
      <w:rFonts w:asciiTheme="minorHAnsi" w:eastAsiaTheme="majorEastAsia" w:hAnsiTheme="minorHAnsi" w:cstheme="majorBidi"/>
      <w:color w:val="272727" w:themeColor="text1" w:themeTint="D8"/>
    </w:rPr>
  </w:style>
  <w:style w:type="paragraph" w:styleId="Titre">
    <w:name w:val="Title"/>
    <w:basedOn w:val="Normal"/>
    <w:next w:val="Normal"/>
    <w:link w:val="TitreCar"/>
    <w:uiPriority w:val="10"/>
    <w:qFormat/>
    <w:rsid w:val="00876E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76EF8"/>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76EF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76EF8"/>
    <w:rPr>
      <w:rFonts w:asciiTheme="minorHAnsi" w:eastAsiaTheme="majorEastAsia" w:hAnsiTheme="minorHAnsi" w:cstheme="majorBidi"/>
      <w:color w:val="595959" w:themeColor="text1" w:themeTint="A6"/>
      <w:spacing w:val="15"/>
      <w:sz w:val="28"/>
      <w:szCs w:val="28"/>
    </w:rPr>
  </w:style>
  <w:style w:type="paragraph" w:styleId="Citation">
    <w:name w:val="Quote"/>
    <w:basedOn w:val="Normal"/>
    <w:next w:val="Normal"/>
    <w:link w:val="CitationCar"/>
    <w:uiPriority w:val="29"/>
    <w:qFormat/>
    <w:rsid w:val="00876EF8"/>
    <w:pPr>
      <w:spacing w:before="160"/>
      <w:jc w:val="center"/>
    </w:pPr>
    <w:rPr>
      <w:i/>
      <w:iCs/>
      <w:color w:val="404040" w:themeColor="text1" w:themeTint="BF"/>
    </w:rPr>
  </w:style>
  <w:style w:type="character" w:customStyle="1" w:styleId="CitationCar">
    <w:name w:val="Citation Car"/>
    <w:basedOn w:val="Policepardfaut"/>
    <w:link w:val="Citation"/>
    <w:uiPriority w:val="29"/>
    <w:rsid w:val="00876EF8"/>
    <w:rPr>
      <w:i/>
      <w:iCs/>
      <w:color w:val="404040" w:themeColor="text1" w:themeTint="BF"/>
    </w:rPr>
  </w:style>
  <w:style w:type="paragraph" w:styleId="Paragraphedeliste">
    <w:name w:val="List Paragraph"/>
    <w:basedOn w:val="Normal"/>
    <w:link w:val="ParagraphedelisteCar"/>
    <w:uiPriority w:val="34"/>
    <w:qFormat/>
    <w:rsid w:val="00876EF8"/>
    <w:pPr>
      <w:ind w:left="720"/>
      <w:contextualSpacing/>
    </w:pPr>
  </w:style>
  <w:style w:type="character" w:styleId="Accentuationintense">
    <w:name w:val="Intense Emphasis"/>
    <w:basedOn w:val="Policepardfaut"/>
    <w:uiPriority w:val="21"/>
    <w:qFormat/>
    <w:rsid w:val="00876EF8"/>
    <w:rPr>
      <w:i/>
      <w:iCs/>
      <w:color w:val="0F4761" w:themeColor="accent1" w:themeShade="BF"/>
    </w:rPr>
  </w:style>
  <w:style w:type="paragraph" w:styleId="Citationintense">
    <w:name w:val="Intense Quote"/>
    <w:basedOn w:val="Normal"/>
    <w:next w:val="Normal"/>
    <w:link w:val="CitationintenseCar"/>
    <w:uiPriority w:val="30"/>
    <w:qFormat/>
    <w:rsid w:val="00876E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876EF8"/>
    <w:rPr>
      <w:i/>
      <w:iCs/>
      <w:color w:val="0F4761" w:themeColor="accent1" w:themeShade="BF"/>
    </w:rPr>
  </w:style>
  <w:style w:type="character" w:styleId="Rfrenceintense">
    <w:name w:val="Intense Reference"/>
    <w:basedOn w:val="Policepardfaut"/>
    <w:uiPriority w:val="32"/>
    <w:qFormat/>
    <w:rsid w:val="00876EF8"/>
    <w:rPr>
      <w:b/>
      <w:bCs/>
      <w:smallCaps/>
      <w:color w:val="0F4761" w:themeColor="accent1" w:themeShade="BF"/>
      <w:spacing w:val="5"/>
    </w:rPr>
  </w:style>
  <w:style w:type="paragraph" w:customStyle="1" w:styleId="Pointscls">
    <w:name w:val="Points clés"/>
    <w:basedOn w:val="Normal"/>
    <w:link w:val="PointsclsCar"/>
    <w:qFormat/>
    <w:rsid w:val="00876EF8"/>
    <w:pPr>
      <w:pBdr>
        <w:top w:val="nil"/>
        <w:left w:val="nil"/>
        <w:bottom w:val="nil"/>
        <w:right w:val="nil"/>
        <w:between w:val="nil"/>
      </w:pBdr>
      <w:shd w:val="clear" w:color="auto" w:fill="2E74B5"/>
      <w:spacing w:line="240" w:lineRule="auto"/>
    </w:pPr>
    <w:rPr>
      <w:b/>
      <w:bCs/>
      <w:color w:val="FFFFFF"/>
      <w:sz w:val="22"/>
      <w:szCs w:val="22"/>
    </w:rPr>
  </w:style>
  <w:style w:type="character" w:customStyle="1" w:styleId="PointsclsCar">
    <w:name w:val="Points clés Car"/>
    <w:basedOn w:val="Policepardfaut"/>
    <w:link w:val="Pointscls"/>
    <w:rsid w:val="00876EF8"/>
    <w:rPr>
      <w:rFonts w:ascii="Trebuchet MS" w:eastAsia="Trebuchet MS" w:hAnsi="Trebuchet MS" w:cs="Trebuchet MS"/>
      <w:b/>
      <w:bCs/>
      <w:color w:val="FFFFFF"/>
      <w:kern w:val="0"/>
      <w:sz w:val="22"/>
      <w:shd w:val="clear" w:color="auto" w:fill="2E74B5"/>
      <w:lang w:val="fr" w:eastAsia="fr-FR"/>
      <w14:ligatures w14:val="none"/>
    </w:rPr>
  </w:style>
  <w:style w:type="paragraph" w:customStyle="1" w:styleId="pointscls1">
    <w:name w:val="points clés 1"/>
    <w:basedOn w:val="Normal"/>
    <w:link w:val="pointscls1Car"/>
    <w:qFormat/>
    <w:rsid w:val="00D20C82"/>
    <w:pPr>
      <w:numPr>
        <w:numId w:val="3"/>
      </w:numPr>
      <w:pBdr>
        <w:top w:val="single" w:sz="4" w:space="1" w:color="747474" w:themeColor="background2" w:themeShade="80"/>
        <w:left w:val="single" w:sz="4" w:space="4" w:color="747474" w:themeColor="background2" w:themeShade="80"/>
        <w:bottom w:val="single" w:sz="4" w:space="0" w:color="747474" w:themeColor="background2" w:themeShade="80"/>
        <w:right w:val="single" w:sz="4" w:space="4" w:color="747474" w:themeColor="background2" w:themeShade="80"/>
      </w:pBdr>
      <w:spacing w:before="40" w:line="276" w:lineRule="auto"/>
      <w:ind w:left="426" w:right="141" w:hanging="284"/>
    </w:pPr>
    <w:rPr>
      <w:sz w:val="18"/>
      <w:szCs w:val="18"/>
    </w:rPr>
  </w:style>
  <w:style w:type="character" w:customStyle="1" w:styleId="pointscls1Car">
    <w:name w:val="points clés 1 Car"/>
    <w:basedOn w:val="Policepardfaut"/>
    <w:link w:val="pointscls1"/>
    <w:rsid w:val="00D20C82"/>
    <w:rPr>
      <w:rFonts w:ascii="Trebuchet MS" w:eastAsia="Trebuchet MS" w:hAnsi="Trebuchet MS" w:cs="Trebuchet MS"/>
      <w:color w:val="000000"/>
      <w:kern w:val="0"/>
      <w:sz w:val="18"/>
      <w:szCs w:val="18"/>
      <w:lang w:val="fr" w:eastAsia="fr-FR"/>
      <w14:ligatures w14:val="none"/>
    </w:rPr>
  </w:style>
  <w:style w:type="paragraph" w:customStyle="1" w:styleId="titredepartie">
    <w:name w:val="titre de partie"/>
    <w:basedOn w:val="Normal"/>
    <w:link w:val="titredepartieCar"/>
    <w:qFormat/>
    <w:rsid w:val="005645B3"/>
    <w:pPr>
      <w:pBdr>
        <w:top w:val="nil"/>
        <w:left w:val="nil"/>
        <w:bottom w:val="nil"/>
        <w:right w:val="nil"/>
        <w:between w:val="nil"/>
      </w:pBdr>
      <w:shd w:val="clear" w:color="auto" w:fill="2E74B5"/>
      <w:spacing w:after="240" w:line="240" w:lineRule="auto"/>
    </w:pPr>
    <w:rPr>
      <w:b/>
      <w:bCs/>
      <w:caps/>
      <w:color w:val="FFFFFF"/>
      <w:sz w:val="24"/>
      <w:szCs w:val="24"/>
    </w:rPr>
  </w:style>
  <w:style w:type="character" w:customStyle="1" w:styleId="titredepartieCar">
    <w:name w:val="titre de partie Car"/>
    <w:basedOn w:val="Policepardfaut"/>
    <w:link w:val="titredepartie"/>
    <w:rsid w:val="005645B3"/>
    <w:rPr>
      <w:rFonts w:ascii="Trebuchet MS" w:eastAsia="Trebuchet MS" w:hAnsi="Trebuchet MS" w:cs="Trebuchet MS"/>
      <w:b/>
      <w:bCs/>
      <w:caps/>
      <w:color w:val="FFFFFF"/>
      <w:kern w:val="0"/>
      <w:sz w:val="24"/>
      <w:szCs w:val="24"/>
      <w:shd w:val="clear" w:color="auto" w:fill="2E74B5"/>
      <w:lang w:val="fr" w:eastAsia="fr-FR"/>
      <w14:ligatures w14:val="none"/>
    </w:rPr>
  </w:style>
  <w:style w:type="paragraph" w:customStyle="1" w:styleId="titredesous-partie">
    <w:name w:val="titre de sous-partie"/>
    <w:basedOn w:val="Normal"/>
    <w:link w:val="titredesous-partieCar"/>
    <w:qFormat/>
    <w:rsid w:val="005645B3"/>
    <w:pPr>
      <w:pBdr>
        <w:top w:val="nil"/>
        <w:left w:val="nil"/>
        <w:bottom w:val="nil"/>
        <w:right w:val="nil"/>
        <w:between w:val="nil"/>
      </w:pBdr>
      <w:shd w:val="clear" w:color="auto" w:fill="5C9CD6"/>
      <w:spacing w:after="240" w:line="240" w:lineRule="auto"/>
      <w:ind w:left="142"/>
    </w:pPr>
    <w:rPr>
      <w:b/>
      <w:bCs/>
      <w:caps/>
      <w:color w:val="FFFFFF"/>
      <w:sz w:val="24"/>
      <w:szCs w:val="24"/>
      <w:shd w:val="clear" w:color="auto" w:fill="5C9CD6"/>
    </w:rPr>
  </w:style>
  <w:style w:type="character" w:customStyle="1" w:styleId="titredesous-partieCar">
    <w:name w:val="titre de sous-partie Car"/>
    <w:basedOn w:val="Policepardfaut"/>
    <w:link w:val="titredesous-partie"/>
    <w:rsid w:val="005645B3"/>
    <w:rPr>
      <w:rFonts w:ascii="Trebuchet MS" w:eastAsia="Trebuchet MS" w:hAnsi="Trebuchet MS" w:cs="Trebuchet MS"/>
      <w:b/>
      <w:bCs/>
      <w:caps/>
      <w:color w:val="FFFFFF"/>
      <w:kern w:val="0"/>
      <w:sz w:val="24"/>
      <w:szCs w:val="24"/>
      <w:shd w:val="clear" w:color="auto" w:fill="5C9CD6"/>
      <w:lang w:val="fr" w:eastAsia="fr-FR"/>
      <w14:ligatures w14:val="none"/>
    </w:rPr>
  </w:style>
  <w:style w:type="character" w:styleId="Marquedecommentaire">
    <w:name w:val="annotation reference"/>
    <w:basedOn w:val="Policepardfaut"/>
    <w:uiPriority w:val="99"/>
    <w:semiHidden/>
    <w:unhideWhenUsed/>
    <w:rsid w:val="00876EF8"/>
    <w:rPr>
      <w:sz w:val="16"/>
      <w:szCs w:val="16"/>
    </w:rPr>
  </w:style>
  <w:style w:type="paragraph" w:customStyle="1" w:styleId="1titre">
    <w:name w:val="1. titre"/>
    <w:basedOn w:val="Paragraphedeliste"/>
    <w:link w:val="1titreCar"/>
    <w:rsid w:val="00F90151"/>
    <w:pPr>
      <w:numPr>
        <w:numId w:val="2"/>
      </w:numPr>
      <w:spacing w:after="240"/>
    </w:pPr>
    <w:rPr>
      <w:b/>
      <w:bCs/>
    </w:rPr>
  </w:style>
  <w:style w:type="character" w:customStyle="1" w:styleId="ParagraphedelisteCar">
    <w:name w:val="Paragraphe de liste Car"/>
    <w:basedOn w:val="Policepardfaut"/>
    <w:link w:val="Paragraphedeliste"/>
    <w:uiPriority w:val="34"/>
    <w:rsid w:val="00362251"/>
    <w:rPr>
      <w:rFonts w:ascii="Trebuchet MS" w:eastAsia="Trebuchet MS" w:hAnsi="Trebuchet MS" w:cs="Trebuchet MS"/>
      <w:color w:val="000000"/>
      <w:kern w:val="0"/>
      <w:szCs w:val="20"/>
      <w:lang w:val="fr" w:eastAsia="fr-FR"/>
      <w14:ligatures w14:val="none"/>
    </w:rPr>
  </w:style>
  <w:style w:type="character" w:customStyle="1" w:styleId="1titreCar">
    <w:name w:val="1. titre Car"/>
    <w:basedOn w:val="ParagraphedelisteCar"/>
    <w:link w:val="1titre"/>
    <w:rsid w:val="00F90151"/>
    <w:rPr>
      <w:rFonts w:ascii="Trebuchet MS" w:eastAsia="Trebuchet MS" w:hAnsi="Trebuchet MS" w:cs="Trebuchet MS"/>
      <w:b/>
      <w:bCs/>
      <w:color w:val="000000"/>
      <w:kern w:val="0"/>
      <w:szCs w:val="20"/>
      <w:lang w:val="fr" w:eastAsia="fr-FR"/>
      <w14:ligatures w14:val="none"/>
    </w:rPr>
  </w:style>
  <w:style w:type="paragraph" w:customStyle="1" w:styleId="lgende">
    <w:name w:val="légende"/>
    <w:basedOn w:val="Normal"/>
    <w:link w:val="lgendeCar"/>
    <w:qFormat/>
    <w:rsid w:val="00362251"/>
    <w:pPr>
      <w:pBdr>
        <w:top w:val="nil"/>
        <w:left w:val="nil"/>
        <w:bottom w:val="nil"/>
        <w:right w:val="nil"/>
        <w:between w:val="nil"/>
      </w:pBdr>
      <w:spacing w:line="276" w:lineRule="auto"/>
    </w:pPr>
    <w:rPr>
      <w:rFonts w:ascii="Arial" w:eastAsia="Arial" w:hAnsi="Arial" w:cs="Arial"/>
      <w:sz w:val="18"/>
      <w:szCs w:val="18"/>
    </w:rPr>
  </w:style>
  <w:style w:type="character" w:customStyle="1" w:styleId="lgendeCar">
    <w:name w:val="légende Car"/>
    <w:basedOn w:val="Policepardfaut"/>
    <w:link w:val="lgende"/>
    <w:rsid w:val="00362251"/>
    <w:rPr>
      <w:rFonts w:ascii="Arial" w:eastAsia="Arial" w:hAnsi="Arial" w:cs="Arial"/>
      <w:color w:val="000000"/>
      <w:kern w:val="0"/>
      <w:sz w:val="18"/>
      <w:szCs w:val="18"/>
      <w:lang w:val="fr" w:eastAsia="fr-FR"/>
      <w14:ligatures w14:val="none"/>
    </w:rPr>
  </w:style>
  <w:style w:type="paragraph" w:customStyle="1" w:styleId="11titre">
    <w:name w:val="1.1 titre"/>
    <w:basedOn w:val="1titre"/>
    <w:link w:val="11titreCar"/>
    <w:rsid w:val="00F90151"/>
    <w:pPr>
      <w:numPr>
        <w:numId w:val="0"/>
      </w:numPr>
    </w:pPr>
  </w:style>
  <w:style w:type="character" w:customStyle="1" w:styleId="11titreCar">
    <w:name w:val="1.1 titre Car"/>
    <w:basedOn w:val="1titreCar"/>
    <w:link w:val="11titre"/>
    <w:rsid w:val="00F90151"/>
    <w:rPr>
      <w:rFonts w:ascii="Trebuchet MS" w:eastAsia="Trebuchet MS" w:hAnsi="Trebuchet MS" w:cs="Trebuchet MS"/>
      <w:b/>
      <w:bCs/>
      <w:color w:val="000000"/>
      <w:kern w:val="0"/>
      <w:szCs w:val="20"/>
      <w:lang w:val="fr" w:eastAsia="fr-FR"/>
      <w14:ligatures w14:val="none"/>
    </w:rPr>
  </w:style>
  <w:style w:type="paragraph" w:styleId="Commentaire">
    <w:name w:val="annotation text"/>
    <w:basedOn w:val="Normal"/>
    <w:link w:val="CommentaireCar"/>
    <w:uiPriority w:val="99"/>
    <w:semiHidden/>
    <w:unhideWhenUsed/>
    <w:pPr>
      <w:spacing w:line="240" w:lineRule="auto"/>
    </w:pPr>
  </w:style>
  <w:style w:type="character" w:customStyle="1" w:styleId="CommentaireCar">
    <w:name w:val="Commentaire Car"/>
    <w:basedOn w:val="Policepardfaut"/>
    <w:link w:val="Commentaire"/>
    <w:uiPriority w:val="99"/>
    <w:semiHidden/>
    <w:rPr>
      <w:rFonts w:ascii="Trebuchet MS" w:eastAsia="Trebuchet MS" w:hAnsi="Trebuchet MS" w:cs="Trebuchet MS"/>
      <w:color w:val="000000"/>
      <w:kern w:val="0"/>
      <w:szCs w:val="20"/>
      <w:lang w:val="fr" w:eastAsia="fr-FR"/>
      <w14:ligatures w14:val="none"/>
    </w:rPr>
  </w:style>
  <w:style w:type="table" w:styleId="Grilledutableau">
    <w:name w:val="Table Grid"/>
    <w:basedOn w:val="TableauNormal"/>
    <w:uiPriority w:val="39"/>
    <w:rsid w:val="00AD3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bjetducommentaire">
    <w:name w:val="annotation subject"/>
    <w:basedOn w:val="Commentaire"/>
    <w:next w:val="Commentaire"/>
    <w:link w:val="ObjetducommentaireCar"/>
    <w:uiPriority w:val="99"/>
    <w:semiHidden/>
    <w:unhideWhenUsed/>
    <w:rsid w:val="009C5EA7"/>
    <w:rPr>
      <w:b/>
      <w:bCs/>
    </w:rPr>
  </w:style>
  <w:style w:type="character" w:customStyle="1" w:styleId="ObjetducommentaireCar">
    <w:name w:val="Objet du commentaire Car"/>
    <w:basedOn w:val="CommentaireCar"/>
    <w:link w:val="Objetducommentaire"/>
    <w:uiPriority w:val="99"/>
    <w:semiHidden/>
    <w:rsid w:val="009C5EA7"/>
    <w:rPr>
      <w:rFonts w:ascii="Trebuchet MS" w:eastAsia="Trebuchet MS" w:hAnsi="Trebuchet MS" w:cs="Trebuchet MS"/>
      <w:b/>
      <w:bCs/>
      <w:color w:val="000000"/>
      <w:kern w:val="0"/>
      <w:szCs w:val="20"/>
      <w:lang w:val="fr" w:eastAsia="fr-FR"/>
      <w14:ligatures w14:val="none"/>
    </w:rPr>
  </w:style>
  <w:style w:type="paragraph" w:styleId="En-tte">
    <w:name w:val="header"/>
    <w:aliases w:val="Car"/>
    <w:basedOn w:val="Normal"/>
    <w:link w:val="En-tteCar"/>
    <w:unhideWhenUsed/>
    <w:rsid w:val="002E03D6"/>
    <w:pPr>
      <w:tabs>
        <w:tab w:val="center" w:pos="4536"/>
        <w:tab w:val="right" w:pos="9072"/>
      </w:tabs>
      <w:spacing w:line="240" w:lineRule="auto"/>
    </w:pPr>
  </w:style>
  <w:style w:type="character" w:customStyle="1" w:styleId="En-tteCar">
    <w:name w:val="En-tête Car"/>
    <w:aliases w:val="Car Car"/>
    <w:basedOn w:val="Policepardfaut"/>
    <w:link w:val="En-tte"/>
    <w:rsid w:val="002E03D6"/>
    <w:rPr>
      <w:rFonts w:ascii="Trebuchet MS" w:eastAsia="Trebuchet MS" w:hAnsi="Trebuchet MS" w:cs="Trebuchet MS"/>
      <w:color w:val="000000"/>
      <w:kern w:val="0"/>
      <w:szCs w:val="20"/>
      <w:lang w:val="fr" w:eastAsia="fr-FR"/>
      <w14:ligatures w14:val="none"/>
    </w:rPr>
  </w:style>
  <w:style w:type="paragraph" w:styleId="Pieddepage">
    <w:name w:val="footer"/>
    <w:basedOn w:val="Normal"/>
    <w:link w:val="PieddepageCar"/>
    <w:uiPriority w:val="99"/>
    <w:unhideWhenUsed/>
    <w:rsid w:val="002E03D6"/>
    <w:pPr>
      <w:tabs>
        <w:tab w:val="center" w:pos="4536"/>
        <w:tab w:val="right" w:pos="9072"/>
      </w:tabs>
      <w:spacing w:line="240" w:lineRule="auto"/>
    </w:pPr>
  </w:style>
  <w:style w:type="character" w:customStyle="1" w:styleId="PieddepageCar">
    <w:name w:val="Pied de page Car"/>
    <w:basedOn w:val="Policepardfaut"/>
    <w:link w:val="Pieddepage"/>
    <w:uiPriority w:val="99"/>
    <w:rsid w:val="002E03D6"/>
    <w:rPr>
      <w:rFonts w:ascii="Trebuchet MS" w:eastAsia="Trebuchet MS" w:hAnsi="Trebuchet MS" w:cs="Trebuchet MS"/>
      <w:color w:val="000000"/>
      <w:kern w:val="0"/>
      <w:szCs w:val="20"/>
      <w:lang w:val="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28.jpg"/><Relationship Id="rId21" Type="http://schemas.openxmlformats.org/officeDocument/2006/relationships/image" Target="media/image14.jpg"/><Relationship Id="rId34" Type="http://schemas.openxmlformats.org/officeDocument/2006/relationships/image" Target="media/image23.jpg"/><Relationship Id="rId42" Type="http://schemas.openxmlformats.org/officeDocument/2006/relationships/footer" Target="footer1.xml"/><Relationship Id="rId47"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g"/><Relationship Id="rId29" Type="http://schemas.openxmlformats.org/officeDocument/2006/relationships/image" Target="media/image22.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g"/><Relationship Id="rId32" Type="http://schemas.microsoft.com/office/2016/09/relationships/commentsIds" Target="commentsIds.xml"/><Relationship Id="rId37" Type="http://schemas.openxmlformats.org/officeDocument/2006/relationships/image" Target="media/image26.jpeg"/><Relationship Id="rId40" Type="http://schemas.openxmlformats.org/officeDocument/2006/relationships/header" Target="header1.xml"/><Relationship Id="rId45"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jpg"/><Relationship Id="rId36" Type="http://schemas.openxmlformats.org/officeDocument/2006/relationships/image" Target="media/image25.jpg"/><Relationship Id="rId10" Type="http://schemas.openxmlformats.org/officeDocument/2006/relationships/image" Target="media/image3.png"/><Relationship Id="rId19" Type="http://schemas.openxmlformats.org/officeDocument/2006/relationships/image" Target="media/image12.jpg"/><Relationship Id="rId31" Type="http://schemas.microsoft.com/office/2011/relationships/commentsExtended" Target="commentsExtended.xml"/><Relationship Id="rId4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comments" Target="comments.xml"/><Relationship Id="rId35" Type="http://schemas.openxmlformats.org/officeDocument/2006/relationships/image" Target="media/image24.png"/><Relationship Id="rId43" Type="http://schemas.openxmlformats.org/officeDocument/2006/relationships/footer" Target="footer2.xm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g"/><Relationship Id="rId25" Type="http://schemas.openxmlformats.org/officeDocument/2006/relationships/image" Target="media/image18.jpg"/><Relationship Id="rId33" Type="http://schemas.microsoft.com/office/2018/08/relationships/commentsExtensible" Target="commentsExtensible.xml"/><Relationship Id="rId38" Type="http://schemas.openxmlformats.org/officeDocument/2006/relationships/image" Target="media/image27.jp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header" Target="head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DDCC8-CE60-4441-9EBE-0C062C6B5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25</Pages>
  <Words>4803</Words>
  <Characters>27910</Characters>
  <Application>Microsoft Office Word</Application>
  <DocSecurity>0</DocSecurity>
  <Lines>754</Lines>
  <Paragraphs>536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Pauline Vaz Carneiro</dc:creator>
  <cp:keywords/>
  <dc:description/>
  <cp:lastModifiedBy>jesus Gonzalez</cp:lastModifiedBy>
  <cp:revision>52</cp:revision>
  <dcterms:created xsi:type="dcterms:W3CDTF">2026-06-02T14:47:00Z</dcterms:created>
  <dcterms:modified xsi:type="dcterms:W3CDTF">2026-09-10T17:30:00Z</dcterms:modified>
</cp:coreProperties>
</file>