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3A3EC4BF" w:rsidR="00E84981" w:rsidRDefault="00394489" w:rsidP="00362251">
      <w:pPr>
        <w:rPr>
          <w:color w:val="2E74B5"/>
          <w:sz w:val="44"/>
          <w:szCs w:val="44"/>
        </w:rPr>
      </w:pPr>
      <w:bookmarkStart w:id="0" w:name="_heading=h.jrts25w9kw2f" w:colFirst="0" w:colLast="0"/>
      <w:bookmarkEnd w:id="0"/>
      <w:r w:rsidRPr="00357D58">
        <w:rPr>
          <w:noProof/>
        </w:rPr>
        <w:drawing>
          <wp:anchor distT="0" distB="0" distL="114300" distR="114300" simplePos="0" relativeHeight="251838464" behindDoc="0" locked="0" layoutInCell="1" allowOverlap="1" wp14:anchorId="150EB58C" wp14:editId="5A737724">
            <wp:simplePos x="0" y="0"/>
            <wp:positionH relativeFrom="column">
              <wp:posOffset>-698015</wp:posOffset>
            </wp:positionH>
            <wp:positionV relativeFrom="paragraph">
              <wp:posOffset>-837619</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1F3F">
        <w:rPr>
          <w:noProof/>
        </w:rPr>
        <w:drawing>
          <wp:anchor distT="0" distB="0" distL="114300" distR="114300" simplePos="0" relativeHeight="251812864" behindDoc="0" locked="0" layoutInCell="1" hidden="0" allowOverlap="1" wp14:anchorId="4B4FA995" wp14:editId="095384CD">
            <wp:simplePos x="0" y="0"/>
            <wp:positionH relativeFrom="margin">
              <wp:align>right</wp:align>
            </wp:positionH>
            <wp:positionV relativeFrom="paragraph">
              <wp:posOffset>331</wp:posOffset>
            </wp:positionV>
            <wp:extent cx="1638000" cy="1440000"/>
            <wp:effectExtent l="0" t="0" r="635" b="8255"/>
            <wp:wrapSquare wrapText="bothSides" distT="0" distB="0" distL="114300" distR="114300"/>
            <wp:docPr id="42294320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1638000" cy="1440000"/>
                    </a:xfrm>
                    <a:prstGeom prst="rect">
                      <a:avLst/>
                    </a:prstGeom>
                    <a:ln/>
                  </pic:spPr>
                </pic:pic>
              </a:graphicData>
            </a:graphic>
          </wp:anchor>
        </w:drawing>
      </w:r>
    </w:p>
    <w:p w14:paraId="3B8B012C" w14:textId="71F53966" w:rsidR="00876EF8" w:rsidRPr="00E84981" w:rsidRDefault="00876EF8" w:rsidP="00362251">
      <w:pPr>
        <w:rPr>
          <w:color w:val="2E74B5"/>
          <w:sz w:val="28"/>
          <w:szCs w:val="28"/>
        </w:rPr>
      </w:pPr>
      <w:bookmarkStart w:id="1" w:name="_heading=h.okbxcyd5wsjy" w:colFirst="0" w:colLast="0"/>
      <w:bookmarkEnd w:id="1"/>
    </w:p>
    <w:p w14:paraId="30F39325" w14:textId="7293B73C" w:rsidR="00876EF8" w:rsidRPr="00E84981" w:rsidRDefault="00E84981" w:rsidP="00E84981">
      <w:pPr>
        <w:pStyle w:val="Titre1"/>
      </w:pPr>
      <w:r w:rsidRPr="00E84981">
        <w:t>Item </w:t>
      </w:r>
      <w:bookmarkStart w:id="2" w:name="_heading=h.j7k05ddw17s6" w:colFirst="0" w:colLast="0"/>
      <w:bookmarkEnd w:id="2"/>
      <w:r w:rsidR="00BC1F3F">
        <w:t>205 - Hémoptysie</w:t>
      </w:r>
    </w:p>
    <w:p w14:paraId="58CCE89C" w14:textId="77777777" w:rsidR="00876EF8" w:rsidRDefault="00876EF8" w:rsidP="00362251"/>
    <w:p w14:paraId="1D7886DB" w14:textId="77777777" w:rsidR="00E84981" w:rsidRDefault="00E84981" w:rsidP="00362251">
      <w:pPr>
        <w:rPr>
          <w:sz w:val="10"/>
          <w:szCs w:val="10"/>
        </w:rPr>
      </w:pPr>
    </w:p>
    <w:p w14:paraId="6A5DF260" w14:textId="77777777" w:rsidR="008B41F0" w:rsidRDefault="008B41F0" w:rsidP="00362251">
      <w:pPr>
        <w:rPr>
          <w:sz w:val="10"/>
          <w:szCs w:val="10"/>
        </w:rPr>
      </w:pPr>
    </w:p>
    <w:p w14:paraId="6DFD19A8" w14:textId="77777777" w:rsidR="008B41F0" w:rsidRDefault="008B41F0" w:rsidP="00362251">
      <w:pPr>
        <w:rPr>
          <w:sz w:val="10"/>
          <w:szCs w:val="10"/>
        </w:rPr>
      </w:pPr>
    </w:p>
    <w:p w14:paraId="10F9AE24" w14:textId="77777777" w:rsidR="00717C5F" w:rsidRDefault="00717C5F" w:rsidP="00362251">
      <w:pPr>
        <w:rPr>
          <w:sz w:val="10"/>
          <w:szCs w:val="10"/>
        </w:rPr>
      </w:pPr>
    </w:p>
    <w:p w14:paraId="42228953" w14:textId="77777777" w:rsidR="00717C5F" w:rsidRPr="00E84981" w:rsidRDefault="00717C5F" w:rsidP="00362251">
      <w:pPr>
        <w:rPr>
          <w:sz w:val="10"/>
          <w:szCs w:val="10"/>
        </w:rPr>
      </w:pPr>
    </w:p>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40"/>
        <w:gridCol w:w="1994"/>
        <w:gridCol w:w="6378"/>
      </w:tblGrid>
      <w:tr w:rsidR="0087650C" w14:paraId="38EB26A0" w14:textId="77777777" w:rsidTr="00717C5F">
        <w:trPr>
          <w:trHeight w:val="201"/>
        </w:trPr>
        <w:tc>
          <w:tcPr>
            <w:tcW w:w="640" w:type="dxa"/>
            <w:shd w:val="clear" w:color="auto" w:fill="D1D1D1" w:themeFill="background2" w:themeFillShade="E6"/>
            <w:vAlign w:val="center"/>
          </w:tcPr>
          <w:p w14:paraId="4E8BCBCE" w14:textId="77777777" w:rsidR="0087650C" w:rsidRPr="008D7B43" w:rsidRDefault="0087650C" w:rsidP="00F44AC4">
            <w:pPr>
              <w:spacing w:line="240" w:lineRule="auto"/>
              <w:jc w:val="center"/>
              <w:rPr>
                <w:rFonts w:ascii="Calibri" w:eastAsia="Calibri" w:hAnsi="Calibri" w:cs="Calibri"/>
                <w:b/>
                <w:bCs/>
                <w:color w:val="000000" w:themeColor="text1"/>
              </w:rPr>
            </w:pPr>
            <w:r w:rsidRPr="008D7B43">
              <w:rPr>
                <w:rFonts w:ascii="Calibri" w:eastAsia="Calibri" w:hAnsi="Calibri" w:cs="Calibri"/>
                <w:b/>
                <w:bCs/>
                <w:color w:val="000000" w:themeColor="text1"/>
              </w:rPr>
              <w:t>Rang</w:t>
            </w:r>
          </w:p>
        </w:tc>
        <w:tc>
          <w:tcPr>
            <w:tcW w:w="1994" w:type="dxa"/>
            <w:shd w:val="clear" w:color="auto" w:fill="D1D1D1" w:themeFill="background2" w:themeFillShade="E6"/>
            <w:vAlign w:val="center"/>
          </w:tcPr>
          <w:p w14:paraId="64166F82" w14:textId="77777777" w:rsidR="0087650C" w:rsidRPr="008D7B43" w:rsidRDefault="0087650C" w:rsidP="00F44AC4">
            <w:pPr>
              <w:spacing w:line="240" w:lineRule="auto"/>
              <w:jc w:val="center"/>
              <w:rPr>
                <w:rFonts w:ascii="Calibri" w:eastAsia="Calibri" w:hAnsi="Calibri" w:cs="Calibri"/>
                <w:b/>
                <w:bCs/>
                <w:color w:val="000000" w:themeColor="text1"/>
              </w:rPr>
            </w:pPr>
            <w:r w:rsidRPr="008D7B43">
              <w:rPr>
                <w:rFonts w:ascii="Calibri" w:eastAsia="Calibri" w:hAnsi="Calibri" w:cs="Calibri"/>
                <w:b/>
                <w:bCs/>
                <w:color w:val="000000" w:themeColor="text1"/>
              </w:rPr>
              <w:t>Rubrique</w:t>
            </w:r>
          </w:p>
        </w:tc>
        <w:tc>
          <w:tcPr>
            <w:tcW w:w="6378" w:type="dxa"/>
            <w:shd w:val="clear" w:color="auto" w:fill="D1D1D1" w:themeFill="background2" w:themeFillShade="E6"/>
          </w:tcPr>
          <w:p w14:paraId="4BC0A79E" w14:textId="77777777" w:rsidR="0087650C" w:rsidRPr="008D7B43" w:rsidRDefault="0087650C" w:rsidP="00F44AC4">
            <w:pPr>
              <w:spacing w:line="240" w:lineRule="auto"/>
              <w:jc w:val="center"/>
              <w:rPr>
                <w:rFonts w:ascii="Calibri" w:eastAsia="Calibri" w:hAnsi="Calibri" w:cs="Calibri"/>
                <w:b/>
                <w:bCs/>
                <w:color w:val="000000" w:themeColor="text1"/>
              </w:rPr>
            </w:pPr>
            <w:r w:rsidRPr="008D7B43">
              <w:rPr>
                <w:rFonts w:ascii="Calibri" w:eastAsia="Calibri" w:hAnsi="Calibri" w:cs="Calibri"/>
                <w:b/>
                <w:bCs/>
                <w:color w:val="000000" w:themeColor="text1"/>
              </w:rPr>
              <w:t>Intitulé des connaissances</w:t>
            </w:r>
          </w:p>
        </w:tc>
      </w:tr>
      <w:tr w:rsidR="00BC1F3F" w14:paraId="544C774E" w14:textId="77777777" w:rsidTr="00717C5F">
        <w:trPr>
          <w:trHeight w:val="32"/>
        </w:trPr>
        <w:tc>
          <w:tcPr>
            <w:tcW w:w="640" w:type="dxa"/>
            <w:vAlign w:val="center"/>
          </w:tcPr>
          <w:p w14:paraId="303593E1" w14:textId="7D49C9B1" w:rsidR="00BC1F3F" w:rsidRPr="00BC1F3F" w:rsidRDefault="00BC1F3F" w:rsidP="00BC1F3F">
            <w:pPr>
              <w:spacing w:line="240" w:lineRule="auto"/>
              <w:jc w:val="center"/>
              <w:rPr>
                <w:rFonts w:ascii="Calibri" w:eastAsia="Calibri" w:hAnsi="Calibri" w:cs="Calibri"/>
              </w:rPr>
            </w:pPr>
            <w:r w:rsidRPr="00BC1F3F">
              <w:rPr>
                <w:rFonts w:ascii="Calibri" w:eastAsia="Calibri" w:hAnsi="Calibri" w:cs="Calibri"/>
              </w:rPr>
              <w:t>A</w:t>
            </w:r>
          </w:p>
        </w:tc>
        <w:tc>
          <w:tcPr>
            <w:tcW w:w="1994" w:type="dxa"/>
            <w:vAlign w:val="center"/>
          </w:tcPr>
          <w:p w14:paraId="1276EAB8" w14:textId="25507A1C" w:rsidR="00BC1F3F" w:rsidRDefault="00BC1F3F" w:rsidP="00BC1F3F">
            <w:pPr>
              <w:spacing w:line="240" w:lineRule="auto"/>
              <w:jc w:val="left"/>
              <w:rPr>
                <w:rFonts w:ascii="Calibri" w:eastAsia="Calibri" w:hAnsi="Calibri" w:cs="Calibri"/>
              </w:rPr>
            </w:pPr>
            <w:r>
              <w:rPr>
                <w:rFonts w:ascii="Calibri" w:eastAsia="Calibri" w:hAnsi="Calibri" w:cs="Calibri"/>
              </w:rPr>
              <w:t xml:space="preserve">Diagnostic positif </w:t>
            </w:r>
          </w:p>
        </w:tc>
        <w:tc>
          <w:tcPr>
            <w:tcW w:w="6378" w:type="dxa"/>
            <w:vAlign w:val="center"/>
          </w:tcPr>
          <w:p w14:paraId="77174F5C" w14:textId="34178CF6" w:rsidR="00BC1F3F" w:rsidRDefault="00BC1F3F" w:rsidP="00BC1F3F">
            <w:pPr>
              <w:spacing w:line="240" w:lineRule="auto"/>
              <w:rPr>
                <w:rFonts w:ascii="Calibri" w:eastAsia="Calibri" w:hAnsi="Calibri" w:cs="Calibri"/>
              </w:rPr>
            </w:pPr>
            <w:r>
              <w:rPr>
                <w:rFonts w:ascii="Calibri" w:eastAsia="Calibri" w:hAnsi="Calibri" w:cs="Calibri"/>
              </w:rPr>
              <w:t>Définir une hémoptysie</w:t>
            </w:r>
          </w:p>
        </w:tc>
      </w:tr>
      <w:tr w:rsidR="00BC1F3F" w14:paraId="464EB220" w14:textId="77777777" w:rsidTr="00717C5F">
        <w:trPr>
          <w:trHeight w:val="32"/>
        </w:trPr>
        <w:tc>
          <w:tcPr>
            <w:tcW w:w="640" w:type="dxa"/>
            <w:vAlign w:val="center"/>
          </w:tcPr>
          <w:p w14:paraId="1489C0FB" w14:textId="19161637" w:rsidR="00BC1F3F" w:rsidRPr="00BC1F3F" w:rsidRDefault="00BC1F3F" w:rsidP="00BC1F3F">
            <w:pPr>
              <w:spacing w:line="240" w:lineRule="auto"/>
              <w:jc w:val="center"/>
              <w:rPr>
                <w:rFonts w:ascii="Calibri" w:eastAsia="Calibri" w:hAnsi="Calibri" w:cs="Calibri"/>
              </w:rPr>
            </w:pPr>
            <w:r w:rsidRPr="00BC1F3F">
              <w:rPr>
                <w:rFonts w:ascii="Calibri" w:eastAsia="Calibri" w:hAnsi="Calibri" w:cs="Calibri"/>
              </w:rPr>
              <w:t>A</w:t>
            </w:r>
          </w:p>
        </w:tc>
        <w:tc>
          <w:tcPr>
            <w:tcW w:w="1994" w:type="dxa"/>
            <w:vAlign w:val="center"/>
          </w:tcPr>
          <w:p w14:paraId="03BD2844" w14:textId="7931C05F" w:rsidR="00BC1F3F" w:rsidRDefault="00BC1F3F" w:rsidP="00BC1F3F">
            <w:pPr>
              <w:spacing w:line="240" w:lineRule="auto"/>
              <w:jc w:val="left"/>
              <w:rPr>
                <w:rFonts w:ascii="Calibri" w:eastAsia="Calibri" w:hAnsi="Calibri" w:cs="Calibri"/>
              </w:rPr>
            </w:pPr>
            <w:r>
              <w:rPr>
                <w:rFonts w:ascii="Calibri" w:eastAsia="Calibri" w:hAnsi="Calibri" w:cs="Calibri"/>
              </w:rPr>
              <w:t xml:space="preserve">Diagnostic positif </w:t>
            </w:r>
          </w:p>
        </w:tc>
        <w:tc>
          <w:tcPr>
            <w:tcW w:w="6378" w:type="dxa"/>
            <w:vAlign w:val="center"/>
          </w:tcPr>
          <w:p w14:paraId="0ABE6C55" w14:textId="1E1034E8" w:rsidR="00BC1F3F" w:rsidRDefault="00BC1F3F" w:rsidP="00BC1F3F">
            <w:pPr>
              <w:spacing w:line="240" w:lineRule="auto"/>
              <w:rPr>
                <w:rFonts w:ascii="Calibri" w:eastAsia="Calibri" w:hAnsi="Calibri" w:cs="Calibri"/>
              </w:rPr>
            </w:pPr>
            <w:r>
              <w:rPr>
                <w:rFonts w:ascii="Calibri" w:eastAsia="Calibri" w:hAnsi="Calibri" w:cs="Calibri"/>
              </w:rPr>
              <w:t>Savoir faire le diagnostic d’hémoptysie et argumenter le diagnostic différentiel</w:t>
            </w:r>
          </w:p>
        </w:tc>
      </w:tr>
      <w:tr w:rsidR="00BC1F3F" w14:paraId="6D286967" w14:textId="77777777" w:rsidTr="00717C5F">
        <w:trPr>
          <w:trHeight w:val="201"/>
        </w:trPr>
        <w:tc>
          <w:tcPr>
            <w:tcW w:w="640" w:type="dxa"/>
            <w:vAlign w:val="center"/>
          </w:tcPr>
          <w:p w14:paraId="541446C5" w14:textId="67BE2A26" w:rsidR="00BC1F3F" w:rsidRPr="00BC1F3F" w:rsidRDefault="00BC1F3F" w:rsidP="00BC1F3F">
            <w:pPr>
              <w:spacing w:line="240" w:lineRule="auto"/>
              <w:jc w:val="center"/>
              <w:rPr>
                <w:rFonts w:ascii="Calibri" w:eastAsia="Calibri" w:hAnsi="Calibri" w:cs="Calibri"/>
                <w:i/>
                <w:iCs/>
                <w:color w:val="2E74B5"/>
              </w:rPr>
            </w:pPr>
            <w:r w:rsidRPr="00BC1F3F">
              <w:rPr>
                <w:rFonts w:ascii="Calibri" w:eastAsia="Calibri" w:hAnsi="Calibri" w:cs="Calibri"/>
                <w:color w:val="2E74B5"/>
              </w:rPr>
              <w:t>B</w:t>
            </w:r>
          </w:p>
        </w:tc>
        <w:tc>
          <w:tcPr>
            <w:tcW w:w="1994" w:type="dxa"/>
            <w:vAlign w:val="center"/>
          </w:tcPr>
          <w:p w14:paraId="28EBE8E8" w14:textId="6638C689" w:rsidR="00BC1F3F" w:rsidRDefault="00BC1F3F" w:rsidP="00BC1F3F">
            <w:pPr>
              <w:spacing w:line="240" w:lineRule="auto"/>
              <w:jc w:val="left"/>
              <w:rPr>
                <w:rFonts w:ascii="Calibri" w:eastAsia="Calibri" w:hAnsi="Calibri" w:cs="Calibri"/>
                <w:i/>
                <w:iCs/>
                <w:color w:val="2E74B5"/>
              </w:rPr>
            </w:pPr>
            <w:r>
              <w:rPr>
                <w:rFonts w:ascii="Calibri" w:eastAsia="Calibri" w:hAnsi="Calibri" w:cs="Calibri"/>
                <w:color w:val="2E74B5"/>
              </w:rPr>
              <w:t>Étiologies</w:t>
            </w:r>
          </w:p>
        </w:tc>
        <w:tc>
          <w:tcPr>
            <w:tcW w:w="6378" w:type="dxa"/>
            <w:vAlign w:val="center"/>
          </w:tcPr>
          <w:p w14:paraId="7D52D0FD" w14:textId="53DE8926" w:rsidR="00BC1F3F" w:rsidRDefault="00BC1F3F" w:rsidP="00BC1F3F">
            <w:pPr>
              <w:spacing w:line="240" w:lineRule="auto"/>
              <w:rPr>
                <w:rFonts w:ascii="Calibri" w:eastAsia="Calibri" w:hAnsi="Calibri" w:cs="Calibri"/>
                <w:i/>
                <w:iCs/>
                <w:color w:val="2E74B5"/>
              </w:rPr>
            </w:pPr>
            <w:r>
              <w:rPr>
                <w:rFonts w:ascii="Calibri" w:eastAsia="Calibri" w:hAnsi="Calibri" w:cs="Calibri"/>
                <w:color w:val="2E74B5"/>
              </w:rPr>
              <w:t>Connaître les éléments du diagnostic étiologique d’une hémoptysie</w:t>
            </w:r>
          </w:p>
        </w:tc>
      </w:tr>
      <w:tr w:rsidR="00BC1F3F" w14:paraId="39CC79FB" w14:textId="77777777" w:rsidTr="00717C5F">
        <w:trPr>
          <w:trHeight w:val="201"/>
        </w:trPr>
        <w:tc>
          <w:tcPr>
            <w:tcW w:w="640" w:type="dxa"/>
            <w:vAlign w:val="center"/>
          </w:tcPr>
          <w:p w14:paraId="4260790C" w14:textId="10A9F5DA" w:rsidR="00BC1F3F" w:rsidRPr="00BC1F3F" w:rsidRDefault="00BC1F3F" w:rsidP="00BC1F3F">
            <w:pPr>
              <w:spacing w:line="240" w:lineRule="auto"/>
              <w:jc w:val="center"/>
              <w:rPr>
                <w:rFonts w:ascii="Calibri" w:eastAsia="Calibri" w:hAnsi="Calibri" w:cs="Calibri"/>
              </w:rPr>
            </w:pPr>
            <w:r w:rsidRPr="00BC1F3F">
              <w:rPr>
                <w:rFonts w:ascii="Calibri" w:eastAsia="Calibri" w:hAnsi="Calibri" w:cs="Calibri"/>
                <w:color w:val="2E74B5"/>
              </w:rPr>
              <w:t>B</w:t>
            </w:r>
          </w:p>
        </w:tc>
        <w:tc>
          <w:tcPr>
            <w:tcW w:w="1994" w:type="dxa"/>
            <w:vAlign w:val="center"/>
          </w:tcPr>
          <w:p w14:paraId="0A10991B" w14:textId="147A3209" w:rsidR="00BC1F3F" w:rsidRDefault="00BC1F3F" w:rsidP="00BC1F3F">
            <w:pPr>
              <w:spacing w:line="240" w:lineRule="auto"/>
              <w:jc w:val="left"/>
              <w:rPr>
                <w:rFonts w:ascii="Calibri" w:eastAsia="Calibri" w:hAnsi="Calibri" w:cs="Calibri"/>
              </w:rPr>
            </w:pPr>
            <w:r>
              <w:rPr>
                <w:rFonts w:ascii="Calibri" w:eastAsia="Calibri" w:hAnsi="Calibri" w:cs="Calibri"/>
                <w:color w:val="2E74B5"/>
              </w:rPr>
              <w:t>Ex. complémentaires</w:t>
            </w:r>
          </w:p>
        </w:tc>
        <w:tc>
          <w:tcPr>
            <w:tcW w:w="6378" w:type="dxa"/>
            <w:vAlign w:val="center"/>
          </w:tcPr>
          <w:p w14:paraId="39CE48D2" w14:textId="1CEA1A71" w:rsidR="00BC1F3F" w:rsidRDefault="00BC1F3F" w:rsidP="00BC1F3F">
            <w:pPr>
              <w:spacing w:line="240" w:lineRule="auto"/>
              <w:rPr>
                <w:rFonts w:ascii="Calibri" w:eastAsia="Calibri" w:hAnsi="Calibri" w:cs="Calibri"/>
              </w:rPr>
            </w:pPr>
            <w:r>
              <w:rPr>
                <w:rFonts w:ascii="Calibri" w:eastAsia="Calibri" w:hAnsi="Calibri" w:cs="Calibri"/>
                <w:color w:val="2E74B5"/>
              </w:rPr>
              <w:t>Savoir demander un bilan initial</w:t>
            </w:r>
          </w:p>
        </w:tc>
      </w:tr>
      <w:tr w:rsidR="00BC1F3F" w14:paraId="74C87BC5" w14:textId="77777777" w:rsidTr="00717C5F">
        <w:trPr>
          <w:trHeight w:val="201"/>
        </w:trPr>
        <w:tc>
          <w:tcPr>
            <w:tcW w:w="640" w:type="dxa"/>
            <w:vAlign w:val="center"/>
          </w:tcPr>
          <w:p w14:paraId="747055EA" w14:textId="4C7AF37D" w:rsidR="00BC1F3F" w:rsidRPr="00BC1F3F" w:rsidRDefault="00BC1F3F" w:rsidP="00BC1F3F">
            <w:pPr>
              <w:spacing w:line="240" w:lineRule="auto"/>
              <w:jc w:val="center"/>
              <w:rPr>
                <w:rFonts w:ascii="Calibri" w:eastAsia="Calibri" w:hAnsi="Calibri" w:cs="Calibri"/>
                <w:color w:val="2E74B5"/>
              </w:rPr>
            </w:pPr>
            <w:r w:rsidRPr="00BC1F3F">
              <w:rPr>
                <w:rFonts w:ascii="Calibri" w:eastAsia="Calibri" w:hAnsi="Calibri" w:cs="Calibri"/>
                <w:color w:val="2E74B5"/>
              </w:rPr>
              <w:t>B</w:t>
            </w:r>
          </w:p>
        </w:tc>
        <w:tc>
          <w:tcPr>
            <w:tcW w:w="1994" w:type="dxa"/>
            <w:vAlign w:val="center"/>
          </w:tcPr>
          <w:p w14:paraId="149CFA01" w14:textId="42F3E810" w:rsidR="00BC1F3F" w:rsidRDefault="00BC1F3F" w:rsidP="00BC1F3F">
            <w:pPr>
              <w:spacing w:line="240" w:lineRule="auto"/>
              <w:jc w:val="left"/>
              <w:rPr>
                <w:rFonts w:ascii="Calibri" w:eastAsia="Calibri" w:hAnsi="Calibri" w:cs="Calibri"/>
                <w:color w:val="2E74B5"/>
              </w:rPr>
            </w:pPr>
            <w:r>
              <w:rPr>
                <w:rFonts w:ascii="Calibri" w:eastAsia="Calibri" w:hAnsi="Calibri" w:cs="Calibri"/>
                <w:color w:val="2E74B5"/>
              </w:rPr>
              <w:t>Ex. complémentaires</w:t>
            </w:r>
          </w:p>
        </w:tc>
        <w:tc>
          <w:tcPr>
            <w:tcW w:w="6378" w:type="dxa"/>
            <w:vAlign w:val="center"/>
          </w:tcPr>
          <w:p w14:paraId="652FC5EA" w14:textId="6E2C2AD7" w:rsidR="00BC1F3F" w:rsidRDefault="00BC1F3F" w:rsidP="00BC1F3F">
            <w:pPr>
              <w:spacing w:line="240" w:lineRule="auto"/>
              <w:rPr>
                <w:rFonts w:ascii="Calibri" w:eastAsia="Calibri" w:hAnsi="Calibri" w:cs="Calibri"/>
                <w:color w:val="2E74B5"/>
              </w:rPr>
            </w:pPr>
            <w:r>
              <w:rPr>
                <w:rFonts w:ascii="Calibri" w:eastAsia="Calibri" w:hAnsi="Calibri" w:cs="Calibri"/>
                <w:color w:val="2E74B5"/>
              </w:rPr>
              <w:t>Connaître la sémiologie en imagerie d’une hémoptysie</w:t>
            </w:r>
          </w:p>
        </w:tc>
      </w:tr>
      <w:tr w:rsidR="00BC1F3F" w14:paraId="491B4C61" w14:textId="77777777" w:rsidTr="00717C5F">
        <w:trPr>
          <w:trHeight w:val="201"/>
        </w:trPr>
        <w:tc>
          <w:tcPr>
            <w:tcW w:w="640" w:type="dxa"/>
            <w:vAlign w:val="center"/>
          </w:tcPr>
          <w:p w14:paraId="4A4125A2" w14:textId="1E072E2E" w:rsidR="00BC1F3F" w:rsidRPr="00BC1F3F" w:rsidRDefault="00BC1F3F" w:rsidP="00BC1F3F">
            <w:pPr>
              <w:spacing w:line="240" w:lineRule="auto"/>
              <w:jc w:val="center"/>
              <w:rPr>
                <w:rFonts w:ascii="Calibri" w:eastAsia="Calibri" w:hAnsi="Calibri" w:cs="Calibri"/>
                <w:color w:val="2E74B5"/>
              </w:rPr>
            </w:pPr>
            <w:r w:rsidRPr="00BC1F3F">
              <w:rPr>
                <w:rFonts w:ascii="Calibri" w:eastAsia="Calibri" w:hAnsi="Calibri" w:cs="Calibri"/>
              </w:rPr>
              <w:t>A</w:t>
            </w:r>
          </w:p>
        </w:tc>
        <w:tc>
          <w:tcPr>
            <w:tcW w:w="1994" w:type="dxa"/>
            <w:vAlign w:val="center"/>
          </w:tcPr>
          <w:p w14:paraId="404D9570" w14:textId="0D276FEE" w:rsidR="00BC1F3F" w:rsidRDefault="00BC1F3F" w:rsidP="00BC1F3F">
            <w:pPr>
              <w:spacing w:line="240" w:lineRule="auto"/>
              <w:jc w:val="left"/>
              <w:rPr>
                <w:rFonts w:ascii="Calibri" w:eastAsia="Calibri" w:hAnsi="Calibri" w:cs="Calibri"/>
                <w:color w:val="2E74B5"/>
              </w:rPr>
            </w:pPr>
            <w:r>
              <w:rPr>
                <w:rFonts w:ascii="Calibri" w:eastAsia="Calibri" w:hAnsi="Calibri" w:cs="Calibri"/>
              </w:rPr>
              <w:t>Identif. une urgence</w:t>
            </w:r>
          </w:p>
        </w:tc>
        <w:tc>
          <w:tcPr>
            <w:tcW w:w="6378" w:type="dxa"/>
            <w:vAlign w:val="center"/>
          </w:tcPr>
          <w:p w14:paraId="7B6ABE81" w14:textId="6D8D80EE" w:rsidR="00BC1F3F" w:rsidRDefault="00BC1F3F" w:rsidP="00BC1F3F">
            <w:pPr>
              <w:spacing w:line="240" w:lineRule="auto"/>
              <w:rPr>
                <w:rFonts w:ascii="Calibri" w:eastAsia="Calibri" w:hAnsi="Calibri" w:cs="Calibri"/>
                <w:color w:val="2E74B5"/>
              </w:rPr>
            </w:pPr>
            <w:r>
              <w:rPr>
                <w:rFonts w:ascii="Calibri" w:eastAsia="Calibri" w:hAnsi="Calibri" w:cs="Calibri"/>
              </w:rPr>
              <w:t>Savoir rechercher des signes de gravité</w:t>
            </w:r>
          </w:p>
        </w:tc>
      </w:tr>
      <w:tr w:rsidR="00BC1F3F" w14:paraId="4414EA75" w14:textId="77777777" w:rsidTr="00717C5F">
        <w:trPr>
          <w:trHeight w:val="201"/>
        </w:trPr>
        <w:tc>
          <w:tcPr>
            <w:tcW w:w="640" w:type="dxa"/>
            <w:vAlign w:val="center"/>
          </w:tcPr>
          <w:p w14:paraId="374E0645" w14:textId="315325F3" w:rsidR="00BC1F3F" w:rsidRPr="00BC1F3F" w:rsidRDefault="00BC1F3F" w:rsidP="00BC1F3F">
            <w:pPr>
              <w:spacing w:line="240" w:lineRule="auto"/>
              <w:jc w:val="center"/>
              <w:rPr>
                <w:rFonts w:ascii="Calibri" w:eastAsia="Calibri" w:hAnsi="Calibri" w:cs="Calibri"/>
                <w:i/>
                <w:iCs/>
                <w:color w:val="2E74B5"/>
              </w:rPr>
            </w:pPr>
            <w:r w:rsidRPr="00BC1F3F">
              <w:rPr>
                <w:rFonts w:ascii="Calibri" w:eastAsia="Calibri" w:hAnsi="Calibri" w:cs="Calibri"/>
              </w:rPr>
              <w:t>A</w:t>
            </w:r>
          </w:p>
        </w:tc>
        <w:tc>
          <w:tcPr>
            <w:tcW w:w="1994" w:type="dxa"/>
            <w:vAlign w:val="center"/>
          </w:tcPr>
          <w:p w14:paraId="47536786" w14:textId="03BC30AB" w:rsidR="00BC1F3F" w:rsidRDefault="00BC1F3F" w:rsidP="00BC1F3F">
            <w:pPr>
              <w:spacing w:line="240" w:lineRule="auto"/>
              <w:jc w:val="left"/>
              <w:rPr>
                <w:rFonts w:ascii="Calibri" w:eastAsia="Calibri" w:hAnsi="Calibri" w:cs="Calibri"/>
                <w:i/>
                <w:iCs/>
                <w:color w:val="2E74B5"/>
              </w:rPr>
            </w:pPr>
            <w:r>
              <w:rPr>
                <w:rFonts w:ascii="Calibri" w:eastAsia="Calibri" w:hAnsi="Calibri" w:cs="Calibri"/>
              </w:rPr>
              <w:t>Prise en charge</w:t>
            </w:r>
          </w:p>
        </w:tc>
        <w:tc>
          <w:tcPr>
            <w:tcW w:w="6378" w:type="dxa"/>
            <w:vAlign w:val="center"/>
          </w:tcPr>
          <w:p w14:paraId="65B74D14" w14:textId="57EF669B" w:rsidR="00BC1F3F" w:rsidRDefault="00BC1F3F" w:rsidP="00BC1F3F">
            <w:pPr>
              <w:spacing w:line="240" w:lineRule="auto"/>
              <w:rPr>
                <w:rFonts w:ascii="Calibri" w:eastAsia="Calibri" w:hAnsi="Calibri" w:cs="Calibri"/>
                <w:i/>
                <w:iCs/>
                <w:color w:val="2E74B5"/>
              </w:rPr>
            </w:pPr>
            <w:r>
              <w:rPr>
                <w:rFonts w:ascii="Calibri" w:eastAsia="Calibri" w:hAnsi="Calibri" w:cs="Calibri"/>
              </w:rPr>
              <w:t>Savoir initier le traitement symptomatique en urgence</w:t>
            </w:r>
          </w:p>
        </w:tc>
      </w:tr>
      <w:tr w:rsidR="00BC1F3F" w14:paraId="770A2B74" w14:textId="77777777" w:rsidTr="00717C5F">
        <w:trPr>
          <w:trHeight w:val="201"/>
        </w:trPr>
        <w:tc>
          <w:tcPr>
            <w:tcW w:w="640" w:type="dxa"/>
            <w:vAlign w:val="center"/>
          </w:tcPr>
          <w:p w14:paraId="774C2E64" w14:textId="355C7E20" w:rsidR="00BC1F3F" w:rsidRPr="00BC1F3F" w:rsidRDefault="00BC1F3F" w:rsidP="00BC1F3F">
            <w:pPr>
              <w:spacing w:line="240" w:lineRule="auto"/>
              <w:jc w:val="center"/>
              <w:rPr>
                <w:rFonts w:ascii="Calibri" w:eastAsia="Calibri" w:hAnsi="Calibri" w:cs="Calibri"/>
              </w:rPr>
            </w:pPr>
            <w:r w:rsidRPr="00BC1F3F">
              <w:rPr>
                <w:rFonts w:ascii="Calibri" w:eastAsia="Calibri" w:hAnsi="Calibri" w:cs="Calibri"/>
                <w:color w:val="2E74B5"/>
              </w:rPr>
              <w:t>B</w:t>
            </w:r>
          </w:p>
        </w:tc>
        <w:tc>
          <w:tcPr>
            <w:tcW w:w="1994" w:type="dxa"/>
            <w:vAlign w:val="center"/>
          </w:tcPr>
          <w:p w14:paraId="409CA63E" w14:textId="3CF00554" w:rsidR="00BC1F3F" w:rsidRDefault="00BC1F3F" w:rsidP="00BC1F3F">
            <w:pPr>
              <w:spacing w:line="240" w:lineRule="auto"/>
              <w:jc w:val="left"/>
              <w:rPr>
                <w:rFonts w:ascii="Calibri" w:eastAsia="Calibri" w:hAnsi="Calibri" w:cs="Calibri"/>
              </w:rPr>
            </w:pPr>
            <w:r>
              <w:rPr>
                <w:rFonts w:ascii="Calibri" w:eastAsia="Calibri" w:hAnsi="Calibri" w:cs="Calibri"/>
                <w:color w:val="2E74B5"/>
              </w:rPr>
              <w:t>Prise en charge</w:t>
            </w:r>
          </w:p>
        </w:tc>
        <w:tc>
          <w:tcPr>
            <w:tcW w:w="6378" w:type="dxa"/>
            <w:vAlign w:val="center"/>
          </w:tcPr>
          <w:p w14:paraId="54A2725D" w14:textId="01A42BA8" w:rsidR="00BC1F3F" w:rsidRDefault="00BC1F3F" w:rsidP="00BC1F3F">
            <w:pPr>
              <w:spacing w:line="240" w:lineRule="auto"/>
              <w:rPr>
                <w:rFonts w:ascii="Calibri" w:eastAsia="Calibri" w:hAnsi="Calibri" w:cs="Calibri"/>
              </w:rPr>
            </w:pPr>
            <w:r>
              <w:rPr>
                <w:rFonts w:ascii="Calibri" w:eastAsia="Calibri" w:hAnsi="Calibri" w:cs="Calibri"/>
                <w:color w:val="2E74B5"/>
              </w:rPr>
              <w:t>Connaître les principes généraux de prise en charge d’une hémoptysie et leur hiérarchisation en fonction de sa gravité</w:t>
            </w:r>
          </w:p>
        </w:tc>
      </w:tr>
    </w:tbl>
    <w:p w14:paraId="33D4B065" w14:textId="77777777" w:rsidR="00AC56AB" w:rsidRDefault="00AC56AB" w:rsidP="00362251"/>
    <w:p w14:paraId="7F04C889" w14:textId="47959A67" w:rsidR="00717C5F" w:rsidRDefault="00876EF8" w:rsidP="00717C5F">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78A62DC1" w14:textId="77777777" w:rsidR="00447337" w:rsidRPr="00447337" w:rsidRDefault="00447337" w:rsidP="00447337">
      <w:pPr>
        <w:jc w:val="center"/>
        <w:rPr>
          <w:color w:val="0070C0"/>
        </w:rPr>
      </w:pPr>
    </w:p>
    <w:p w14:paraId="1A91D4E0" w14:textId="77777777" w:rsidR="00896114" w:rsidRDefault="00876EF8" w:rsidP="00896114">
      <w:pPr>
        <w:pStyle w:val="Pointscls"/>
      </w:pPr>
      <w:r>
        <w:t>Points clés</w:t>
      </w:r>
    </w:p>
    <w:p w14:paraId="1B36860B" w14:textId="77777777" w:rsidR="00896114" w:rsidRPr="00FF1C12" w:rsidRDefault="00896114" w:rsidP="00FF1C12">
      <w:pPr>
        <w:pStyle w:val="pointscls1"/>
      </w:pPr>
      <w:r w:rsidRPr="00FF1C12">
        <w:t>L’hémoptysie est à distinguer de l’hématémèse et de l’épistaxis, sur la base de la clinique. La notion de sang rejeté au cours d’un effort de toux est le point crucial à rechercher.</w:t>
      </w:r>
    </w:p>
    <w:p w14:paraId="15C11509" w14:textId="77777777" w:rsidR="00896114" w:rsidRPr="00FF1C12" w:rsidRDefault="00896114" w:rsidP="00FF1C12">
      <w:pPr>
        <w:pStyle w:val="pointscls1"/>
      </w:pPr>
      <w:r w:rsidRPr="00FF1C12">
        <w:t>C’est un symptôme à ne pas négliger, car une hémoptysie de faible abondance peut récidiver sous forme massive. Une hémoptysie doit toujours être considérée comme une urgence.</w:t>
      </w:r>
    </w:p>
    <w:p w14:paraId="2B50C739" w14:textId="77777777" w:rsidR="00896114" w:rsidRPr="00FF1C12" w:rsidRDefault="00896114" w:rsidP="00FF1C12">
      <w:pPr>
        <w:pStyle w:val="pointscls1"/>
      </w:pPr>
      <w:r w:rsidRPr="00FF1C12">
        <w:t>L’hémoptysie grave se définit par l’abondance du saignement (plus de 200 mL), le terrain sous-jacent et la persistance de l’hemoptysie</w:t>
      </w:r>
    </w:p>
    <w:p w14:paraId="54F79E16" w14:textId="77777777" w:rsidR="00896114" w:rsidRPr="00FF1C12" w:rsidRDefault="00896114" w:rsidP="00FF1C12">
      <w:pPr>
        <w:pStyle w:val="pointscls1"/>
      </w:pPr>
      <w:r w:rsidRPr="00FF1C12">
        <w:t>En cas d’hémoptysie grave, c’est l’asphyxie qui engage le pronostic vital et non le choc hémorragique.</w:t>
      </w:r>
    </w:p>
    <w:p w14:paraId="3A789DAA" w14:textId="77777777" w:rsidR="00896114" w:rsidRPr="00FF1C12" w:rsidRDefault="00896114" w:rsidP="00FF1C12">
      <w:pPr>
        <w:pStyle w:val="pointscls1"/>
      </w:pPr>
      <w:r w:rsidRPr="00FF1C12">
        <w:t>La gravité est fonction du volume du saignement, du terrain sous-jacent (insuffisance respiratoire préexistante) et de la tolérance respiratoire.</w:t>
      </w:r>
    </w:p>
    <w:p w14:paraId="40455D46" w14:textId="77777777" w:rsidR="00896114" w:rsidRPr="00FF1C12" w:rsidRDefault="00896114" w:rsidP="00FF1C12">
      <w:pPr>
        <w:pStyle w:val="pointscls1"/>
      </w:pPr>
      <w:r w:rsidRPr="00FF1C12">
        <w:t xml:space="preserve">La grande majorité des hémoptysies a pour origine une hypervascularisation issue de la circulation artérielle bronchique. Les bronchectasies, le cancer broncho-pulmonaire, la tuberculose, l’aspergillose pulmonaire chronique/aspergillome sont les principales causes d’hémoptysies. </w:t>
      </w:r>
    </w:p>
    <w:p w14:paraId="40180A17" w14:textId="77777777" w:rsidR="00896114" w:rsidRPr="00FF1C12" w:rsidRDefault="00896114" w:rsidP="00FF1C12">
      <w:pPr>
        <w:pStyle w:val="pointscls1"/>
      </w:pPr>
      <w:r w:rsidRPr="00FF1C12">
        <w:t>La prise en charge des hémoptysies graves est multidisciplinaire, impliquant des pneumologues, des réanimateurs, des radiologues interventionnels et parfois des chirurgiens thoraciques.</w:t>
      </w:r>
    </w:p>
    <w:p w14:paraId="7547EF04" w14:textId="6A9E2D75" w:rsidR="00896114" w:rsidRPr="00FF1C12" w:rsidRDefault="00896114" w:rsidP="00FF1C12">
      <w:pPr>
        <w:pStyle w:val="pointscls1"/>
      </w:pPr>
      <w:r w:rsidRPr="00FF1C12">
        <w:t xml:space="preserve">Bilan de 1re intention face à une hémoptysie = angioscanner thoracique </w:t>
      </w:r>
    </w:p>
    <w:p w14:paraId="1D5E1B8C" w14:textId="408287BD" w:rsidR="00896114" w:rsidRPr="00FF1C12" w:rsidRDefault="00896114" w:rsidP="00FF1C12">
      <w:pPr>
        <w:pStyle w:val="pointscls1"/>
      </w:pPr>
      <w:r w:rsidRPr="00FF1C12">
        <w:t>Principes thérapeutiques : Éviter l’asphyxie et tarir le saignement. L’embolisation des artères bronchiques occupe une place centrale dans la prise en charge des hémoptysies graves.</w:t>
      </w:r>
    </w:p>
    <w:p w14:paraId="0D118E1C" w14:textId="77777777" w:rsidR="00896114" w:rsidRDefault="00896114">
      <w:pPr>
        <w:spacing w:after="160"/>
        <w:jc w:val="left"/>
        <w:rPr>
          <w:b/>
          <w:bCs/>
          <w:color w:val="FFFFFF"/>
          <w:sz w:val="22"/>
          <w:szCs w:val="22"/>
        </w:rPr>
      </w:pPr>
      <w:r>
        <w:br w:type="page"/>
      </w:r>
    </w:p>
    <w:p w14:paraId="63E00E34" w14:textId="4D478528" w:rsidR="00896114" w:rsidRDefault="009F5F53" w:rsidP="00896114">
      <w:pPr>
        <w:pStyle w:val="titredepartie"/>
      </w:pPr>
      <w:r>
        <w:lastRenderedPageBreak/>
        <w:t>DEFINITIONS-PHYSIOPATHOTOLOGIE-EPIDEMIOLOGIE</w:t>
      </w:r>
    </w:p>
    <w:p w14:paraId="258DC346" w14:textId="7CCBDCB6" w:rsidR="00896114" w:rsidRDefault="009F5F53" w:rsidP="00896114">
      <w:pPr>
        <w:spacing w:line="276" w:lineRule="auto"/>
      </w:pPr>
      <w:r>
        <w:t>« </w:t>
      </w:r>
      <w:r w:rsidR="00896114">
        <w:t>L’hémoptysie</w:t>
      </w:r>
      <w:r>
        <w:t> »</w:t>
      </w:r>
      <w:r w:rsidR="00896114">
        <w:t xml:space="preserve"> est un symptôme fréquent, elle correspond à un saignement, extériorisé ou non, des voies respiratoires sous-glottiques. Il traduit l’existence d’une anomalie pouvant siéger à tous les étages de l’appareil respiratoire.</w:t>
      </w:r>
    </w:p>
    <w:p w14:paraId="71C959C7" w14:textId="77777777" w:rsidR="009F5F53" w:rsidRDefault="009F5F53" w:rsidP="00896114">
      <w:pPr>
        <w:spacing w:line="276" w:lineRule="auto"/>
      </w:pPr>
    </w:p>
    <w:p w14:paraId="4A891ADD" w14:textId="22D83A07" w:rsidR="00896114" w:rsidRDefault="00896114" w:rsidP="00896114">
      <w:pPr>
        <w:spacing w:line="276" w:lineRule="auto"/>
      </w:pPr>
      <w:r>
        <w:t xml:space="preserve">La quantité de sang émise peut aller du simple crachat strié de sang jusqu’à </w:t>
      </w:r>
      <w:r w:rsidR="009F5F53">
        <w:t>« </w:t>
      </w:r>
      <w:r>
        <w:t>l’hémoptysie massive</w:t>
      </w:r>
      <w:r w:rsidR="009F5F53">
        <w:t> »</w:t>
      </w:r>
      <w:r>
        <w:t xml:space="preserve"> conduisant au décès du patient.</w:t>
      </w:r>
    </w:p>
    <w:p w14:paraId="08D8603D" w14:textId="1FDED231" w:rsidR="00896114" w:rsidRDefault="00896114" w:rsidP="00896114">
      <w:pPr>
        <w:spacing w:line="276" w:lineRule="auto"/>
      </w:pPr>
      <w:r>
        <w:t xml:space="preserve">Même en cas </w:t>
      </w:r>
      <w:r w:rsidR="009F5F53">
        <w:t>« </w:t>
      </w:r>
      <w:r>
        <w:t>d’hémoptysie de faible abondance</w:t>
      </w:r>
      <w:r w:rsidR="009F5F53">
        <w:t> »</w:t>
      </w:r>
      <w:r>
        <w:t xml:space="preserve">, ce symptôme doit toujours être considéré comme une </w:t>
      </w:r>
      <w:r>
        <w:rPr>
          <w:b/>
          <w:bCs/>
        </w:rPr>
        <w:t>urgence</w:t>
      </w:r>
      <w:r>
        <w:t xml:space="preserve">, car une hémoptysie minime peut récidiver sous forme massive et une hémoptysie, même de faible abondance, témoigne le plus souvent d’une pathologie pulmonaire justifiant d’une prise en charge spécifique (cf. causes </w:t>
      </w:r>
      <w:r>
        <w:rPr>
          <w:i/>
          <w:iCs/>
        </w:rPr>
        <w:t>infra</w:t>
      </w:r>
      <w:r>
        <w:t>).</w:t>
      </w:r>
    </w:p>
    <w:p w14:paraId="23E3C997" w14:textId="77777777" w:rsidR="009F5F53" w:rsidRDefault="009F5F53" w:rsidP="00896114">
      <w:pPr>
        <w:spacing w:line="276" w:lineRule="auto"/>
      </w:pPr>
    </w:p>
    <w:p w14:paraId="09BE145A" w14:textId="77777777" w:rsidR="009F5F53" w:rsidRDefault="00896114" w:rsidP="00896114">
      <w:pPr>
        <w:spacing w:line="276" w:lineRule="auto"/>
      </w:pPr>
      <w:r>
        <w:t xml:space="preserve">Quelle que soit son abondance, l’hémoptysie doit donc conduire à une démarche diagnostique à la recherche de l’étiologie et en cas d’hémoptysie menaçante, la démarche diagnostique est menée en parallèle de la prise en charge thérapeutique. </w:t>
      </w:r>
    </w:p>
    <w:p w14:paraId="1E7CA427" w14:textId="77777777" w:rsidR="009F5F53" w:rsidRDefault="00896114" w:rsidP="00896114">
      <w:pPr>
        <w:spacing w:line="276" w:lineRule="auto"/>
      </w:pPr>
      <w:r>
        <w:t xml:space="preserve">Pour illustrer cette prise en charge, l’item sera séparé en deux démarches diagnostiques </w:t>
      </w:r>
    </w:p>
    <w:p w14:paraId="47C98398" w14:textId="1F723F73" w:rsidR="009F5F53" w:rsidRDefault="00896114" w:rsidP="00896114">
      <w:pPr>
        <w:spacing w:line="276" w:lineRule="auto"/>
      </w:pPr>
      <w:r>
        <w:t>1) une partie résumée en 3 questions</w:t>
      </w:r>
      <w:r w:rsidR="009F5F53">
        <w:t xml:space="preserve"> mélangeant physiopathologie et urgence diagnostique/ thérapeutique. Cette prise en charge</w:t>
      </w:r>
      <w:r>
        <w:t xml:space="preserve"> est souvent celle qui doit être mise en marche en clinique/ECOS </w:t>
      </w:r>
    </w:p>
    <w:p w14:paraId="6FF0B05E" w14:textId="3858F55B" w:rsidR="00896114" w:rsidRDefault="00896114" w:rsidP="00896114">
      <w:pPr>
        <w:spacing w:line="276" w:lineRule="auto"/>
      </w:pPr>
      <w:r>
        <w:t>2) une partie avec la démarche diagnostique analytique standard.</w:t>
      </w:r>
    </w:p>
    <w:p w14:paraId="7FAAE66E" w14:textId="77777777" w:rsidR="00896114" w:rsidRDefault="00896114" w:rsidP="00896114"/>
    <w:p w14:paraId="5A56F389" w14:textId="77777777" w:rsidR="00896114" w:rsidRDefault="00896114" w:rsidP="00896114">
      <w:pPr>
        <w:pStyle w:val="titredepartie"/>
      </w:pPr>
      <w:r>
        <w:t>PARTIE 1 : PRISE EN CHARGE PRAGMATIQUE EN trois questions essentielles</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896114" w14:paraId="0C587A5A" w14:textId="77777777" w:rsidTr="00896114">
        <w:trPr>
          <w:trHeight w:val="942"/>
        </w:trPr>
        <w:tc>
          <w:tcPr>
            <w:tcW w:w="9067" w:type="dxa"/>
            <w:vAlign w:val="center"/>
          </w:tcPr>
          <w:p w14:paraId="54C9A60F" w14:textId="77777777" w:rsidR="00896114" w:rsidRDefault="00896114" w:rsidP="0094705B">
            <w:pPr>
              <w:jc w:val="left"/>
            </w:pPr>
            <w:r>
              <w:rPr>
                <w:b/>
                <w:bCs/>
              </w:rPr>
              <w:t>On cherchera à répondre aux 3 questions :</w:t>
            </w:r>
            <w:r>
              <w:rPr>
                <w:noProof/>
              </w:rPr>
              <w:drawing>
                <wp:anchor distT="0" distB="0" distL="114300" distR="114300" simplePos="0" relativeHeight="251814912" behindDoc="0" locked="0" layoutInCell="1" hidden="0" allowOverlap="1" wp14:anchorId="25B81B2C" wp14:editId="22F72B05">
                  <wp:simplePos x="0" y="0"/>
                  <wp:positionH relativeFrom="column">
                    <wp:posOffset>-703579</wp:posOffset>
                  </wp:positionH>
                  <wp:positionV relativeFrom="paragraph">
                    <wp:posOffset>23495</wp:posOffset>
                  </wp:positionV>
                  <wp:extent cx="609600" cy="585470"/>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09600" cy="585470"/>
                          </a:xfrm>
                          <a:prstGeom prst="rect">
                            <a:avLst/>
                          </a:prstGeom>
                          <a:ln/>
                        </pic:spPr>
                      </pic:pic>
                    </a:graphicData>
                  </a:graphic>
                </wp:anchor>
              </w:drawing>
            </w:r>
          </w:p>
          <w:p w14:paraId="56F47EBD" w14:textId="77777777" w:rsidR="00896114" w:rsidRDefault="00896114">
            <w:pPr>
              <w:numPr>
                <w:ilvl w:val="0"/>
                <w:numId w:val="12"/>
              </w:numPr>
              <w:pBdr>
                <w:top w:val="nil"/>
                <w:left w:val="nil"/>
                <w:bottom w:val="nil"/>
                <w:right w:val="nil"/>
                <w:between w:val="nil"/>
              </w:pBdr>
              <w:spacing w:line="276" w:lineRule="auto"/>
            </w:pPr>
            <w:r>
              <w:t>Confirmer la réalité de l’hémoptysie dans les cas où le diagnostic n’est pas évident</w:t>
            </w:r>
          </w:p>
          <w:p w14:paraId="7CAF0B13" w14:textId="77777777" w:rsidR="00896114" w:rsidRDefault="00896114">
            <w:pPr>
              <w:numPr>
                <w:ilvl w:val="0"/>
                <w:numId w:val="12"/>
              </w:numPr>
              <w:pBdr>
                <w:top w:val="nil"/>
                <w:left w:val="nil"/>
                <w:bottom w:val="nil"/>
                <w:right w:val="nil"/>
                <w:between w:val="nil"/>
              </w:pBdr>
              <w:spacing w:line="276" w:lineRule="auto"/>
            </w:pPr>
            <w:r>
              <w:t>Apprécier la gravité de l’hémoptysie</w:t>
            </w:r>
          </w:p>
          <w:p w14:paraId="6248BFC0" w14:textId="77777777" w:rsidR="00896114" w:rsidRDefault="00896114">
            <w:pPr>
              <w:numPr>
                <w:ilvl w:val="0"/>
                <w:numId w:val="12"/>
              </w:numPr>
              <w:pBdr>
                <w:top w:val="nil"/>
                <w:left w:val="nil"/>
                <w:bottom w:val="nil"/>
                <w:right w:val="nil"/>
                <w:between w:val="nil"/>
              </w:pBdr>
              <w:spacing w:line="276" w:lineRule="auto"/>
            </w:pPr>
            <w:r>
              <w:t>Aboutir au diagnostic étiologique en précisant le site ou au moins le côté du saignement.</w:t>
            </w:r>
          </w:p>
          <w:p w14:paraId="1BF11FAA" w14:textId="77777777" w:rsidR="00896114" w:rsidRDefault="00896114" w:rsidP="0094705B">
            <w:pPr>
              <w:pBdr>
                <w:top w:val="nil"/>
                <w:left w:val="nil"/>
                <w:bottom w:val="nil"/>
                <w:right w:val="nil"/>
                <w:between w:val="nil"/>
              </w:pBdr>
              <w:spacing w:line="276" w:lineRule="auto"/>
              <w:rPr>
                <w:b/>
                <w:bCs/>
                <w:color w:val="0070C0"/>
              </w:rPr>
            </w:pPr>
            <w:r>
              <w:rPr>
                <w:i/>
                <w:iCs/>
                <w:color w:val="0070C0"/>
              </w:rPr>
              <w:t xml:space="preserve"> </w:t>
            </w:r>
            <w:r>
              <w:rPr>
                <w:color w:val="0070C0"/>
              </w:rPr>
              <w:t>(Objectif fondamental puisqu’il va, dans les formes graves, permettre de guider la thérapeutique (embolisation artérielle bronchique, chirurgie, voire manœuvres endobronchiques d’hémostase)).</w:t>
            </w:r>
            <w:r>
              <w:rPr>
                <w:noProof/>
              </w:rPr>
              <w:drawing>
                <wp:anchor distT="0" distB="0" distL="114300" distR="114300" simplePos="0" relativeHeight="251815936" behindDoc="0" locked="0" layoutInCell="1" hidden="0" allowOverlap="1" wp14:anchorId="7F3A35F4" wp14:editId="7734DB5B">
                  <wp:simplePos x="0" y="0"/>
                  <wp:positionH relativeFrom="column">
                    <wp:posOffset>90171</wp:posOffset>
                  </wp:positionH>
                  <wp:positionV relativeFrom="paragraph">
                    <wp:posOffset>15240</wp:posOffset>
                  </wp:positionV>
                  <wp:extent cx="153670" cy="137160"/>
                  <wp:effectExtent l="0" t="0" r="0" b="0"/>
                  <wp:wrapSquare wrapText="bothSides" distT="0" distB="0" distL="114300" distR="11430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tc>
      </w:tr>
    </w:tbl>
    <w:p w14:paraId="395A8E03" w14:textId="77777777" w:rsidR="00896114" w:rsidRDefault="00896114" w:rsidP="00896114"/>
    <w:p w14:paraId="6206CF39" w14:textId="77777777" w:rsidR="00896114" w:rsidRDefault="00896114" w:rsidP="00896114">
      <w:pPr>
        <w:pStyle w:val="titredesous-partie"/>
      </w:pPr>
      <w:r>
        <w:rPr>
          <w:shd w:val="clear" w:color="auto" w:fill="auto"/>
        </w:rPr>
        <w:t>QUESTION 1 : S’agit-il bien d’une hémoptysie</w:t>
      </w:r>
      <w:r>
        <w:rPr>
          <w:rFonts w:ascii="Arial" w:eastAsia="Arial" w:hAnsi="Arial" w:cs="Arial"/>
          <w:shd w:val="clear" w:color="auto" w:fill="auto"/>
        </w:rPr>
        <w:t> </w:t>
      </w:r>
      <w:r>
        <w:rPr>
          <w:shd w:val="clear" w:color="auto" w:fill="auto"/>
        </w:rPr>
        <w:t>?</w:t>
      </w:r>
    </w:p>
    <w:p w14:paraId="3A489825" w14:textId="77777777" w:rsidR="00896114" w:rsidRDefault="00896114" w:rsidP="00896114">
      <w:pPr>
        <w:pBdr>
          <w:top w:val="nil"/>
          <w:left w:val="nil"/>
          <w:bottom w:val="nil"/>
          <w:right w:val="nil"/>
          <w:between w:val="nil"/>
        </w:pBdr>
        <w:spacing w:line="276" w:lineRule="auto"/>
      </w:pPr>
      <w:r>
        <w:t>Le plus souvent le sang rouge vif est extériorisé par la bouche</w:t>
      </w:r>
      <w:r>
        <w:rPr>
          <w:b/>
          <w:bCs/>
        </w:rPr>
        <w:t xml:space="preserve"> </w:t>
      </w:r>
      <w:r>
        <w:rPr>
          <w:b/>
          <w:bCs/>
          <w:u w:val="single"/>
        </w:rPr>
        <w:t>au cours d’efforts de toux</w:t>
      </w:r>
      <w:r>
        <w:t xml:space="preserve">. </w:t>
      </w:r>
    </w:p>
    <w:p w14:paraId="0E01A680" w14:textId="77777777" w:rsidR="00896114" w:rsidRDefault="00896114" w:rsidP="00896114">
      <w:pPr>
        <w:pBdr>
          <w:top w:val="nil"/>
          <w:left w:val="nil"/>
          <w:bottom w:val="nil"/>
          <w:right w:val="nil"/>
          <w:between w:val="nil"/>
        </w:pBdr>
        <w:spacing w:line="276" w:lineRule="auto"/>
      </w:pPr>
      <w:r>
        <w:t>Prodromes ou signes d’accompagnement évocateurs : chaleur rétrosternale, angoisse, chatouillement laryngé ou goût métallique dans la bouche.</w:t>
      </w:r>
    </w:p>
    <w:p w14:paraId="705D34EB" w14:textId="77777777" w:rsidR="00896114" w:rsidRDefault="00896114" w:rsidP="00896114">
      <w:pPr>
        <w:pBdr>
          <w:top w:val="nil"/>
          <w:left w:val="nil"/>
          <w:bottom w:val="nil"/>
          <w:right w:val="nil"/>
          <w:between w:val="nil"/>
        </w:pBdr>
        <w:spacing w:line="276" w:lineRule="auto"/>
      </w:pPr>
      <w:r>
        <w:t>Le diagnostic positif est :</w:t>
      </w:r>
    </w:p>
    <w:p w14:paraId="42C412F5" w14:textId="77777777" w:rsidR="00896114" w:rsidRDefault="00896114" w:rsidP="00896114">
      <w:pPr>
        <w:pBdr>
          <w:top w:val="nil"/>
          <w:left w:val="nil"/>
          <w:bottom w:val="nil"/>
          <w:right w:val="nil"/>
          <w:between w:val="nil"/>
        </w:pBdr>
        <w:spacing w:line="276" w:lineRule="auto"/>
      </w:pPr>
      <w:r>
        <w:t>- Aisé si l’on assiste à l’épisode ou en cas de forme massive.</w:t>
      </w:r>
    </w:p>
    <w:p w14:paraId="771816F2" w14:textId="77777777" w:rsidR="00896114" w:rsidRDefault="00896114" w:rsidP="00896114">
      <w:pPr>
        <w:pBdr>
          <w:top w:val="nil"/>
          <w:left w:val="nil"/>
          <w:bottom w:val="nil"/>
          <w:right w:val="nil"/>
          <w:between w:val="nil"/>
        </w:pBdr>
        <w:spacing w:line="276" w:lineRule="auto"/>
      </w:pPr>
      <w:r>
        <w:t>- Parfois plus difficile, les deux diagnostics qui peuvent alors se discuter sont :</w:t>
      </w:r>
    </w:p>
    <w:p w14:paraId="723528DD" w14:textId="65B31EB0" w:rsidR="00896114" w:rsidRDefault="00896114">
      <w:pPr>
        <w:numPr>
          <w:ilvl w:val="0"/>
          <w:numId w:val="14"/>
        </w:numPr>
        <w:pBdr>
          <w:top w:val="nil"/>
          <w:left w:val="nil"/>
          <w:bottom w:val="nil"/>
          <w:right w:val="nil"/>
          <w:between w:val="nil"/>
        </w:pBdr>
        <w:spacing w:line="276" w:lineRule="auto"/>
        <w:ind w:left="426" w:hanging="284"/>
      </w:pPr>
      <w:r>
        <w:t>Une hématémèse :</w:t>
      </w:r>
    </w:p>
    <w:p w14:paraId="7C6D964D" w14:textId="77777777" w:rsidR="00896114" w:rsidRDefault="00896114">
      <w:pPr>
        <w:numPr>
          <w:ilvl w:val="0"/>
          <w:numId w:val="15"/>
        </w:numPr>
        <w:pBdr>
          <w:top w:val="nil"/>
          <w:left w:val="nil"/>
          <w:bottom w:val="nil"/>
          <w:right w:val="nil"/>
          <w:between w:val="nil"/>
        </w:pBdr>
        <w:spacing w:line="276" w:lineRule="auto"/>
        <w:ind w:left="567" w:hanging="141"/>
      </w:pPr>
      <w:r>
        <w:t>Valeur des antécédents digestifs, de la notion d’une émission au cours d’un effort de vomissement, de débris alimentaires associés.</w:t>
      </w:r>
    </w:p>
    <w:p w14:paraId="132BF718" w14:textId="77777777" w:rsidR="00896114" w:rsidRDefault="00896114">
      <w:pPr>
        <w:numPr>
          <w:ilvl w:val="0"/>
          <w:numId w:val="15"/>
        </w:numPr>
        <w:pBdr>
          <w:top w:val="nil"/>
          <w:left w:val="nil"/>
          <w:bottom w:val="nil"/>
          <w:right w:val="nil"/>
          <w:between w:val="nil"/>
        </w:pBdr>
        <w:spacing w:line="276" w:lineRule="auto"/>
        <w:ind w:left="567" w:hanging="141"/>
      </w:pPr>
      <w:r>
        <w:t>En sachant que le sang trouvé dans l’estomac peut parfois correspondre à une hémoptysie déglutie.</w:t>
      </w:r>
    </w:p>
    <w:p w14:paraId="18B31595" w14:textId="77777777" w:rsidR="00896114" w:rsidRDefault="00896114">
      <w:pPr>
        <w:numPr>
          <w:ilvl w:val="0"/>
          <w:numId w:val="14"/>
        </w:numPr>
        <w:pBdr>
          <w:top w:val="nil"/>
          <w:left w:val="nil"/>
          <w:bottom w:val="nil"/>
          <w:right w:val="nil"/>
          <w:between w:val="nil"/>
        </w:pBdr>
        <w:spacing w:line="276" w:lineRule="auto"/>
        <w:ind w:left="426" w:hanging="284"/>
      </w:pPr>
      <w:r>
        <w:t>Un saignement ORL (épistaxis postérieure ou saignement pharyngolaryngé).</w:t>
      </w:r>
    </w:p>
    <w:p w14:paraId="294FC202" w14:textId="77777777" w:rsidR="00896114" w:rsidRDefault="00896114" w:rsidP="00896114">
      <w:pPr>
        <w:pBdr>
          <w:top w:val="nil"/>
          <w:left w:val="nil"/>
          <w:bottom w:val="nil"/>
          <w:right w:val="nil"/>
          <w:between w:val="nil"/>
        </w:pBdr>
        <w:spacing w:line="276" w:lineRule="auto"/>
      </w:pPr>
    </w:p>
    <w:p w14:paraId="73D28823" w14:textId="77777777" w:rsidR="00896114" w:rsidRDefault="00896114" w:rsidP="00896114">
      <w:pPr>
        <w:pBdr>
          <w:top w:val="nil"/>
          <w:left w:val="nil"/>
          <w:bottom w:val="nil"/>
          <w:right w:val="nil"/>
          <w:between w:val="nil"/>
        </w:pBdr>
        <w:spacing w:line="276" w:lineRule="auto"/>
      </w:pPr>
      <w:r>
        <w:t>En cas de doute sur la réalité d’une hémoptysie :</w:t>
      </w:r>
    </w:p>
    <w:p w14:paraId="6EBD9681" w14:textId="77777777" w:rsidR="00896114" w:rsidRDefault="00896114" w:rsidP="00896114">
      <w:pPr>
        <w:pBdr>
          <w:top w:val="nil"/>
          <w:left w:val="nil"/>
          <w:bottom w:val="nil"/>
          <w:right w:val="nil"/>
          <w:between w:val="nil"/>
        </w:pBdr>
        <w:spacing w:line="276" w:lineRule="auto"/>
      </w:pPr>
      <w:r>
        <w:t>- On recherche la notion d’un effort de toux conduisant à l’expectoration de sang.</w:t>
      </w:r>
    </w:p>
    <w:p w14:paraId="7A43D35D" w14:textId="77777777" w:rsidR="00896114" w:rsidRDefault="00896114" w:rsidP="00896114">
      <w:pPr>
        <w:pBdr>
          <w:top w:val="nil"/>
          <w:left w:val="nil"/>
          <w:bottom w:val="nil"/>
          <w:right w:val="nil"/>
          <w:between w:val="nil"/>
        </w:pBdr>
        <w:spacing w:line="276" w:lineRule="auto"/>
      </w:pPr>
      <w:r>
        <w:t>- L’endoscopie (bronchique, oeso-gastrique, ORL) tranchera en déterminant l’origine du saignement.</w:t>
      </w:r>
    </w:p>
    <w:p w14:paraId="17108468" w14:textId="77777777" w:rsidR="00896114" w:rsidRDefault="00896114" w:rsidP="00896114">
      <w:pPr>
        <w:pBdr>
          <w:top w:val="nil"/>
          <w:left w:val="nil"/>
          <w:bottom w:val="nil"/>
          <w:right w:val="nil"/>
          <w:between w:val="nil"/>
        </w:pBdr>
        <w:spacing w:line="276" w:lineRule="auto"/>
      </w:pPr>
      <w:r>
        <w:t>- L’angioTDM thoracique peut aussi orienter vers une hémoptysie si elle montre des signes indirects de saignement en fenêtre parenchymateuse : plages de verre dépoli, condensations alvéolaires.</w:t>
      </w:r>
    </w:p>
    <w:p w14:paraId="6FB459BA" w14:textId="77777777" w:rsidR="00896114" w:rsidRDefault="00896114" w:rsidP="00896114">
      <w:pPr>
        <w:spacing w:line="276" w:lineRule="auto"/>
      </w:pPr>
    </w:p>
    <w:p w14:paraId="74E32D80" w14:textId="77777777" w:rsidR="00896114" w:rsidRDefault="00896114" w:rsidP="00896114">
      <w:pPr>
        <w:pStyle w:val="titredesous-partie"/>
      </w:pPr>
      <w:r>
        <w:rPr>
          <w:shd w:val="clear" w:color="auto" w:fill="auto"/>
        </w:rPr>
        <w:t>QUESTION 2 : Quelle est la gravité de l’hémoptysie</w:t>
      </w:r>
      <w:r>
        <w:rPr>
          <w:rFonts w:ascii="Arial" w:eastAsia="Arial" w:hAnsi="Arial" w:cs="Arial"/>
          <w:shd w:val="clear" w:color="auto" w:fill="auto"/>
        </w:rPr>
        <w:t> </w:t>
      </w:r>
      <w:r>
        <w:rPr>
          <w:shd w:val="clear" w:color="auto" w:fill="auto"/>
        </w:rPr>
        <w:t>?</w:t>
      </w:r>
    </w:p>
    <w:p w14:paraId="4A558E4C" w14:textId="77777777" w:rsidR="00896114" w:rsidRDefault="00896114" w:rsidP="00896114">
      <w:pPr>
        <w:spacing w:line="276" w:lineRule="auto"/>
      </w:pPr>
      <w:r>
        <w:t xml:space="preserve">La gravité de l’hémoptysie est liée à : </w:t>
      </w:r>
    </w:p>
    <w:p w14:paraId="4F40CAC2" w14:textId="35777477" w:rsidR="00896114" w:rsidRDefault="00896114" w:rsidP="00896114">
      <w:pPr>
        <w:spacing w:line="276" w:lineRule="auto"/>
      </w:pPr>
      <w:r w:rsidRPr="00896114">
        <w:t>- L’abondance du saignement : ≥ 200 mL chez un sujet sans comorbidités (figure 1).</w:t>
      </w:r>
    </w:p>
    <w:p w14:paraId="03AF4374" w14:textId="77777777" w:rsidR="00896114" w:rsidRDefault="00896114" w:rsidP="00896114">
      <w:pPr>
        <w:spacing w:line="276" w:lineRule="auto"/>
      </w:pPr>
      <w:r>
        <w:t>- Au terrain sous-jacent (un saignement modéré sera grave chez un insuffisant respiratoire).</w:t>
      </w:r>
    </w:p>
    <w:p w14:paraId="75BB7DD9" w14:textId="77777777" w:rsidR="00896114" w:rsidRDefault="00896114" w:rsidP="00896114">
      <w:pPr>
        <w:spacing w:line="276" w:lineRule="auto"/>
      </w:pPr>
      <w:r>
        <w:t>- Sa persistance (le fait que le saignement n’a pas tendance à se tarir, notamment sous traitement vasoconstricteur, est un critère de gravité).</w:t>
      </w:r>
    </w:p>
    <w:p w14:paraId="747BD952" w14:textId="77777777" w:rsidR="00896114" w:rsidRDefault="00896114" w:rsidP="00896114">
      <w:pPr>
        <w:pBdr>
          <w:top w:val="nil"/>
          <w:left w:val="nil"/>
          <w:bottom w:val="nil"/>
          <w:right w:val="nil"/>
          <w:between w:val="nil"/>
        </w:pBdr>
        <w:spacing w:line="276" w:lineRule="auto"/>
      </w:pPr>
    </w:p>
    <w:p w14:paraId="4E4D0C8F" w14:textId="77777777" w:rsidR="00896114" w:rsidRDefault="00896114" w:rsidP="00896114">
      <w:pPr>
        <w:pBdr>
          <w:top w:val="nil"/>
          <w:left w:val="nil"/>
          <w:bottom w:val="nil"/>
          <w:right w:val="nil"/>
          <w:between w:val="nil"/>
        </w:pBdr>
        <w:spacing w:line="276" w:lineRule="auto"/>
      </w:pPr>
      <w:r>
        <w:t>L’appréciation de l’abondance de l’hémoptysie est un élément essentiel à préciser :</w:t>
      </w:r>
    </w:p>
    <w:p w14:paraId="7CE7A7D5" w14:textId="77777777" w:rsidR="00896114" w:rsidRDefault="00896114" w:rsidP="00896114">
      <w:pPr>
        <w:pBdr>
          <w:top w:val="nil"/>
          <w:left w:val="nil"/>
          <w:bottom w:val="nil"/>
          <w:right w:val="nil"/>
          <w:between w:val="nil"/>
        </w:pBdr>
        <w:spacing w:line="276" w:lineRule="auto"/>
      </w:pPr>
      <w:r>
        <w:t>- En dehors de l’hôpital, on tente d’estimer le volume du saignement en interrogeant le patient ou l’entourage en prenant des exemples simples de contenants. Le plus parlant peut être de montrer un crachoir gradué et de faire estimer la quantité au malade (figure 1).</w:t>
      </w:r>
    </w:p>
    <w:p w14:paraId="5E1E8712" w14:textId="77777777" w:rsidR="00896114" w:rsidRDefault="00896114" w:rsidP="00896114">
      <w:pPr>
        <w:pBdr>
          <w:top w:val="nil"/>
          <w:left w:val="nil"/>
          <w:bottom w:val="nil"/>
          <w:right w:val="nil"/>
          <w:between w:val="nil"/>
        </w:pBdr>
        <w:spacing w:line="276" w:lineRule="auto"/>
      </w:pPr>
      <w:r>
        <w:t>- À l’hôpital, dès l’admission, on l’apprécie en recueillant les expectorations dans des récipients gradués (figure 2).</w:t>
      </w:r>
    </w:p>
    <w:p w14:paraId="54309E92" w14:textId="77777777" w:rsidR="00896114" w:rsidRDefault="00896114" w:rsidP="00896114">
      <w:pPr>
        <w:pBdr>
          <w:top w:val="nil"/>
          <w:left w:val="nil"/>
          <w:bottom w:val="nil"/>
          <w:right w:val="nil"/>
          <w:between w:val="nil"/>
        </w:pBdr>
        <w:spacing w:line="276" w:lineRule="auto"/>
      </w:pPr>
    </w:p>
    <w:p w14:paraId="6840297E" w14:textId="5BD06FBB" w:rsidR="00896114" w:rsidRDefault="00896114" w:rsidP="00896114">
      <w:pPr>
        <w:pStyle w:val="lgende"/>
      </w:pPr>
      <w:r>
        <w:rPr>
          <w:noProof/>
        </w:rPr>
        <w:drawing>
          <wp:anchor distT="0" distB="0" distL="114300" distR="114300" simplePos="0" relativeHeight="251816960" behindDoc="0" locked="0" layoutInCell="1" hidden="0" allowOverlap="1" wp14:anchorId="41D02CDE" wp14:editId="4CA7AB12">
            <wp:simplePos x="0" y="0"/>
            <wp:positionH relativeFrom="margin">
              <wp:align>right</wp:align>
            </wp:positionH>
            <wp:positionV relativeFrom="paragraph">
              <wp:posOffset>8255</wp:posOffset>
            </wp:positionV>
            <wp:extent cx="3339721" cy="2226365"/>
            <wp:effectExtent l="0" t="0" r="0" b="254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3339721" cy="2226365"/>
                    </a:xfrm>
                    <a:prstGeom prst="rect">
                      <a:avLst/>
                    </a:prstGeom>
                    <a:ln/>
                  </pic:spPr>
                </pic:pic>
              </a:graphicData>
            </a:graphic>
          </wp:anchor>
        </w:drawing>
      </w:r>
      <w:r>
        <w:t>Figure 1 : Exemples simples de contenants permettant d’estimer le volume d’une hémoptysie (une cuillère à soupe pleine au ¾ représente environ 10 mL ; un verre ou un crachoir plein au ¾ représente environ 100 mL ; un haricot (ou un bol) plein au ¾ représente environ 500 mL). Le risque vital existe au-delà de 200 mL.</w:t>
      </w:r>
    </w:p>
    <w:p w14:paraId="0084BA8B" w14:textId="77777777" w:rsidR="00896114" w:rsidRDefault="00896114" w:rsidP="00896114">
      <w:pPr>
        <w:spacing w:line="276" w:lineRule="auto"/>
        <w:ind w:left="993" w:hanging="993"/>
      </w:pPr>
    </w:p>
    <w:p w14:paraId="7EF50BF5" w14:textId="77777777" w:rsidR="00896114" w:rsidRDefault="00896114" w:rsidP="00896114">
      <w:pPr>
        <w:spacing w:line="276" w:lineRule="auto"/>
        <w:ind w:left="993" w:hanging="993"/>
      </w:pPr>
    </w:p>
    <w:p w14:paraId="19D8AF51" w14:textId="77777777" w:rsidR="00896114" w:rsidRDefault="00896114" w:rsidP="00896114">
      <w:pPr>
        <w:spacing w:line="276" w:lineRule="auto"/>
        <w:jc w:val="center"/>
      </w:pPr>
    </w:p>
    <w:p w14:paraId="28CA7870" w14:textId="77777777" w:rsidR="00896114" w:rsidRDefault="00896114" w:rsidP="00896114">
      <w:pPr>
        <w:spacing w:line="276" w:lineRule="auto"/>
      </w:pPr>
    </w:p>
    <w:p w14:paraId="14A6A843" w14:textId="77777777" w:rsidR="00896114" w:rsidRDefault="00896114" w:rsidP="00896114">
      <w:pPr>
        <w:spacing w:line="276" w:lineRule="auto"/>
      </w:pPr>
    </w:p>
    <w:p w14:paraId="4BE997E9" w14:textId="77777777" w:rsidR="00896114" w:rsidRDefault="00896114" w:rsidP="00896114">
      <w:pPr>
        <w:spacing w:line="276" w:lineRule="auto"/>
      </w:pPr>
    </w:p>
    <w:p w14:paraId="7A7B3B7F" w14:textId="28588008" w:rsidR="00896114" w:rsidRDefault="00896114" w:rsidP="00896114">
      <w:pPr>
        <w:spacing w:line="276" w:lineRule="auto"/>
      </w:pPr>
      <w:r>
        <w:rPr>
          <w:noProof/>
        </w:rPr>
        <w:drawing>
          <wp:anchor distT="0" distB="0" distL="114300" distR="114300" simplePos="0" relativeHeight="251817984" behindDoc="0" locked="0" layoutInCell="1" hidden="0" allowOverlap="1" wp14:anchorId="0299923A" wp14:editId="72C70041">
            <wp:simplePos x="0" y="0"/>
            <wp:positionH relativeFrom="margin">
              <wp:align>right</wp:align>
            </wp:positionH>
            <wp:positionV relativeFrom="paragraph">
              <wp:posOffset>86360</wp:posOffset>
            </wp:positionV>
            <wp:extent cx="4482465" cy="1273175"/>
            <wp:effectExtent l="0" t="0" r="0" b="3175"/>
            <wp:wrapSquare wrapText="bothSides" distT="0" distB="0" distL="114300" distR="114300"/>
            <wp:docPr id="8"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3"/>
                    <a:srcRect/>
                    <a:stretch>
                      <a:fillRect/>
                    </a:stretch>
                  </pic:blipFill>
                  <pic:spPr>
                    <a:xfrm>
                      <a:off x="0" y="0"/>
                      <a:ext cx="4482465" cy="1273175"/>
                    </a:xfrm>
                    <a:prstGeom prst="rect">
                      <a:avLst/>
                    </a:prstGeom>
                    <a:ln/>
                  </pic:spPr>
                </pic:pic>
              </a:graphicData>
            </a:graphic>
            <wp14:sizeRelH relativeFrom="margin">
              <wp14:pctWidth>0</wp14:pctWidth>
            </wp14:sizeRelH>
            <wp14:sizeRelV relativeFrom="margin">
              <wp14:pctHeight>0</wp14:pctHeight>
            </wp14:sizeRelV>
          </wp:anchor>
        </w:drawing>
      </w:r>
    </w:p>
    <w:p w14:paraId="64A67D08" w14:textId="2BD8699D" w:rsidR="00896114" w:rsidRDefault="00896114" w:rsidP="00896114">
      <w:pPr>
        <w:pStyle w:val="lgende"/>
      </w:pPr>
      <w:r>
        <w:t>Figure 2 : Surveillance du saignement par recueil de toutes les expectorations par tranches de 3 heures.</w:t>
      </w:r>
    </w:p>
    <w:p w14:paraId="62178C86" w14:textId="5761A3AA" w:rsidR="00896114" w:rsidRDefault="00896114" w:rsidP="00896114">
      <w:pPr>
        <w:pBdr>
          <w:top w:val="nil"/>
          <w:left w:val="nil"/>
          <w:bottom w:val="nil"/>
          <w:right w:val="nil"/>
          <w:between w:val="nil"/>
        </w:pBdr>
        <w:spacing w:line="276" w:lineRule="auto"/>
      </w:pPr>
    </w:p>
    <w:p w14:paraId="3C76CABE" w14:textId="77777777" w:rsidR="00896114" w:rsidRDefault="00896114" w:rsidP="00896114">
      <w:pPr>
        <w:pBdr>
          <w:top w:val="nil"/>
          <w:left w:val="nil"/>
          <w:bottom w:val="nil"/>
          <w:right w:val="nil"/>
          <w:between w:val="nil"/>
        </w:pBdr>
        <w:spacing w:line="276" w:lineRule="auto"/>
      </w:pPr>
    </w:p>
    <w:p w14:paraId="043B08CF" w14:textId="77777777" w:rsidR="00896114" w:rsidRDefault="00896114" w:rsidP="00896114">
      <w:pPr>
        <w:pBdr>
          <w:top w:val="nil"/>
          <w:left w:val="nil"/>
          <w:bottom w:val="nil"/>
          <w:right w:val="nil"/>
          <w:between w:val="nil"/>
        </w:pBdr>
        <w:spacing w:line="276" w:lineRule="auto"/>
      </w:pPr>
    </w:p>
    <w:p w14:paraId="78AC46DE" w14:textId="77777777" w:rsidR="00896114" w:rsidRDefault="00896114" w:rsidP="00896114">
      <w:pPr>
        <w:pBdr>
          <w:top w:val="nil"/>
          <w:left w:val="nil"/>
          <w:bottom w:val="nil"/>
          <w:right w:val="nil"/>
          <w:between w:val="nil"/>
        </w:pBdr>
        <w:spacing w:line="276" w:lineRule="auto"/>
      </w:pPr>
    </w:p>
    <w:p w14:paraId="67CDAE76" w14:textId="77777777" w:rsidR="00896114" w:rsidRDefault="00896114" w:rsidP="00896114">
      <w:pPr>
        <w:spacing w:line="276" w:lineRule="auto"/>
      </w:pPr>
      <w:r>
        <w:t>Gravité immédiate d’une hémoptysie : RISQUE ASPHYXIQUE</w:t>
      </w:r>
    </w:p>
    <w:p w14:paraId="58AAC6B9" w14:textId="77777777" w:rsidR="00896114" w:rsidRDefault="00896114" w:rsidP="00896114">
      <w:pPr>
        <w:spacing w:line="276" w:lineRule="auto"/>
      </w:pPr>
      <w:r>
        <w:lastRenderedPageBreak/>
        <w:t>- Elle ne vient pas du risque de spoliation sanguine, mais du risque asphyxique et du retentissement sur l’hématose (le volume des voies aériennes de conduction étant approximativement de 200 mL).</w:t>
      </w:r>
    </w:p>
    <w:p w14:paraId="2A968997" w14:textId="77777777" w:rsidR="00896114" w:rsidRDefault="00896114" w:rsidP="00896114">
      <w:pPr>
        <w:spacing w:line="276" w:lineRule="auto"/>
      </w:pPr>
      <w:r>
        <w:t>- Toute hémoptysie même minime doit être considérée comme une urgence. Il n’est pas rare en effet qu’après un épisode minime, l’hémoptysie récidive sous une forme beaucoup plus sévère.</w:t>
      </w:r>
    </w:p>
    <w:p w14:paraId="6C292C49" w14:textId="33DD0756" w:rsidR="00896114" w:rsidRDefault="00896114" w:rsidP="00896114">
      <w:pPr>
        <w:spacing w:line="276" w:lineRule="auto"/>
      </w:pPr>
      <w:r>
        <w:rPr>
          <w:noProof/>
        </w:rPr>
        <w:drawing>
          <wp:anchor distT="0" distB="0" distL="114300" distR="114300" simplePos="0" relativeHeight="251835392" behindDoc="0" locked="0" layoutInCell="1" hidden="0" allowOverlap="1" wp14:anchorId="5F70A33F" wp14:editId="613C823E">
            <wp:simplePos x="0" y="0"/>
            <wp:positionH relativeFrom="column">
              <wp:posOffset>-256377</wp:posOffset>
            </wp:positionH>
            <wp:positionV relativeFrom="paragraph">
              <wp:posOffset>201295</wp:posOffset>
            </wp:positionV>
            <wp:extent cx="153670" cy="137160"/>
            <wp:effectExtent l="0" t="0" r="0" b="0"/>
            <wp:wrapSquare wrapText="bothSides" distT="0" distB="0" distL="114300" distR="1143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0294E2D6" w14:textId="4914891D" w:rsidR="00896114" w:rsidRDefault="00896114" w:rsidP="00896114">
      <w:pPr>
        <w:pStyle w:val="titredesous-partie"/>
      </w:pPr>
      <w:r>
        <w:rPr>
          <w:shd w:val="clear" w:color="auto" w:fill="auto"/>
        </w:rPr>
        <w:t>QUESTION 3 : Quel est le mécanisme et la cause de l’hémoptysie</w:t>
      </w:r>
      <w:r>
        <w:rPr>
          <w:rFonts w:ascii="Arial" w:eastAsia="Arial" w:hAnsi="Arial" w:cs="Arial"/>
          <w:shd w:val="clear" w:color="auto" w:fill="auto"/>
        </w:rPr>
        <w:t> </w:t>
      </w:r>
      <w:r>
        <w:rPr>
          <w:shd w:val="clear" w:color="auto" w:fill="auto"/>
        </w:rPr>
        <w:t>?</w:t>
      </w:r>
    </w:p>
    <w:p w14:paraId="24CED807" w14:textId="76E922EE" w:rsidR="00896114" w:rsidRDefault="00896114" w:rsidP="00896114">
      <w:pPr>
        <w:pStyle w:val="Titre2"/>
      </w:pPr>
      <w:r>
        <w:t>Origine du saignement</w:t>
      </w:r>
    </w:p>
    <w:p w14:paraId="2E42456F" w14:textId="77777777" w:rsidR="00896114" w:rsidRDefault="00896114" w:rsidP="00896114">
      <w:pPr>
        <w:pBdr>
          <w:top w:val="nil"/>
          <w:left w:val="nil"/>
          <w:bottom w:val="nil"/>
          <w:right w:val="nil"/>
          <w:between w:val="nil"/>
        </w:pBdr>
        <w:spacing w:line="276" w:lineRule="auto"/>
        <w:rPr>
          <w:i/>
          <w:iCs/>
          <w:color w:val="0070C0"/>
        </w:rPr>
      </w:pPr>
      <w:r>
        <w:rPr>
          <w:i/>
          <w:iCs/>
          <w:color w:val="0070C0"/>
        </w:rPr>
        <w:t xml:space="preserve">- Le plus souvent de la </w:t>
      </w:r>
      <w:r>
        <w:rPr>
          <w:b/>
          <w:bCs/>
          <w:i/>
          <w:iCs/>
          <w:color w:val="0070C0"/>
        </w:rPr>
        <w:t xml:space="preserve">circulation systémique </w:t>
      </w:r>
      <w:r>
        <w:rPr>
          <w:i/>
          <w:iCs/>
          <w:color w:val="0070C0"/>
        </w:rPr>
        <w:t>bronchique par le biais du développement d’une hypervascularisation artérielle systémique (HVS) dans le cadre d’une pathologie respiratoire sous-jacente.</w:t>
      </w:r>
    </w:p>
    <w:p w14:paraId="3F6E8958" w14:textId="77777777" w:rsidR="00896114" w:rsidRDefault="00896114" w:rsidP="00896114">
      <w:pPr>
        <w:pBdr>
          <w:top w:val="nil"/>
          <w:left w:val="nil"/>
          <w:bottom w:val="nil"/>
          <w:right w:val="nil"/>
          <w:between w:val="nil"/>
        </w:pBdr>
        <w:spacing w:line="276" w:lineRule="auto"/>
        <w:rPr>
          <w:i/>
          <w:iCs/>
          <w:color w:val="0070C0"/>
        </w:rPr>
      </w:pPr>
      <w:r>
        <w:rPr>
          <w:i/>
          <w:iCs/>
          <w:color w:val="0070C0"/>
        </w:rPr>
        <w:t>- Beaucoup plus rarement de la circulation pulmonaire (artérielle ou veineuse).</w:t>
      </w:r>
    </w:p>
    <w:p w14:paraId="0E97BC87" w14:textId="77777777" w:rsidR="00896114" w:rsidRDefault="00896114" w:rsidP="00896114">
      <w:pPr>
        <w:pBdr>
          <w:top w:val="nil"/>
          <w:left w:val="nil"/>
          <w:bottom w:val="nil"/>
          <w:right w:val="nil"/>
          <w:between w:val="nil"/>
        </w:pBdr>
        <w:spacing w:line="276" w:lineRule="auto"/>
        <w:rPr>
          <w:i/>
          <w:iCs/>
          <w:color w:val="0070C0"/>
        </w:rPr>
      </w:pPr>
    </w:p>
    <w:p w14:paraId="6E284C6D" w14:textId="57D7A698" w:rsidR="00896114" w:rsidRDefault="00896114" w:rsidP="00896114">
      <w:pPr>
        <w:pStyle w:val="Titre2"/>
      </w:pPr>
      <w:r>
        <w:t>Principales étiologies des hémoptysies</w:t>
      </w:r>
    </w:p>
    <w:p w14:paraId="1B08D315" w14:textId="77777777" w:rsidR="00896114" w:rsidRDefault="00896114" w:rsidP="00896114">
      <w:pPr>
        <w:pBdr>
          <w:top w:val="nil"/>
          <w:left w:val="nil"/>
          <w:bottom w:val="nil"/>
          <w:right w:val="nil"/>
          <w:between w:val="nil"/>
        </w:pBdr>
        <w:spacing w:line="276" w:lineRule="auto"/>
        <w:rPr>
          <w:b/>
          <w:bCs/>
          <w:i/>
          <w:iCs/>
          <w:color w:val="0070C0"/>
        </w:rPr>
      </w:pPr>
      <w:r>
        <w:rPr>
          <w:i/>
          <w:iCs/>
          <w:color w:val="0070C0"/>
        </w:rPr>
        <w:t xml:space="preserve">Les causes d’hémoptysie sont nombreuses (tableau 1), mais sont dominées par </w:t>
      </w:r>
      <w:r>
        <w:rPr>
          <w:b/>
          <w:bCs/>
          <w:i/>
          <w:iCs/>
          <w:color w:val="0070C0"/>
        </w:rPr>
        <w:t>«</w:t>
      </w:r>
      <w:r>
        <w:rPr>
          <w:rFonts w:ascii="Arial" w:eastAsia="Arial" w:hAnsi="Arial" w:cs="Arial"/>
          <w:b/>
          <w:bCs/>
          <w:i/>
          <w:iCs/>
          <w:color w:val="0070C0"/>
        </w:rPr>
        <w:t> </w:t>
      </w:r>
      <w:r>
        <w:rPr>
          <w:b/>
          <w:bCs/>
          <w:i/>
          <w:iCs/>
          <w:color w:val="0070C0"/>
        </w:rPr>
        <w:t>ABCDE</w:t>
      </w:r>
      <w:r>
        <w:rPr>
          <w:rFonts w:ascii="Arial" w:eastAsia="Arial" w:hAnsi="Arial" w:cs="Arial"/>
          <w:b/>
          <w:bCs/>
          <w:i/>
          <w:iCs/>
          <w:color w:val="0070C0"/>
        </w:rPr>
        <w:t> </w:t>
      </w:r>
      <w:r>
        <w:rPr>
          <w:b/>
          <w:bCs/>
          <w:i/>
          <w:iCs/>
          <w:color w:val="0070C0"/>
        </w:rPr>
        <w:t>» :</w:t>
      </w:r>
    </w:p>
    <w:p w14:paraId="3C968C3E" w14:textId="77777777" w:rsidR="00896114" w:rsidRDefault="00896114" w:rsidP="00896114">
      <w:pPr>
        <w:pBdr>
          <w:top w:val="nil"/>
          <w:left w:val="nil"/>
          <w:bottom w:val="nil"/>
          <w:right w:val="nil"/>
          <w:between w:val="nil"/>
        </w:pBdr>
        <w:spacing w:line="276" w:lineRule="auto"/>
        <w:rPr>
          <w:i/>
          <w:iCs/>
          <w:color w:val="0070C0"/>
        </w:rPr>
      </w:pPr>
      <w:r>
        <w:rPr>
          <w:b/>
          <w:bCs/>
          <w:i/>
          <w:iCs/>
          <w:color w:val="0070C0"/>
        </w:rPr>
        <w:t>- A </w:t>
      </w:r>
      <w:r>
        <w:rPr>
          <w:i/>
          <w:iCs/>
          <w:color w:val="0070C0"/>
        </w:rPr>
        <w:t>: l’Aspergillose pulmonaire chronique (dans sa forme cavitaire).</w:t>
      </w:r>
    </w:p>
    <w:p w14:paraId="768F0887" w14:textId="77777777" w:rsidR="00896114" w:rsidRDefault="00896114" w:rsidP="00896114">
      <w:pPr>
        <w:pBdr>
          <w:top w:val="nil"/>
          <w:left w:val="nil"/>
          <w:bottom w:val="nil"/>
          <w:right w:val="nil"/>
          <w:between w:val="nil"/>
        </w:pBdr>
        <w:spacing w:line="276" w:lineRule="auto"/>
        <w:rPr>
          <w:b/>
          <w:bCs/>
          <w:i/>
          <w:iCs/>
          <w:color w:val="0070C0"/>
        </w:rPr>
      </w:pPr>
      <w:r>
        <w:rPr>
          <w:b/>
          <w:bCs/>
          <w:i/>
          <w:iCs/>
          <w:color w:val="0070C0"/>
        </w:rPr>
        <w:t>- B </w:t>
      </w:r>
      <w:r>
        <w:rPr>
          <w:i/>
          <w:iCs/>
          <w:color w:val="0070C0"/>
        </w:rPr>
        <w:t>: BK - tuberculose active ou séquellaire.</w:t>
      </w:r>
    </w:p>
    <w:p w14:paraId="6847135C" w14:textId="77777777" w:rsidR="00896114" w:rsidRDefault="00896114" w:rsidP="00896114">
      <w:pPr>
        <w:pBdr>
          <w:top w:val="nil"/>
          <w:left w:val="nil"/>
          <w:bottom w:val="nil"/>
          <w:right w:val="nil"/>
          <w:between w:val="nil"/>
        </w:pBdr>
        <w:spacing w:line="276" w:lineRule="auto"/>
        <w:rPr>
          <w:i/>
          <w:iCs/>
          <w:color w:val="0070C0"/>
        </w:rPr>
      </w:pPr>
      <w:r>
        <w:rPr>
          <w:b/>
          <w:bCs/>
          <w:i/>
          <w:iCs/>
          <w:color w:val="0070C0"/>
        </w:rPr>
        <w:t>- C</w:t>
      </w:r>
      <w:r>
        <w:rPr>
          <w:i/>
          <w:iCs/>
          <w:color w:val="0070C0"/>
        </w:rPr>
        <w:t> : Cancers broncho-pulmonaires.</w:t>
      </w:r>
    </w:p>
    <w:p w14:paraId="09BE950E" w14:textId="77777777" w:rsidR="00896114" w:rsidRDefault="00896114" w:rsidP="00896114">
      <w:pPr>
        <w:pBdr>
          <w:top w:val="nil"/>
          <w:left w:val="nil"/>
          <w:bottom w:val="nil"/>
          <w:right w:val="nil"/>
          <w:between w:val="nil"/>
        </w:pBdr>
        <w:spacing w:line="276" w:lineRule="auto"/>
        <w:rPr>
          <w:i/>
          <w:iCs/>
          <w:color w:val="0070C0"/>
        </w:rPr>
      </w:pPr>
      <w:r>
        <w:rPr>
          <w:b/>
          <w:bCs/>
          <w:i/>
          <w:iCs/>
          <w:color w:val="0070C0"/>
        </w:rPr>
        <w:t>- D</w:t>
      </w:r>
      <w:r>
        <w:rPr>
          <w:i/>
          <w:iCs/>
          <w:color w:val="0070C0"/>
        </w:rPr>
        <w:t> : DDB - dilatations bronchiques (bronchectasies).</w:t>
      </w:r>
    </w:p>
    <w:p w14:paraId="6F68EB63" w14:textId="77777777" w:rsidR="00896114" w:rsidRDefault="00896114" w:rsidP="00896114">
      <w:pPr>
        <w:pBdr>
          <w:top w:val="nil"/>
          <w:left w:val="nil"/>
          <w:bottom w:val="nil"/>
          <w:right w:val="nil"/>
          <w:between w:val="nil"/>
        </w:pBdr>
        <w:spacing w:line="276" w:lineRule="auto"/>
        <w:rPr>
          <w:i/>
          <w:iCs/>
          <w:color w:val="0070C0"/>
        </w:rPr>
      </w:pPr>
      <w:r>
        <w:rPr>
          <w:b/>
          <w:bCs/>
          <w:i/>
          <w:iCs/>
          <w:color w:val="0070C0"/>
        </w:rPr>
        <w:t>- E </w:t>
      </w:r>
      <w:r>
        <w:rPr>
          <w:i/>
          <w:iCs/>
          <w:color w:val="0070C0"/>
        </w:rPr>
        <w:t>: Embolie pulmonaire.</w:t>
      </w:r>
    </w:p>
    <w:p w14:paraId="18E53542" w14:textId="77777777" w:rsidR="00896114" w:rsidRDefault="00896114" w:rsidP="00896114">
      <w:pPr>
        <w:spacing w:line="276" w:lineRule="auto"/>
        <w:jc w:val="left"/>
      </w:pPr>
    </w:p>
    <w:p w14:paraId="5710642E" w14:textId="32275F81" w:rsidR="00896114" w:rsidRPr="00896114" w:rsidRDefault="00896114" w:rsidP="00896114">
      <w:pPr>
        <w:pStyle w:val="lgende"/>
        <w:rPr>
          <w:i/>
          <w:iCs/>
        </w:rPr>
      </w:pPr>
      <w:r w:rsidRPr="00896114">
        <w:rPr>
          <w:color w:val="0070C0"/>
        </w:rPr>
        <w:t>Tableau 1 : Principales étiologies des hémoptysies (les plus fréquentes sont marquées d’une *).</w:t>
      </w: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896114" w14:paraId="67E2F9F4" w14:textId="77777777" w:rsidTr="00896114">
        <w:tc>
          <w:tcPr>
            <w:tcW w:w="9067" w:type="dxa"/>
          </w:tcPr>
          <w:p w14:paraId="2AE02968" w14:textId="77777777" w:rsidR="00896114" w:rsidRDefault="00896114" w:rsidP="00896114">
            <w:pPr>
              <w:spacing w:line="276" w:lineRule="auto"/>
              <w:rPr>
                <w:b/>
                <w:bCs/>
                <w:color w:val="0070C0"/>
              </w:rPr>
            </w:pPr>
            <w:r>
              <w:rPr>
                <w:b/>
                <w:bCs/>
                <w:color w:val="0070C0"/>
              </w:rPr>
              <w:t>Infectieuse</w:t>
            </w:r>
          </w:p>
          <w:p w14:paraId="74A13572" w14:textId="77777777" w:rsidR="00896114" w:rsidRDefault="00896114" w:rsidP="00896114">
            <w:pPr>
              <w:pBdr>
                <w:top w:val="nil"/>
                <w:left w:val="nil"/>
                <w:bottom w:val="nil"/>
                <w:right w:val="nil"/>
                <w:between w:val="nil"/>
              </w:pBdr>
              <w:spacing w:line="276" w:lineRule="auto"/>
              <w:rPr>
                <w:color w:val="0070C0"/>
              </w:rPr>
            </w:pPr>
            <w:r>
              <w:rPr>
                <w:color w:val="0070C0"/>
              </w:rPr>
              <w:t>- Dilatations des bronches (bronchectasies) localisées ou diffuses*.</w:t>
            </w:r>
          </w:p>
          <w:p w14:paraId="678C5F3B" w14:textId="77777777" w:rsidR="00896114" w:rsidRDefault="00896114" w:rsidP="00896114">
            <w:pPr>
              <w:pBdr>
                <w:top w:val="nil"/>
                <w:left w:val="nil"/>
                <w:bottom w:val="nil"/>
                <w:right w:val="nil"/>
                <w:between w:val="nil"/>
              </w:pBdr>
              <w:spacing w:line="276" w:lineRule="auto"/>
              <w:rPr>
                <w:color w:val="0070C0"/>
              </w:rPr>
            </w:pPr>
            <w:r>
              <w:rPr>
                <w:color w:val="0070C0"/>
              </w:rPr>
              <w:t>- Tuberculose* :</w:t>
            </w:r>
          </w:p>
          <w:p w14:paraId="0F2E4E5A" w14:textId="77777777" w:rsidR="00896114" w:rsidRDefault="00896114">
            <w:pPr>
              <w:numPr>
                <w:ilvl w:val="0"/>
                <w:numId w:val="16"/>
              </w:numPr>
              <w:pBdr>
                <w:top w:val="nil"/>
                <w:left w:val="nil"/>
                <w:bottom w:val="nil"/>
                <w:right w:val="nil"/>
                <w:between w:val="nil"/>
              </w:pBdr>
              <w:spacing w:line="276" w:lineRule="auto"/>
              <w:ind w:left="313" w:hanging="142"/>
              <w:rPr>
                <w:color w:val="0070C0"/>
              </w:rPr>
            </w:pPr>
            <w:r>
              <w:rPr>
                <w:color w:val="0070C0"/>
              </w:rPr>
              <w:t>Évolutive : érosion vasculaire par une caverne.</w:t>
            </w:r>
          </w:p>
          <w:p w14:paraId="7E808618" w14:textId="77777777" w:rsidR="00896114" w:rsidRDefault="00896114">
            <w:pPr>
              <w:numPr>
                <w:ilvl w:val="0"/>
                <w:numId w:val="16"/>
              </w:numPr>
              <w:pBdr>
                <w:top w:val="nil"/>
                <w:left w:val="nil"/>
                <w:bottom w:val="nil"/>
                <w:right w:val="nil"/>
                <w:between w:val="nil"/>
              </w:pBdr>
              <w:spacing w:line="276" w:lineRule="auto"/>
              <w:ind w:left="313" w:hanging="142"/>
              <w:rPr>
                <w:color w:val="0070C0"/>
              </w:rPr>
            </w:pPr>
            <w:r>
              <w:rPr>
                <w:color w:val="0070C0"/>
              </w:rPr>
              <w:t>Séquelles : dilatations des bronches secondaires, aspergillose pulmonaire chronique sur une caverne détergée.</w:t>
            </w:r>
          </w:p>
          <w:p w14:paraId="23A537CA" w14:textId="77777777" w:rsidR="00896114" w:rsidRDefault="00896114" w:rsidP="00896114">
            <w:pPr>
              <w:pBdr>
                <w:top w:val="nil"/>
                <w:left w:val="nil"/>
                <w:bottom w:val="nil"/>
                <w:right w:val="nil"/>
                <w:between w:val="nil"/>
              </w:pBdr>
              <w:spacing w:line="276" w:lineRule="auto"/>
              <w:rPr>
                <w:color w:val="0070C0"/>
              </w:rPr>
            </w:pPr>
            <w:r>
              <w:rPr>
                <w:color w:val="0070C0"/>
              </w:rPr>
              <w:t>- Infection fungique (aspergillose pulmonaire chronique*).</w:t>
            </w:r>
          </w:p>
          <w:p w14:paraId="1459F79C" w14:textId="77777777" w:rsidR="00896114" w:rsidRDefault="00896114" w:rsidP="00896114">
            <w:pPr>
              <w:pBdr>
                <w:top w:val="nil"/>
                <w:left w:val="nil"/>
                <w:bottom w:val="nil"/>
                <w:right w:val="nil"/>
                <w:between w:val="nil"/>
              </w:pBdr>
              <w:spacing w:line="276" w:lineRule="auto"/>
              <w:rPr>
                <w:color w:val="0070C0"/>
              </w:rPr>
            </w:pPr>
            <w:r>
              <w:rPr>
                <w:color w:val="0070C0"/>
              </w:rPr>
              <w:t>- Pneumopathies infectieuses nécrosantes.</w:t>
            </w:r>
          </w:p>
          <w:p w14:paraId="5A7CCA20" w14:textId="77777777" w:rsidR="00896114" w:rsidRDefault="00896114" w:rsidP="00896114">
            <w:pPr>
              <w:pBdr>
                <w:top w:val="nil"/>
                <w:left w:val="nil"/>
                <w:bottom w:val="nil"/>
                <w:right w:val="nil"/>
                <w:between w:val="nil"/>
              </w:pBdr>
              <w:spacing w:line="276" w:lineRule="auto"/>
              <w:rPr>
                <w:color w:val="0070C0"/>
              </w:rPr>
            </w:pPr>
          </w:p>
          <w:p w14:paraId="00631F25" w14:textId="77777777" w:rsidR="00896114" w:rsidRDefault="00896114" w:rsidP="00896114">
            <w:pPr>
              <w:spacing w:line="276" w:lineRule="auto"/>
              <w:rPr>
                <w:color w:val="0070C0"/>
              </w:rPr>
            </w:pPr>
            <w:r>
              <w:rPr>
                <w:b/>
                <w:bCs/>
                <w:color w:val="0070C0"/>
              </w:rPr>
              <w:t>Tumorale</w:t>
            </w:r>
            <w:r>
              <w:rPr>
                <w:color w:val="0070C0"/>
              </w:rPr>
              <w:t xml:space="preserve"> (tumeurs broncho-pulmonaires primitives)*.</w:t>
            </w:r>
          </w:p>
          <w:p w14:paraId="75AE8908" w14:textId="77777777" w:rsidR="00896114" w:rsidRDefault="00896114" w:rsidP="00896114">
            <w:pPr>
              <w:spacing w:line="276" w:lineRule="auto"/>
              <w:rPr>
                <w:color w:val="0070C0"/>
              </w:rPr>
            </w:pPr>
          </w:p>
          <w:p w14:paraId="43CBF9C2" w14:textId="77777777" w:rsidR="00896114" w:rsidRDefault="00896114" w:rsidP="00896114">
            <w:pPr>
              <w:spacing w:line="276" w:lineRule="auto"/>
              <w:rPr>
                <w:b/>
                <w:bCs/>
                <w:color w:val="0070C0"/>
              </w:rPr>
            </w:pPr>
            <w:r>
              <w:rPr>
                <w:b/>
                <w:bCs/>
                <w:color w:val="0070C0"/>
              </w:rPr>
              <w:t>Vasculaire</w:t>
            </w:r>
          </w:p>
          <w:p w14:paraId="03396777" w14:textId="77777777" w:rsidR="00896114" w:rsidRDefault="00896114" w:rsidP="00896114">
            <w:pPr>
              <w:pBdr>
                <w:top w:val="nil"/>
                <w:left w:val="nil"/>
                <w:bottom w:val="nil"/>
                <w:right w:val="nil"/>
                <w:between w:val="nil"/>
              </w:pBdr>
              <w:spacing w:line="276" w:lineRule="auto"/>
              <w:rPr>
                <w:color w:val="0070C0"/>
              </w:rPr>
            </w:pPr>
            <w:r>
              <w:rPr>
                <w:color w:val="0070C0"/>
              </w:rPr>
              <w:t>- Embolie pulmonaire.</w:t>
            </w:r>
          </w:p>
          <w:p w14:paraId="4C42E77E" w14:textId="77777777" w:rsidR="00896114" w:rsidRDefault="00896114" w:rsidP="00896114">
            <w:pPr>
              <w:pBdr>
                <w:top w:val="nil"/>
                <w:left w:val="nil"/>
                <w:bottom w:val="nil"/>
                <w:right w:val="nil"/>
                <w:between w:val="nil"/>
              </w:pBdr>
              <w:spacing w:line="276" w:lineRule="auto"/>
              <w:rPr>
                <w:color w:val="0070C0"/>
              </w:rPr>
            </w:pPr>
            <w:r>
              <w:rPr>
                <w:color w:val="0070C0"/>
              </w:rPr>
              <w:t>- Malformations artério-veineuses (isolées ou dans le cadre d’une maladie de Rendu-Osler).</w:t>
            </w:r>
          </w:p>
          <w:p w14:paraId="3DB7AD82" w14:textId="77777777" w:rsidR="00896114" w:rsidRDefault="00896114" w:rsidP="00896114">
            <w:pPr>
              <w:pBdr>
                <w:top w:val="nil"/>
                <w:left w:val="nil"/>
                <w:bottom w:val="nil"/>
                <w:right w:val="nil"/>
                <w:between w:val="nil"/>
              </w:pBdr>
              <w:spacing w:line="276" w:lineRule="auto"/>
              <w:rPr>
                <w:b/>
                <w:bCs/>
                <w:color w:val="0070C0"/>
              </w:rPr>
            </w:pPr>
          </w:p>
          <w:p w14:paraId="4A8831D0" w14:textId="77777777" w:rsidR="00896114" w:rsidRDefault="00896114" w:rsidP="00896114">
            <w:pPr>
              <w:pBdr>
                <w:top w:val="nil"/>
                <w:left w:val="nil"/>
                <w:bottom w:val="nil"/>
                <w:right w:val="nil"/>
                <w:between w:val="nil"/>
              </w:pBdr>
              <w:spacing w:line="276" w:lineRule="auto"/>
              <w:rPr>
                <w:color w:val="0070C0"/>
              </w:rPr>
            </w:pPr>
            <w:r>
              <w:rPr>
                <w:b/>
                <w:bCs/>
                <w:color w:val="0070C0"/>
              </w:rPr>
              <w:t>Hémorragies alvéolaires</w:t>
            </w:r>
          </w:p>
          <w:p w14:paraId="65EBCD61" w14:textId="77777777" w:rsidR="00896114" w:rsidRDefault="00896114" w:rsidP="00896114">
            <w:pPr>
              <w:pBdr>
                <w:top w:val="nil"/>
                <w:left w:val="nil"/>
                <w:bottom w:val="nil"/>
                <w:right w:val="nil"/>
                <w:between w:val="nil"/>
              </w:pBdr>
              <w:spacing w:line="276" w:lineRule="auto"/>
              <w:rPr>
                <w:color w:val="0070C0"/>
              </w:rPr>
            </w:pPr>
            <w:r>
              <w:rPr>
                <w:color w:val="0070C0"/>
              </w:rPr>
              <w:t>- Insuffisance cardiaque gauche et rétrécissement mitral.</w:t>
            </w:r>
          </w:p>
          <w:p w14:paraId="2232F3C2" w14:textId="77777777" w:rsidR="00896114" w:rsidRDefault="00896114" w:rsidP="00896114">
            <w:pPr>
              <w:pBdr>
                <w:top w:val="nil"/>
                <w:left w:val="nil"/>
                <w:bottom w:val="nil"/>
                <w:right w:val="nil"/>
                <w:between w:val="nil"/>
              </w:pBdr>
              <w:spacing w:line="276" w:lineRule="auto"/>
              <w:rPr>
                <w:color w:val="0070C0"/>
              </w:rPr>
            </w:pPr>
            <w:r>
              <w:rPr>
                <w:color w:val="0070C0"/>
              </w:rPr>
              <w:t>- Médicaments ou toxiques (pénicillamine, isocyanates, crack).</w:t>
            </w:r>
          </w:p>
          <w:p w14:paraId="17BE1413" w14:textId="77777777" w:rsidR="00896114" w:rsidRDefault="00896114" w:rsidP="00896114">
            <w:pPr>
              <w:pBdr>
                <w:top w:val="nil"/>
                <w:left w:val="nil"/>
                <w:bottom w:val="nil"/>
                <w:right w:val="nil"/>
                <w:between w:val="nil"/>
              </w:pBdr>
              <w:spacing w:line="276" w:lineRule="auto"/>
              <w:rPr>
                <w:color w:val="0070C0"/>
              </w:rPr>
            </w:pPr>
            <w:r>
              <w:rPr>
                <w:color w:val="0070C0"/>
              </w:rPr>
              <w:t>- Vascularites (syndrome de Goodpasture) &amp; collagénoses (lupus).</w:t>
            </w:r>
          </w:p>
          <w:p w14:paraId="7214D206" w14:textId="77777777" w:rsidR="00896114" w:rsidRDefault="00896114" w:rsidP="00896114">
            <w:pPr>
              <w:spacing w:line="276" w:lineRule="auto"/>
              <w:rPr>
                <w:b/>
                <w:bCs/>
                <w:color w:val="0070C0"/>
              </w:rPr>
            </w:pPr>
          </w:p>
          <w:p w14:paraId="23CA2811" w14:textId="77777777" w:rsidR="00896114" w:rsidRDefault="00896114" w:rsidP="00896114">
            <w:pPr>
              <w:spacing w:line="276" w:lineRule="auto"/>
              <w:rPr>
                <w:b/>
                <w:bCs/>
                <w:color w:val="0070C0"/>
              </w:rPr>
            </w:pPr>
            <w:r>
              <w:rPr>
                <w:b/>
                <w:bCs/>
                <w:color w:val="0070C0"/>
              </w:rPr>
              <w:t>Hémoptysie idiopathique*</w:t>
            </w:r>
          </w:p>
          <w:p w14:paraId="1D6FDFA2" w14:textId="77777777" w:rsidR="00896114" w:rsidRDefault="00896114" w:rsidP="00896114">
            <w:pPr>
              <w:pBdr>
                <w:top w:val="nil"/>
                <w:left w:val="nil"/>
                <w:bottom w:val="nil"/>
                <w:right w:val="nil"/>
                <w:between w:val="nil"/>
              </w:pBdr>
              <w:spacing w:line="276" w:lineRule="auto"/>
              <w:rPr>
                <w:color w:val="0070C0"/>
              </w:rPr>
            </w:pPr>
            <w:r>
              <w:rPr>
                <w:color w:val="0070C0"/>
              </w:rPr>
              <w:lastRenderedPageBreak/>
              <w:t>- La forme idiopathique (encore appelée hémoptysie cryptogénique) n’est retenue que lorsque des examens de référence (scanner thoracique et endoscopie bronchique) ne permettent pas d’identifier l’étiologie de l’hémoptysie. Cette forme représente plus d’un tiers des cas selon les séries).</w:t>
            </w:r>
          </w:p>
        </w:tc>
      </w:tr>
    </w:tbl>
    <w:p w14:paraId="099BF703" w14:textId="77777777" w:rsidR="00896114" w:rsidRDefault="00896114" w:rsidP="00896114">
      <w:pPr>
        <w:spacing w:line="276" w:lineRule="auto"/>
        <w:rPr>
          <w:b/>
          <w:bCs/>
          <w:color w:val="0070C0"/>
        </w:rPr>
      </w:pPr>
    </w:p>
    <w:p w14:paraId="3C29B22B" w14:textId="77777777" w:rsidR="009F5F53" w:rsidRDefault="009F5F53" w:rsidP="00896114">
      <w:pPr>
        <w:spacing w:line="276" w:lineRule="auto"/>
        <w:rPr>
          <w:b/>
          <w:bCs/>
          <w:color w:val="0070C0"/>
        </w:rPr>
      </w:pPr>
    </w:p>
    <w:p w14:paraId="1DEB89C3" w14:textId="77777777" w:rsidR="009F5F53" w:rsidRDefault="009F5F53" w:rsidP="00896114">
      <w:pPr>
        <w:spacing w:line="276" w:lineRule="auto"/>
        <w:rPr>
          <w:b/>
          <w:bCs/>
          <w:color w:val="0070C0"/>
        </w:rPr>
      </w:pPr>
    </w:p>
    <w:p w14:paraId="3F5FDABF" w14:textId="16939067" w:rsidR="00896114" w:rsidRDefault="009F5F53" w:rsidP="00896114">
      <w:pPr>
        <w:pStyle w:val="titredepartie"/>
      </w:pPr>
      <w:r>
        <w:t xml:space="preserve">PARTIE 2 : </w:t>
      </w:r>
      <w:r w:rsidR="00896114">
        <w:t>STRATÉGIE DIAGNOSTIQUE DEVANT UNE HÉMOPTYSIE</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896114" w14:paraId="57FA7BC1" w14:textId="77777777" w:rsidTr="00896114">
        <w:trPr>
          <w:trHeight w:val="1210"/>
        </w:trPr>
        <w:tc>
          <w:tcPr>
            <w:tcW w:w="9067" w:type="dxa"/>
            <w:vAlign w:val="center"/>
          </w:tcPr>
          <w:p w14:paraId="5B57B51D" w14:textId="77777777" w:rsidR="00896114" w:rsidRDefault="00896114" w:rsidP="00896114">
            <w:pPr>
              <w:spacing w:line="276" w:lineRule="auto"/>
              <w:rPr>
                <w:b/>
                <w:bCs/>
              </w:rPr>
            </w:pPr>
            <w:r>
              <w:rPr>
                <w:b/>
                <w:bCs/>
              </w:rPr>
              <w:t xml:space="preserve">RAPPEL on cherchera à répondre aux 3 questions </w:t>
            </w:r>
            <w:r>
              <w:rPr>
                <w:noProof/>
              </w:rPr>
              <w:drawing>
                <wp:anchor distT="0" distB="0" distL="114300" distR="114300" simplePos="0" relativeHeight="251821056" behindDoc="0" locked="0" layoutInCell="1" hidden="0" allowOverlap="1" wp14:anchorId="54ADF638" wp14:editId="30CBB177">
                  <wp:simplePos x="0" y="0"/>
                  <wp:positionH relativeFrom="column">
                    <wp:posOffset>25401</wp:posOffset>
                  </wp:positionH>
                  <wp:positionV relativeFrom="paragraph">
                    <wp:posOffset>55244</wp:posOffset>
                  </wp:positionV>
                  <wp:extent cx="615950" cy="591820"/>
                  <wp:effectExtent l="0" t="0" r="0" b="0"/>
                  <wp:wrapSquare wrapText="bothSides" distT="0" distB="0" distL="114300" distR="11430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15950" cy="591820"/>
                          </a:xfrm>
                          <a:prstGeom prst="rect">
                            <a:avLst/>
                          </a:prstGeom>
                          <a:ln/>
                        </pic:spPr>
                      </pic:pic>
                    </a:graphicData>
                  </a:graphic>
                </wp:anchor>
              </w:drawing>
            </w:r>
          </w:p>
          <w:p w14:paraId="4ECC10AC" w14:textId="77777777" w:rsidR="00896114" w:rsidRDefault="00896114">
            <w:pPr>
              <w:numPr>
                <w:ilvl w:val="0"/>
                <w:numId w:val="13"/>
              </w:numPr>
              <w:pBdr>
                <w:top w:val="nil"/>
                <w:left w:val="nil"/>
                <w:bottom w:val="nil"/>
                <w:right w:val="nil"/>
                <w:between w:val="nil"/>
              </w:pBdr>
              <w:spacing w:line="276" w:lineRule="auto"/>
              <w:ind w:hanging="784"/>
            </w:pPr>
            <w:r>
              <w:t>Confirmer la réalité de l’hémoptysie dans les cas où le diagnostic n’est pas évident.</w:t>
            </w:r>
          </w:p>
          <w:p w14:paraId="05A868FC" w14:textId="77777777" w:rsidR="00896114" w:rsidRDefault="00896114">
            <w:pPr>
              <w:numPr>
                <w:ilvl w:val="0"/>
                <w:numId w:val="13"/>
              </w:numPr>
              <w:pBdr>
                <w:top w:val="nil"/>
                <w:left w:val="nil"/>
                <w:bottom w:val="nil"/>
                <w:right w:val="nil"/>
                <w:between w:val="nil"/>
              </w:pBdr>
              <w:spacing w:line="276" w:lineRule="auto"/>
              <w:ind w:hanging="784"/>
            </w:pPr>
            <w:r>
              <w:t>Apprécier la gravité de l’hémoptysie.</w:t>
            </w:r>
          </w:p>
          <w:p w14:paraId="28D03E80" w14:textId="77777777" w:rsidR="00896114" w:rsidRDefault="00896114">
            <w:pPr>
              <w:numPr>
                <w:ilvl w:val="0"/>
                <w:numId w:val="13"/>
              </w:numPr>
              <w:pBdr>
                <w:top w:val="nil"/>
                <w:left w:val="nil"/>
                <w:bottom w:val="nil"/>
                <w:right w:val="nil"/>
                <w:between w:val="nil"/>
              </w:pBdr>
              <w:spacing w:line="276" w:lineRule="auto"/>
              <w:ind w:hanging="784"/>
              <w:rPr>
                <w:b/>
                <w:bCs/>
              </w:rPr>
            </w:pPr>
            <w:r>
              <w:t>Aboutir au diagnostic étiologique en précisant le site ou au moins le côté du saignement.</w:t>
            </w:r>
          </w:p>
        </w:tc>
      </w:tr>
    </w:tbl>
    <w:p w14:paraId="3F6A915A" w14:textId="77777777" w:rsidR="00896114" w:rsidRDefault="00896114" w:rsidP="00896114">
      <w:pPr>
        <w:spacing w:line="276" w:lineRule="auto"/>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896114" w14:paraId="010D4904" w14:textId="77777777" w:rsidTr="00896114">
        <w:trPr>
          <w:trHeight w:val="1210"/>
        </w:trPr>
        <w:tc>
          <w:tcPr>
            <w:tcW w:w="9067" w:type="dxa"/>
            <w:vAlign w:val="center"/>
          </w:tcPr>
          <w:p w14:paraId="7656F54C" w14:textId="77777777" w:rsidR="00896114" w:rsidRDefault="00896114" w:rsidP="00896114">
            <w:pPr>
              <w:pBdr>
                <w:top w:val="nil"/>
                <w:left w:val="nil"/>
                <w:bottom w:val="nil"/>
                <w:right w:val="nil"/>
                <w:between w:val="nil"/>
              </w:pBdr>
              <w:spacing w:line="276" w:lineRule="auto"/>
              <w:rPr>
                <w:rFonts w:ascii="Arial" w:eastAsia="Arial" w:hAnsi="Arial" w:cs="Arial"/>
                <w:sz w:val="22"/>
                <w:szCs w:val="22"/>
              </w:rPr>
            </w:pPr>
            <w:r>
              <w:t>Une hémoptysie peut être le début d’un ECOS sur une autre pathologie, mais il ne faudra pas oublier de répondre aux 2 premières questions (1. Est-ce vraiment une hémoptysie</w:t>
            </w:r>
            <w:r>
              <w:rPr>
                <w:rFonts w:ascii="Arial" w:eastAsia="Arial" w:hAnsi="Arial" w:cs="Arial"/>
              </w:rPr>
              <w:t> </w:t>
            </w:r>
            <w:r>
              <w:t>? 2.  Existe-t-il des signes de gravité notamment de détresse respiratoire aigüe</w:t>
            </w:r>
            <w:r>
              <w:rPr>
                <w:rFonts w:ascii="Arial" w:eastAsia="Arial" w:hAnsi="Arial" w:cs="Arial"/>
              </w:rPr>
              <w:t> </w:t>
            </w:r>
            <w:r>
              <w:t>?) avant de répondre à la 3</w:t>
            </w:r>
            <w:r>
              <w:rPr>
                <w:vertAlign w:val="superscript"/>
              </w:rPr>
              <w:t>e</w:t>
            </w:r>
            <w:r>
              <w:t xml:space="preserve"> question (3. Quel est le diagnostic étiologique</w:t>
            </w:r>
            <w:r>
              <w:rPr>
                <w:rFonts w:ascii="Arial" w:eastAsia="Arial" w:hAnsi="Arial" w:cs="Arial"/>
              </w:rPr>
              <w:t> </w:t>
            </w:r>
            <w:r>
              <w:t>?)</w:t>
            </w:r>
            <w:r>
              <w:rPr>
                <w:noProof/>
              </w:rPr>
              <w:drawing>
                <wp:anchor distT="0" distB="0" distL="114300" distR="114300" simplePos="0" relativeHeight="251822080" behindDoc="0" locked="0" layoutInCell="1" hidden="0" allowOverlap="1" wp14:anchorId="1163E405" wp14:editId="402F59BA">
                  <wp:simplePos x="0" y="0"/>
                  <wp:positionH relativeFrom="column">
                    <wp:posOffset>38101</wp:posOffset>
                  </wp:positionH>
                  <wp:positionV relativeFrom="paragraph">
                    <wp:posOffset>45508</wp:posOffset>
                  </wp:positionV>
                  <wp:extent cx="656590" cy="665480"/>
                  <wp:effectExtent l="0" t="0" r="0" b="0"/>
                  <wp:wrapSquare wrapText="bothSides" distT="0" distB="0" distL="114300" distR="11430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656590" cy="665480"/>
                          </a:xfrm>
                          <a:prstGeom prst="rect">
                            <a:avLst/>
                          </a:prstGeom>
                          <a:ln/>
                        </pic:spPr>
                      </pic:pic>
                    </a:graphicData>
                  </a:graphic>
                </wp:anchor>
              </w:drawing>
            </w:r>
          </w:p>
        </w:tc>
      </w:tr>
    </w:tbl>
    <w:p w14:paraId="75B6E136" w14:textId="77777777" w:rsidR="00896114" w:rsidRDefault="00896114" w:rsidP="00896114">
      <w:pPr>
        <w:spacing w:line="276" w:lineRule="auto"/>
      </w:pPr>
    </w:p>
    <w:p w14:paraId="03EACEC1" w14:textId="77777777" w:rsidR="00896114" w:rsidRDefault="00896114" w:rsidP="00896114">
      <w:pPr>
        <w:pStyle w:val="titredesous-partie"/>
      </w:pPr>
      <w:r>
        <w:rPr>
          <w:shd w:val="clear" w:color="auto" w:fill="auto"/>
        </w:rPr>
        <w:t>MOTIF DE CONSULTATION/PRISE EN CHARGE</w:t>
      </w:r>
    </w:p>
    <w:p w14:paraId="620A83F9" w14:textId="77777777" w:rsidR="00896114" w:rsidRDefault="00896114" w:rsidP="00896114">
      <w:pPr>
        <w:pBdr>
          <w:top w:val="nil"/>
          <w:left w:val="nil"/>
          <w:bottom w:val="nil"/>
          <w:right w:val="nil"/>
          <w:between w:val="nil"/>
        </w:pBdr>
        <w:spacing w:line="276" w:lineRule="auto"/>
      </w:pPr>
      <w:r>
        <w:t>La plupart du temps «</w:t>
      </w:r>
      <w:r>
        <w:rPr>
          <w:rFonts w:ascii="Arial" w:eastAsia="Arial" w:hAnsi="Arial" w:cs="Arial"/>
        </w:rPr>
        <w:t> </w:t>
      </w:r>
      <w:r>
        <w:t xml:space="preserve">émission de sang lors d’un effort de toux. </w:t>
      </w:r>
    </w:p>
    <w:p w14:paraId="4875DAB2" w14:textId="77777777" w:rsidR="00896114" w:rsidRDefault="00896114" w:rsidP="00896114">
      <w:pPr>
        <w:pBdr>
          <w:top w:val="nil"/>
          <w:left w:val="nil"/>
          <w:bottom w:val="nil"/>
          <w:right w:val="nil"/>
          <w:between w:val="nil"/>
        </w:pBdr>
        <w:spacing w:line="276" w:lineRule="auto"/>
      </w:pPr>
      <w:r>
        <w:t>Mais il peut s’agir d’une « détresse respiratoire aiguë » et là, l’urgence est extrême.</w:t>
      </w:r>
    </w:p>
    <w:p w14:paraId="6C53C670" w14:textId="77777777" w:rsidR="00896114" w:rsidRDefault="00896114" w:rsidP="00896114">
      <w:pPr>
        <w:pBdr>
          <w:top w:val="nil"/>
          <w:left w:val="nil"/>
          <w:bottom w:val="nil"/>
          <w:right w:val="nil"/>
          <w:between w:val="nil"/>
        </w:pBdr>
        <w:spacing w:line="276" w:lineRule="auto"/>
      </w:pPr>
    </w:p>
    <w:p w14:paraId="64F0A67B" w14:textId="77777777" w:rsidR="00896114" w:rsidRDefault="00896114" w:rsidP="00896114">
      <w:pPr>
        <w:pStyle w:val="titredesous-partie"/>
      </w:pPr>
      <w:r>
        <w:rPr>
          <w:shd w:val="clear" w:color="auto" w:fill="auto"/>
        </w:rPr>
        <w:t>TERRAIN ET ATCD</w:t>
      </w:r>
    </w:p>
    <w:p w14:paraId="7F2F96D2" w14:textId="77777777" w:rsidR="00896114" w:rsidRDefault="00896114" w:rsidP="00896114">
      <w:pPr>
        <w:spacing w:line="276" w:lineRule="auto"/>
      </w:pPr>
      <w:r>
        <w:t>Le point majeur est de savoir si le malade présente des ATCD respiratoires favorisants.</w:t>
      </w:r>
    </w:p>
    <w:p w14:paraId="5FB9E3D5" w14:textId="77777777" w:rsidR="00896114" w:rsidRDefault="00896114" w:rsidP="00896114">
      <w:pPr>
        <w:spacing w:line="276" w:lineRule="auto"/>
      </w:pPr>
      <w:r>
        <w:t>Dilatations des bronches, tuberculose, cancer, ATCD cardiovasculaire… et aussi de relever les médicaments, notamment des anticoagulants et/ou antiagrégants.</w:t>
      </w:r>
    </w:p>
    <w:p w14:paraId="796651CB" w14:textId="77777777" w:rsidR="00896114" w:rsidRDefault="00896114" w:rsidP="00896114">
      <w:pPr>
        <w:spacing w:line="276" w:lineRule="auto"/>
      </w:pPr>
    </w:p>
    <w:p w14:paraId="655CDCC5" w14:textId="77777777" w:rsidR="00896114" w:rsidRDefault="00896114" w:rsidP="00896114">
      <w:pPr>
        <w:pStyle w:val="titredesous-partie"/>
      </w:pPr>
      <w:r>
        <w:rPr>
          <w:shd w:val="clear" w:color="auto" w:fill="auto"/>
        </w:rPr>
        <w:t>HISTOIRE DE LA MALADIE </w:t>
      </w:r>
    </w:p>
    <w:p w14:paraId="368E4D81" w14:textId="77777777" w:rsidR="00896114" w:rsidRDefault="00896114" w:rsidP="00896114">
      <w:pPr>
        <w:spacing w:line="276" w:lineRule="auto"/>
        <w:rPr>
          <w:b/>
          <w:bCs/>
        </w:rPr>
      </w:pPr>
      <w:r>
        <w:t>1) L’histoire médicale récente est importante à la recherche de circonstances favorisantes : Alitement</w:t>
      </w:r>
      <w:r>
        <w:rPr>
          <w:rFonts w:ascii="Arial" w:eastAsia="Arial" w:hAnsi="Arial" w:cs="Arial"/>
        </w:rPr>
        <w:t> </w:t>
      </w:r>
      <w:r>
        <w:t>? Chirurgie</w:t>
      </w:r>
      <w:r>
        <w:rPr>
          <w:rFonts w:ascii="Arial" w:eastAsia="Arial" w:hAnsi="Arial" w:cs="Arial"/>
        </w:rPr>
        <w:t> </w:t>
      </w:r>
      <w:r>
        <w:t>? Ou exposition à des agents toxiques</w:t>
      </w:r>
      <w:r>
        <w:rPr>
          <w:rFonts w:ascii="Arial" w:eastAsia="Arial" w:hAnsi="Arial" w:cs="Arial"/>
        </w:rPr>
        <w:t> </w:t>
      </w:r>
      <w:r>
        <w:t xml:space="preserve">? </w:t>
      </w:r>
      <w:r>
        <w:rPr>
          <w:i/>
          <w:iCs/>
          <w:color w:val="2E74B5"/>
        </w:rPr>
        <w:t xml:space="preserve">(Pénicillamine, crack) </w:t>
      </w:r>
    </w:p>
    <w:p w14:paraId="0C4022D6" w14:textId="77777777" w:rsidR="00896114" w:rsidRDefault="00896114" w:rsidP="00896114">
      <w:pPr>
        <w:spacing w:line="276" w:lineRule="auto"/>
        <w:rPr>
          <w:b/>
          <w:bCs/>
        </w:rPr>
      </w:pPr>
      <w:r>
        <w:t>2) La description sémiologique du sang émis : lors d’un effort de toux ou de vomissements</w:t>
      </w:r>
      <w:r>
        <w:rPr>
          <w:rFonts w:ascii="Arial" w:eastAsia="Arial" w:hAnsi="Arial" w:cs="Arial"/>
        </w:rPr>
        <w:t> </w:t>
      </w:r>
      <w:r>
        <w:t>? Prodromes</w:t>
      </w:r>
      <w:r>
        <w:rPr>
          <w:rFonts w:ascii="Arial" w:eastAsia="Arial" w:hAnsi="Arial" w:cs="Arial"/>
        </w:rPr>
        <w:t> </w:t>
      </w:r>
      <w:r>
        <w:t>? Aspect du sang (rouge foncé/noirâtre +/- caillots ou rouge vif)</w:t>
      </w:r>
      <w:r>
        <w:rPr>
          <w:rFonts w:ascii="Arial" w:eastAsia="Arial" w:hAnsi="Arial" w:cs="Arial"/>
        </w:rPr>
        <w:t> </w:t>
      </w:r>
      <w:r>
        <w:t>? Volume</w:t>
      </w:r>
      <w:r>
        <w:rPr>
          <w:rFonts w:ascii="Arial" w:eastAsia="Arial" w:hAnsi="Arial" w:cs="Arial"/>
        </w:rPr>
        <w:t> </w:t>
      </w:r>
      <w:r>
        <w:t>?</w:t>
      </w:r>
    </w:p>
    <w:p w14:paraId="13851E79" w14:textId="77777777" w:rsidR="00896114" w:rsidRDefault="00896114" w:rsidP="00896114">
      <w:pPr>
        <w:spacing w:line="276" w:lineRule="auto"/>
      </w:pPr>
    </w:p>
    <w:p w14:paraId="74EEBA4E" w14:textId="77777777" w:rsidR="00896114" w:rsidRDefault="00896114" w:rsidP="00896114">
      <w:pPr>
        <w:pStyle w:val="titredesous-partie"/>
      </w:pPr>
      <w:r>
        <w:rPr>
          <w:shd w:val="clear" w:color="auto" w:fill="auto"/>
        </w:rPr>
        <w:t xml:space="preserve">EXAMEN CLINIQUE </w:t>
      </w:r>
    </w:p>
    <w:p w14:paraId="056E44F1" w14:textId="77777777" w:rsidR="00896114" w:rsidRDefault="00896114" w:rsidP="00896114">
      <w:pPr>
        <w:spacing w:line="276" w:lineRule="auto"/>
      </w:pPr>
      <w:r>
        <w:t>La recherche de signes de détresse respiratoires doit être la priorité (cf. item 359).</w:t>
      </w:r>
    </w:p>
    <w:p w14:paraId="725775BD" w14:textId="77777777" w:rsidR="00896114" w:rsidRDefault="00896114" w:rsidP="00896114">
      <w:pPr>
        <w:spacing w:line="276" w:lineRule="auto"/>
      </w:pPr>
      <w:r>
        <w:t>L’examen clinique respiratoire sera complet, mais on peut rajouter quelques spécificités :</w:t>
      </w:r>
    </w:p>
    <w:p w14:paraId="204CC999" w14:textId="77777777" w:rsidR="00896114" w:rsidRDefault="00896114" w:rsidP="00896114">
      <w:pPr>
        <w:spacing w:line="276" w:lineRule="auto"/>
      </w:pPr>
      <w:r>
        <w:t>- Recherche d’une gêne latéralisée qui peut parfois orienter vers le côté qui saigne.</w:t>
      </w:r>
    </w:p>
    <w:p w14:paraId="3CDEC8D3" w14:textId="77777777" w:rsidR="00896114" w:rsidRDefault="00896114" w:rsidP="00896114">
      <w:pPr>
        <w:spacing w:line="276" w:lineRule="auto"/>
      </w:pPr>
      <w:r>
        <w:t>- Recherche de signes extra-respiratoires :</w:t>
      </w:r>
    </w:p>
    <w:p w14:paraId="49CB231D" w14:textId="77777777" w:rsidR="00896114" w:rsidRDefault="00896114">
      <w:pPr>
        <w:numPr>
          <w:ilvl w:val="0"/>
          <w:numId w:val="17"/>
        </w:numPr>
        <w:pBdr>
          <w:top w:val="nil"/>
          <w:left w:val="nil"/>
          <w:bottom w:val="nil"/>
          <w:right w:val="nil"/>
          <w:between w:val="nil"/>
        </w:pBdr>
        <w:spacing w:line="276" w:lineRule="auto"/>
        <w:ind w:left="284" w:hanging="142"/>
      </w:pPr>
      <w:r>
        <w:t>Hippocratisme digital (dilatations des bronches, cancer, cardiopathie congénitale).</w:t>
      </w:r>
    </w:p>
    <w:p w14:paraId="110EEEEC" w14:textId="77777777" w:rsidR="00896114" w:rsidRDefault="00896114">
      <w:pPr>
        <w:numPr>
          <w:ilvl w:val="0"/>
          <w:numId w:val="17"/>
        </w:numPr>
        <w:pBdr>
          <w:top w:val="nil"/>
          <w:left w:val="nil"/>
          <w:bottom w:val="nil"/>
          <w:right w:val="nil"/>
          <w:between w:val="nil"/>
        </w:pBdr>
        <w:spacing w:line="276" w:lineRule="auto"/>
        <w:ind w:left="284" w:hanging="142"/>
      </w:pPr>
      <w:r>
        <w:lastRenderedPageBreak/>
        <w:t>Signes cliniques associés au cancer.</w:t>
      </w:r>
    </w:p>
    <w:p w14:paraId="04F08FFB" w14:textId="77777777" w:rsidR="00896114" w:rsidRDefault="00896114">
      <w:pPr>
        <w:numPr>
          <w:ilvl w:val="0"/>
          <w:numId w:val="17"/>
        </w:numPr>
        <w:pBdr>
          <w:top w:val="nil"/>
          <w:left w:val="nil"/>
          <w:bottom w:val="nil"/>
          <w:right w:val="nil"/>
          <w:between w:val="nil"/>
        </w:pBdr>
        <w:spacing w:line="276" w:lineRule="auto"/>
        <w:ind w:left="284" w:hanging="142"/>
      </w:pPr>
      <w:r>
        <w:t>Pathologie valvulaire cardiaque (rétrécissement mitral).</w:t>
      </w:r>
    </w:p>
    <w:p w14:paraId="1BD04529" w14:textId="77777777" w:rsidR="00896114" w:rsidRDefault="00896114">
      <w:pPr>
        <w:numPr>
          <w:ilvl w:val="0"/>
          <w:numId w:val="17"/>
        </w:numPr>
        <w:pBdr>
          <w:top w:val="nil"/>
          <w:left w:val="nil"/>
          <w:bottom w:val="nil"/>
          <w:right w:val="nil"/>
          <w:between w:val="nil"/>
        </w:pBdr>
        <w:spacing w:line="276" w:lineRule="auto"/>
        <w:ind w:left="284" w:hanging="142"/>
      </w:pPr>
      <w:r>
        <w:t>Signes extra-thoraciques de vascularite systémique ou de connectivite.</w:t>
      </w:r>
    </w:p>
    <w:p w14:paraId="1FF9F97B" w14:textId="77777777" w:rsidR="00896114" w:rsidRDefault="00896114" w:rsidP="00896114">
      <w:pPr>
        <w:pBdr>
          <w:top w:val="nil"/>
          <w:left w:val="nil"/>
          <w:bottom w:val="nil"/>
          <w:right w:val="nil"/>
          <w:between w:val="nil"/>
        </w:pBdr>
        <w:spacing w:line="276" w:lineRule="auto"/>
        <w:rPr>
          <w:b/>
          <w:bCs/>
          <w:i/>
          <w:iCs/>
        </w:rPr>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896114" w14:paraId="085BD9F6" w14:textId="77777777" w:rsidTr="00896114">
        <w:trPr>
          <w:trHeight w:val="1210"/>
        </w:trPr>
        <w:tc>
          <w:tcPr>
            <w:tcW w:w="9067" w:type="dxa"/>
            <w:vAlign w:val="center"/>
          </w:tcPr>
          <w:p w14:paraId="53E4B761" w14:textId="77777777" w:rsidR="00896114" w:rsidRDefault="00896114" w:rsidP="00896114">
            <w:pPr>
              <w:pBdr>
                <w:top w:val="nil"/>
                <w:left w:val="nil"/>
                <w:bottom w:val="nil"/>
                <w:right w:val="nil"/>
                <w:between w:val="nil"/>
              </w:pBdr>
              <w:spacing w:line="276" w:lineRule="auto"/>
              <w:rPr>
                <w:rFonts w:ascii="Arial" w:eastAsia="Arial" w:hAnsi="Arial" w:cs="Arial"/>
                <w:sz w:val="22"/>
                <w:szCs w:val="22"/>
              </w:rPr>
            </w:pPr>
            <w:r>
              <w:t xml:space="preserve">La BPCO n’est pas une cause d’hémoptysie. La survenue d’une hémoptysie chez un patient atteint de BPCO impose de rechercher une maladie sous-jacente, notamment un cancer broncho-pulmonaire. La pratique systématique d’une endoscopie bronchique et d’une tomodensitométrie thoracique ainsi qu’une surveillance prolongée sont donc nécessaires. </w:t>
            </w:r>
            <w:r>
              <w:rPr>
                <w:noProof/>
              </w:rPr>
              <w:drawing>
                <wp:anchor distT="0" distB="0" distL="114300" distR="114300" simplePos="0" relativeHeight="251823104" behindDoc="0" locked="0" layoutInCell="1" hidden="0" allowOverlap="1" wp14:anchorId="7391FA1A" wp14:editId="4234A6DD">
                  <wp:simplePos x="0" y="0"/>
                  <wp:positionH relativeFrom="column">
                    <wp:posOffset>-705484</wp:posOffset>
                  </wp:positionH>
                  <wp:positionV relativeFrom="paragraph">
                    <wp:posOffset>-17779</wp:posOffset>
                  </wp:positionV>
                  <wp:extent cx="601980" cy="724535"/>
                  <wp:effectExtent l="0" t="0" r="0" b="0"/>
                  <wp:wrapSquare wrapText="bothSides" distT="0" distB="0" distL="114300" distR="1143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601980" cy="724535"/>
                          </a:xfrm>
                          <a:prstGeom prst="rect">
                            <a:avLst/>
                          </a:prstGeom>
                          <a:ln/>
                        </pic:spPr>
                      </pic:pic>
                    </a:graphicData>
                  </a:graphic>
                </wp:anchor>
              </w:drawing>
            </w:r>
          </w:p>
        </w:tc>
      </w:tr>
    </w:tbl>
    <w:p w14:paraId="46C55E0D" w14:textId="77777777" w:rsidR="00896114" w:rsidRDefault="00896114" w:rsidP="00896114">
      <w:pPr>
        <w:pBdr>
          <w:top w:val="nil"/>
          <w:left w:val="nil"/>
          <w:bottom w:val="nil"/>
          <w:right w:val="nil"/>
          <w:between w:val="nil"/>
        </w:pBdr>
        <w:spacing w:line="276" w:lineRule="auto"/>
        <w:rPr>
          <w:b/>
          <w:bCs/>
        </w:rPr>
      </w:pPr>
      <w:r>
        <w:rPr>
          <w:noProof/>
        </w:rPr>
        <w:drawing>
          <wp:anchor distT="0" distB="0" distL="114300" distR="114300" simplePos="0" relativeHeight="251824128" behindDoc="0" locked="0" layoutInCell="1" hidden="0" allowOverlap="1" wp14:anchorId="78F24A04" wp14:editId="020E8493">
            <wp:simplePos x="0" y="0"/>
            <wp:positionH relativeFrom="column">
              <wp:posOffset>-253999</wp:posOffset>
            </wp:positionH>
            <wp:positionV relativeFrom="paragraph">
              <wp:posOffset>212562</wp:posOffset>
            </wp:positionV>
            <wp:extent cx="153670" cy="137160"/>
            <wp:effectExtent l="0" t="0" r="0" b="0"/>
            <wp:wrapSquare wrapText="bothSides" distT="0" distB="0" distL="114300" distR="114300"/>
            <wp:docPr id="2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CB5EE98" w14:textId="77777777" w:rsidR="00896114" w:rsidRDefault="00896114" w:rsidP="00896114">
      <w:pPr>
        <w:pStyle w:val="titredesous-partie"/>
      </w:pPr>
      <w:r>
        <w:rPr>
          <w:shd w:val="clear" w:color="auto" w:fill="auto"/>
        </w:rPr>
        <w:t>EXAMENS COMPLÉMENTAIRES</w:t>
      </w:r>
    </w:p>
    <w:p w14:paraId="0A8EF6D8" w14:textId="77777777" w:rsidR="00896114" w:rsidRDefault="00896114">
      <w:pPr>
        <w:pStyle w:val="1titre"/>
        <w:numPr>
          <w:ilvl w:val="0"/>
          <w:numId w:val="19"/>
        </w:numPr>
      </w:pPr>
      <w:r>
        <w:t>Tomodensitométrie thoracique (scanner) injectée avec temps aortique = examen clé (figure 3)</w:t>
      </w:r>
    </w:p>
    <w:p w14:paraId="29A063BC" w14:textId="77777777" w:rsidR="00896114" w:rsidRDefault="00896114" w:rsidP="00896114">
      <w:pPr>
        <w:spacing w:line="276" w:lineRule="auto"/>
        <w:rPr>
          <w:color w:val="2E74B5"/>
        </w:rPr>
      </w:pPr>
      <w:r>
        <w:rPr>
          <w:color w:val="2E74B5"/>
        </w:rPr>
        <w:t xml:space="preserve"> Beaucoup plus précise que la radiographie, son intérêt est triple :</w:t>
      </w:r>
    </w:p>
    <w:p w14:paraId="091EDDAB" w14:textId="77777777" w:rsidR="00896114" w:rsidRDefault="00896114" w:rsidP="00896114">
      <w:pPr>
        <w:spacing w:line="276" w:lineRule="auto"/>
        <w:rPr>
          <w:color w:val="2E74B5"/>
        </w:rPr>
      </w:pPr>
      <w:r>
        <w:rPr>
          <w:color w:val="2E74B5"/>
        </w:rPr>
        <w:t xml:space="preserve">- Elle oriente sur la </w:t>
      </w:r>
      <w:r>
        <w:rPr>
          <w:color w:val="2E74B5"/>
          <w:u w:val="single"/>
        </w:rPr>
        <w:t>nature</w:t>
      </w:r>
      <w:r>
        <w:rPr>
          <w:color w:val="2E74B5"/>
        </w:rPr>
        <w:t xml:space="preserve"> de la lésion qui saigne.</w:t>
      </w:r>
    </w:p>
    <w:p w14:paraId="002AAFB5" w14:textId="77777777" w:rsidR="00896114" w:rsidRDefault="00896114" w:rsidP="00896114">
      <w:pPr>
        <w:pBdr>
          <w:top w:val="nil"/>
          <w:left w:val="nil"/>
          <w:bottom w:val="nil"/>
          <w:right w:val="nil"/>
          <w:between w:val="nil"/>
        </w:pBdr>
        <w:spacing w:line="276" w:lineRule="auto"/>
        <w:rPr>
          <w:color w:val="2E74B5"/>
        </w:rPr>
      </w:pPr>
      <w:r>
        <w:rPr>
          <w:color w:val="2E74B5"/>
        </w:rPr>
        <w:t xml:space="preserve">- Elle oriente vers la </w:t>
      </w:r>
      <w:r>
        <w:rPr>
          <w:color w:val="2E74B5"/>
          <w:u w:val="single"/>
        </w:rPr>
        <w:t>localisation</w:t>
      </w:r>
      <w:r>
        <w:rPr>
          <w:color w:val="2E74B5"/>
        </w:rPr>
        <w:t xml:space="preserve"> du saignement.</w:t>
      </w:r>
    </w:p>
    <w:p w14:paraId="00A36A48" w14:textId="77777777" w:rsidR="00896114" w:rsidRDefault="00896114" w:rsidP="00896114">
      <w:pPr>
        <w:spacing w:line="276" w:lineRule="auto"/>
        <w:rPr>
          <w:color w:val="2E74B5"/>
        </w:rPr>
      </w:pPr>
      <w:r>
        <w:rPr>
          <w:color w:val="2E74B5"/>
        </w:rPr>
        <w:t xml:space="preserve">- Elle oriente l’embolisation des artères bronchiques si besoin en établissant une </w:t>
      </w:r>
      <w:r>
        <w:rPr>
          <w:color w:val="2E74B5"/>
          <w:u w:val="single"/>
        </w:rPr>
        <w:t>cartographie vasculaire</w:t>
      </w:r>
      <w:r>
        <w:rPr>
          <w:color w:val="2E74B5"/>
        </w:rPr>
        <w:t xml:space="preserve"> très précise.</w:t>
      </w:r>
    </w:p>
    <w:p w14:paraId="1830F020" w14:textId="77777777" w:rsidR="00896114" w:rsidRDefault="00896114" w:rsidP="00896114">
      <w:pPr>
        <w:spacing w:line="276" w:lineRule="auto"/>
        <w:rPr>
          <w:color w:val="2E74B5"/>
        </w:rPr>
      </w:pPr>
    </w:p>
    <w:p w14:paraId="2878C4AB" w14:textId="77777777" w:rsidR="00896114" w:rsidRDefault="00896114" w:rsidP="00896114">
      <w:pPr>
        <w:pBdr>
          <w:top w:val="nil"/>
          <w:left w:val="nil"/>
          <w:bottom w:val="nil"/>
          <w:right w:val="nil"/>
          <w:between w:val="nil"/>
        </w:pBdr>
        <w:spacing w:line="276" w:lineRule="auto"/>
        <w:rPr>
          <w:rFonts w:ascii="Arial" w:eastAsia="Arial" w:hAnsi="Arial" w:cs="Arial"/>
          <w:color w:val="2E74B5"/>
          <w:sz w:val="18"/>
          <w:szCs w:val="18"/>
        </w:rPr>
      </w:pPr>
      <w:r>
        <w:rPr>
          <w:rFonts w:ascii="Arial" w:eastAsia="Arial" w:hAnsi="Arial" w:cs="Arial"/>
          <w:color w:val="2E74B5"/>
          <w:sz w:val="18"/>
          <w:szCs w:val="18"/>
        </w:rPr>
        <w:t xml:space="preserve">Figure 3 : TDM thoracique permettant le diagnostic dans le cadre d’une hémoptysie de moyenne abondance en aout 2022. 1) </w:t>
      </w:r>
      <w:r>
        <w:rPr>
          <w:rFonts w:ascii="Arial" w:eastAsia="Arial" w:hAnsi="Arial" w:cs="Arial"/>
          <w:color w:val="2E74B5"/>
          <w:sz w:val="18"/>
          <w:szCs w:val="18"/>
          <w:u w:val="single"/>
        </w:rPr>
        <w:t>Nature de la lésion qui saigne</w:t>
      </w:r>
      <w:r>
        <w:rPr>
          <w:rFonts w:ascii="Arial" w:eastAsia="Arial" w:hAnsi="Arial" w:cs="Arial"/>
          <w:color w:val="2E74B5"/>
          <w:sz w:val="18"/>
          <w:szCs w:val="18"/>
        </w:rPr>
        <w:t xml:space="preserve"> : dilatations des bronches lobaires moyennes connues chez une patiente de 62 ans (flèches bleues)., </w:t>
      </w:r>
      <w:r>
        <w:rPr>
          <w:rFonts w:ascii="Arial" w:eastAsia="Arial" w:hAnsi="Arial" w:cs="Arial"/>
          <w:color w:val="2E74B5"/>
          <w:sz w:val="18"/>
          <w:szCs w:val="18"/>
          <w:u w:val="single"/>
        </w:rPr>
        <w:t>localisation du saignement</w:t>
      </w:r>
      <w:r>
        <w:rPr>
          <w:rFonts w:ascii="Arial" w:eastAsia="Arial" w:hAnsi="Arial" w:cs="Arial"/>
          <w:color w:val="2E74B5"/>
          <w:sz w:val="18"/>
          <w:szCs w:val="18"/>
        </w:rPr>
        <w:t xml:space="preserve"> : lobe moyen comme le montre la plage en verre dépoli dans ce lobe (flèche jaune), qui a disparu sur le scanner thoracique de contrôle en novembre 2022. </w:t>
      </w:r>
    </w:p>
    <w:p w14:paraId="3C1DA665" w14:textId="77777777" w:rsidR="00896114" w:rsidRDefault="00896114" w:rsidP="00896114">
      <w:pPr>
        <w:spacing w:line="276" w:lineRule="auto"/>
        <w:rPr>
          <w:b/>
          <w:bCs/>
        </w:rPr>
      </w:pPr>
      <w:r>
        <w:rPr>
          <w:b/>
          <w:bCs/>
          <w:noProof/>
          <w:highlight w:val="yellow"/>
        </w:rPr>
        <w:drawing>
          <wp:inline distT="0" distB="0" distL="0" distR="0" wp14:anchorId="0200BE78" wp14:editId="0F986881">
            <wp:extent cx="5767058" cy="2093681"/>
            <wp:effectExtent l="0" t="0" r="5715" b="1905"/>
            <wp:docPr id="2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6"/>
                    <a:srcRect/>
                    <a:stretch>
                      <a:fillRect/>
                    </a:stretch>
                  </pic:blipFill>
                  <pic:spPr>
                    <a:xfrm>
                      <a:off x="0" y="0"/>
                      <a:ext cx="5777795" cy="2097579"/>
                    </a:xfrm>
                    <a:prstGeom prst="rect">
                      <a:avLst/>
                    </a:prstGeom>
                    <a:ln/>
                  </pic:spPr>
                </pic:pic>
              </a:graphicData>
            </a:graphic>
          </wp:inline>
        </w:drawing>
      </w:r>
    </w:p>
    <w:p w14:paraId="5934A11E" w14:textId="77777777" w:rsidR="00896114" w:rsidRDefault="00896114" w:rsidP="00896114"/>
    <w:p w14:paraId="5885351A" w14:textId="77CEF25C" w:rsidR="00896114" w:rsidRDefault="00896114" w:rsidP="00896114">
      <w:pPr>
        <w:pStyle w:val="Titre2"/>
      </w:pPr>
      <w:r>
        <w:t>Endoscopie bronchique</w:t>
      </w:r>
    </w:p>
    <w:p w14:paraId="0952FA12" w14:textId="77777777" w:rsidR="00896114" w:rsidRDefault="00896114" w:rsidP="00896114">
      <w:pPr>
        <w:spacing w:line="276" w:lineRule="auto"/>
        <w:rPr>
          <w:color w:val="2E74B5"/>
        </w:rPr>
      </w:pPr>
      <w:r>
        <w:rPr>
          <w:color w:val="2E74B5"/>
        </w:rPr>
        <w:t>Elle a perdu de son intérêt avec le développement de scanners performants.</w:t>
      </w:r>
    </w:p>
    <w:p w14:paraId="4F502CED" w14:textId="77777777" w:rsidR="00896114" w:rsidRDefault="00896114" w:rsidP="00896114">
      <w:pPr>
        <w:spacing w:line="276" w:lineRule="auto"/>
        <w:rPr>
          <w:color w:val="2E74B5"/>
        </w:rPr>
      </w:pPr>
      <w:r>
        <w:rPr>
          <w:color w:val="2E74B5"/>
        </w:rPr>
        <w:t>Elle peut dans certains cas :</w:t>
      </w:r>
    </w:p>
    <w:p w14:paraId="51D85644" w14:textId="77777777" w:rsidR="00896114" w:rsidRDefault="00896114" w:rsidP="00896114">
      <w:pPr>
        <w:spacing w:line="276" w:lineRule="auto"/>
        <w:rPr>
          <w:color w:val="2E74B5"/>
        </w:rPr>
      </w:pPr>
      <w:r>
        <w:rPr>
          <w:color w:val="2E74B5"/>
        </w:rPr>
        <w:t>- Confirmer le diagnostic d’hémoptysie (si doute sur hématémèse notamment).</w:t>
      </w:r>
    </w:p>
    <w:p w14:paraId="73724432" w14:textId="77777777" w:rsidR="00896114" w:rsidRDefault="00896114" w:rsidP="00896114">
      <w:pPr>
        <w:spacing w:line="276" w:lineRule="auto"/>
        <w:rPr>
          <w:color w:val="2E74B5"/>
        </w:rPr>
      </w:pPr>
      <w:r>
        <w:rPr>
          <w:color w:val="2E74B5"/>
        </w:rPr>
        <w:t>- Localiser la topographie du saignement quand le scanner retrouve des lésions bilatérales.</w:t>
      </w:r>
    </w:p>
    <w:p w14:paraId="01AF15AC" w14:textId="77777777" w:rsidR="00896114" w:rsidRDefault="00896114" w:rsidP="00896114">
      <w:pPr>
        <w:spacing w:line="276" w:lineRule="auto"/>
        <w:rPr>
          <w:color w:val="2E74B5"/>
        </w:rPr>
      </w:pPr>
      <w:r>
        <w:rPr>
          <w:color w:val="2E74B5"/>
        </w:rPr>
        <w:t>- Identifier la cause du saignement notamment quand il s’agit d’une tumeur bronchique proximale.</w:t>
      </w:r>
    </w:p>
    <w:p w14:paraId="34DF235A" w14:textId="77777777" w:rsidR="00896114" w:rsidRDefault="00896114" w:rsidP="00896114">
      <w:pPr>
        <w:spacing w:line="276" w:lineRule="auto"/>
        <w:rPr>
          <w:color w:val="2E74B5"/>
        </w:rPr>
      </w:pPr>
      <w:r>
        <w:rPr>
          <w:color w:val="2E74B5"/>
        </w:rPr>
        <w:t>Elle n’est pas réalisée en urgence, mais est systématique au décours pour le bilan étiologique.</w:t>
      </w:r>
    </w:p>
    <w:p w14:paraId="6F5C128E" w14:textId="77777777" w:rsidR="00896114" w:rsidRDefault="00896114" w:rsidP="00896114">
      <w:pPr>
        <w:spacing w:line="276" w:lineRule="auto"/>
        <w:rPr>
          <w:color w:val="2E74B5"/>
        </w:rPr>
      </w:pPr>
    </w:p>
    <w:p w14:paraId="3A40C0C8" w14:textId="77777777" w:rsidR="00896114" w:rsidRDefault="00896114" w:rsidP="00896114">
      <w:pPr>
        <w:pStyle w:val="Titre2"/>
      </w:pPr>
      <w:r>
        <w:t>Artériographie bronchique</w:t>
      </w:r>
    </w:p>
    <w:p w14:paraId="61308169" w14:textId="77777777" w:rsidR="00896114" w:rsidRDefault="00896114" w:rsidP="00896114">
      <w:pPr>
        <w:spacing w:line="276" w:lineRule="auto"/>
        <w:rPr>
          <w:color w:val="0070C0"/>
        </w:rPr>
      </w:pPr>
      <w:r>
        <w:rPr>
          <w:color w:val="0070C0"/>
        </w:rPr>
        <w:t>Ne se conçoit que dans la perspective d’un traitement de l’hémoptysie par embolisation. L’artériographie n’a pas de place dans la démarche purement diagnostique (cf. infra).</w:t>
      </w:r>
    </w:p>
    <w:p w14:paraId="1CE1814C" w14:textId="77777777" w:rsidR="00896114" w:rsidRDefault="00896114" w:rsidP="00896114">
      <w:pPr>
        <w:spacing w:line="276" w:lineRule="auto"/>
        <w:rPr>
          <w:color w:val="0070C0"/>
        </w:rPr>
      </w:pPr>
    </w:p>
    <w:p w14:paraId="122A0685" w14:textId="77777777" w:rsidR="00896114" w:rsidRDefault="00896114" w:rsidP="00896114">
      <w:pPr>
        <w:pStyle w:val="Titre2"/>
      </w:pPr>
      <w:r>
        <w:t>Place des autres investigations dans la prise en charge des hémoptysies</w:t>
      </w:r>
    </w:p>
    <w:p w14:paraId="7148E1D9" w14:textId="77777777" w:rsidR="00896114" w:rsidRDefault="00896114" w:rsidP="00896114">
      <w:pPr>
        <w:spacing w:line="276" w:lineRule="auto"/>
        <w:rPr>
          <w:b/>
          <w:bCs/>
          <w:color w:val="2E74B5"/>
        </w:rPr>
      </w:pPr>
      <w:r>
        <w:rPr>
          <w:b/>
          <w:bCs/>
          <w:color w:val="2E74B5"/>
        </w:rPr>
        <w:t>Destinées à évaluer la gravité et à guider la prise en charge :</w:t>
      </w:r>
    </w:p>
    <w:p w14:paraId="140D3141" w14:textId="77777777" w:rsidR="00896114" w:rsidRDefault="00896114" w:rsidP="00896114">
      <w:pPr>
        <w:spacing w:line="276" w:lineRule="auto"/>
        <w:rPr>
          <w:color w:val="2E74B5"/>
        </w:rPr>
      </w:pPr>
      <w:r>
        <w:rPr>
          <w:color w:val="2E74B5"/>
        </w:rPr>
        <w:t>- SpO</w:t>
      </w:r>
      <w:r>
        <w:rPr>
          <w:color w:val="2E74B5"/>
          <w:vertAlign w:val="subscript"/>
        </w:rPr>
        <w:t>2</w:t>
      </w:r>
      <w:r>
        <w:rPr>
          <w:color w:val="2E74B5"/>
        </w:rPr>
        <w:t xml:space="preserve"> ± gaz du sang.</w:t>
      </w:r>
    </w:p>
    <w:p w14:paraId="592741FC" w14:textId="77777777" w:rsidR="00896114" w:rsidRDefault="00896114" w:rsidP="00896114">
      <w:pPr>
        <w:spacing w:line="276" w:lineRule="auto"/>
        <w:rPr>
          <w:color w:val="2E74B5"/>
        </w:rPr>
      </w:pPr>
      <w:r>
        <w:rPr>
          <w:color w:val="2E74B5"/>
        </w:rPr>
        <w:t>- Bilan de coagulation : NFS (hémoglobine avec plaquettes), TP, INR, TCA, activité anti-Xa, dosage spécifique en cas d’anticoagulant oral direct :</w:t>
      </w:r>
    </w:p>
    <w:p w14:paraId="521B434D" w14:textId="77777777" w:rsidR="00896114" w:rsidRDefault="00896114">
      <w:pPr>
        <w:numPr>
          <w:ilvl w:val="0"/>
          <w:numId w:val="18"/>
        </w:numPr>
        <w:pBdr>
          <w:top w:val="nil"/>
          <w:left w:val="nil"/>
          <w:bottom w:val="nil"/>
          <w:right w:val="nil"/>
          <w:between w:val="nil"/>
        </w:pBdr>
        <w:spacing w:line="276" w:lineRule="auto"/>
        <w:ind w:left="284" w:hanging="142"/>
        <w:rPr>
          <w:color w:val="2E74B5"/>
        </w:rPr>
      </w:pPr>
      <w:r>
        <w:rPr>
          <w:color w:val="2E74B5"/>
        </w:rPr>
        <w:t>À la recherche d’un trouble de la coagulation (ou d’un surdosage en anticoagulant) qui en soi ne peut être l’unique cause d’une hémoptysie.</w:t>
      </w:r>
    </w:p>
    <w:p w14:paraId="7AF1CA3E" w14:textId="77777777" w:rsidR="00896114" w:rsidRDefault="00896114">
      <w:pPr>
        <w:numPr>
          <w:ilvl w:val="0"/>
          <w:numId w:val="18"/>
        </w:numPr>
        <w:pBdr>
          <w:top w:val="nil"/>
          <w:left w:val="nil"/>
          <w:bottom w:val="nil"/>
          <w:right w:val="nil"/>
          <w:between w:val="nil"/>
        </w:pBdr>
        <w:spacing w:line="276" w:lineRule="auto"/>
        <w:ind w:left="284" w:hanging="142"/>
        <w:rPr>
          <w:color w:val="2E74B5"/>
        </w:rPr>
      </w:pPr>
      <w:r>
        <w:rPr>
          <w:color w:val="2E74B5"/>
        </w:rPr>
        <w:t>À visée pré-interventionnelle en cas de geste d’hémostase.</w:t>
      </w:r>
    </w:p>
    <w:p w14:paraId="28E8B498" w14:textId="77777777" w:rsidR="00896114" w:rsidRDefault="00896114" w:rsidP="00896114">
      <w:pPr>
        <w:spacing w:line="276" w:lineRule="auto"/>
        <w:rPr>
          <w:color w:val="2E74B5"/>
        </w:rPr>
      </w:pPr>
      <w:r>
        <w:rPr>
          <w:color w:val="2E74B5"/>
        </w:rPr>
        <w:t>- Groupe sanguin, même si la survenue d’une hémoptysie ne conduit qu’exceptionnellement à indiquer une transfusion.</w:t>
      </w:r>
    </w:p>
    <w:p w14:paraId="0264FFAB" w14:textId="77777777" w:rsidR="00896114" w:rsidRDefault="00896114" w:rsidP="00896114">
      <w:pPr>
        <w:spacing w:line="276" w:lineRule="auto"/>
        <w:rPr>
          <w:color w:val="2E74B5"/>
        </w:rPr>
      </w:pPr>
    </w:p>
    <w:p w14:paraId="77B0EB6E" w14:textId="77777777" w:rsidR="00896114" w:rsidRDefault="00896114" w:rsidP="00896114">
      <w:pPr>
        <w:spacing w:line="276" w:lineRule="auto"/>
        <w:rPr>
          <w:b/>
          <w:bCs/>
          <w:color w:val="2E74B5"/>
        </w:rPr>
      </w:pPr>
      <w:r>
        <w:rPr>
          <w:b/>
          <w:bCs/>
          <w:color w:val="2E74B5"/>
        </w:rPr>
        <w:t>Destinées au diagnostic étiologique de l’hémoptysie :</w:t>
      </w:r>
    </w:p>
    <w:p w14:paraId="5944D086" w14:textId="77777777" w:rsidR="00896114" w:rsidRDefault="00896114" w:rsidP="00896114">
      <w:pPr>
        <w:spacing w:line="276" w:lineRule="auto"/>
        <w:rPr>
          <w:color w:val="2E74B5"/>
        </w:rPr>
      </w:pPr>
      <w:r>
        <w:rPr>
          <w:color w:val="2E74B5"/>
        </w:rPr>
        <w:t>- Recherche de BK dans l’expectoration chaque fois que le diagnostic de tuberculose peut être évoqué (aspect radiologique/antécédents).</w:t>
      </w:r>
    </w:p>
    <w:p w14:paraId="4000954C" w14:textId="77777777" w:rsidR="00896114" w:rsidRDefault="00896114" w:rsidP="00896114">
      <w:pPr>
        <w:spacing w:line="276" w:lineRule="auto"/>
        <w:rPr>
          <w:color w:val="2E74B5"/>
        </w:rPr>
      </w:pPr>
      <w:r>
        <w:rPr>
          <w:color w:val="2E74B5"/>
        </w:rPr>
        <w:t>- Sérologie, et dans certains cas, antigénémie aspergillaire et examen mycologique des crachats.</w:t>
      </w:r>
    </w:p>
    <w:p w14:paraId="716C5EAC" w14:textId="77777777" w:rsidR="00896114" w:rsidRDefault="00896114" w:rsidP="00896114">
      <w:pPr>
        <w:spacing w:line="276" w:lineRule="auto"/>
        <w:rPr>
          <w:color w:val="2E74B5"/>
        </w:rPr>
      </w:pPr>
      <w:r>
        <w:rPr>
          <w:color w:val="2E74B5"/>
        </w:rPr>
        <w:t>- ECG indispensable avant toute prescription de traitement vasoconstricteur (éliminer une coronaropathie méconnue).</w:t>
      </w:r>
    </w:p>
    <w:p w14:paraId="6578D30F" w14:textId="77777777" w:rsidR="00896114" w:rsidRDefault="00896114" w:rsidP="00896114">
      <w:pPr>
        <w:spacing w:line="276" w:lineRule="auto"/>
        <w:rPr>
          <w:b/>
          <w:bCs/>
          <w:smallCaps/>
          <w:color w:val="2E74B5"/>
        </w:rPr>
      </w:pPr>
      <w:r>
        <w:rPr>
          <w:color w:val="2E74B5"/>
        </w:rPr>
        <w:t>- ECG et échocardiographie : élément du diagnostic en cas de suspicion d’OAP à forme hémorragique (recherche des signes de nécrose myocardique ou de troubles du rythme).</w:t>
      </w:r>
    </w:p>
    <w:p w14:paraId="6745D9E9" w14:textId="77777777" w:rsidR="00896114" w:rsidRDefault="00896114" w:rsidP="00896114">
      <w:pPr>
        <w:pBdr>
          <w:top w:val="nil"/>
          <w:left w:val="nil"/>
          <w:bottom w:val="nil"/>
          <w:right w:val="nil"/>
          <w:between w:val="nil"/>
        </w:pBdr>
        <w:spacing w:line="276" w:lineRule="auto"/>
      </w:pPr>
    </w:p>
    <w:p w14:paraId="7DC5BC52" w14:textId="77777777" w:rsidR="00896114" w:rsidRDefault="00896114" w:rsidP="00896114">
      <w:pPr>
        <w:pStyle w:val="titredepartie"/>
        <w:spacing w:after="0"/>
      </w:pPr>
      <w:r>
        <w:t>TRAITEMENTS ET PRISE EN CHARGE</w:t>
      </w:r>
    </w:p>
    <w:p w14:paraId="0BB2AB21" w14:textId="77777777" w:rsidR="00896114" w:rsidRDefault="00896114" w:rsidP="00896114">
      <w:pPr>
        <w:pBdr>
          <w:top w:val="nil"/>
          <w:left w:val="nil"/>
          <w:bottom w:val="nil"/>
          <w:right w:val="nil"/>
          <w:between w:val="nil"/>
        </w:pBdr>
        <w:spacing w:line="276" w:lineRule="auto"/>
        <w:rPr>
          <w:color w:val="2E74B5"/>
        </w:rPr>
      </w:pPr>
    </w:p>
    <w:p w14:paraId="25D69F96" w14:textId="31F7D4FD" w:rsidR="00896114" w:rsidRDefault="00896114" w:rsidP="00896114">
      <w:pPr>
        <w:pBdr>
          <w:top w:val="nil"/>
          <w:left w:val="nil"/>
          <w:bottom w:val="nil"/>
          <w:right w:val="nil"/>
          <w:between w:val="nil"/>
        </w:pBdr>
        <w:spacing w:line="276" w:lineRule="auto"/>
        <w:rPr>
          <w:color w:val="2E74B5"/>
        </w:rPr>
      </w:pPr>
      <w:r>
        <w:rPr>
          <w:color w:val="2E74B5"/>
        </w:rPr>
        <w:t>Malgré la fréquence des hémoptysies, il persiste beaucoup d’incertitudes dans les modalités de prise en charge diagnostique et thérapeutique, qui est largement fondée sur des bases empiriques et des organisations locales.</w:t>
      </w:r>
    </w:p>
    <w:p w14:paraId="35B4F278" w14:textId="77777777" w:rsidR="00896114" w:rsidRDefault="00896114" w:rsidP="00896114">
      <w:pPr>
        <w:pBdr>
          <w:top w:val="nil"/>
          <w:left w:val="nil"/>
          <w:bottom w:val="nil"/>
          <w:right w:val="nil"/>
          <w:between w:val="nil"/>
        </w:pBdr>
        <w:spacing w:line="276" w:lineRule="auto"/>
        <w:rPr>
          <w:color w:val="2E74B5"/>
        </w:rPr>
      </w:pPr>
    </w:p>
    <w:p w14:paraId="79C6A92D" w14:textId="77777777" w:rsidR="00896114" w:rsidRDefault="00896114" w:rsidP="00896114">
      <w:pPr>
        <w:spacing w:line="276" w:lineRule="auto"/>
        <w:rPr>
          <w:color w:val="2E74B5"/>
        </w:rPr>
      </w:pPr>
      <w:r>
        <w:rPr>
          <w:color w:val="2E74B5"/>
        </w:rPr>
        <w:t xml:space="preserve">Selon la sévérité de l’hémoptysie, et l’organisation locale, plusieurs options peuvent être discutées : traitement médical, traitement topique (local), embolisation, traitement chirurgical. Ces stratégies thérapeutiques ne sont pas mutuellement exclusives. Elles sont souvent mises en œuvre en association, conjointement ou successivement après discussion multidisciplinaire. </w:t>
      </w:r>
    </w:p>
    <w:p w14:paraId="55551D68" w14:textId="77777777" w:rsidR="00896114" w:rsidRDefault="00896114" w:rsidP="00896114">
      <w:pPr>
        <w:spacing w:line="276" w:lineRule="auto"/>
      </w:pPr>
    </w:p>
    <w:p w14:paraId="3D55F493" w14:textId="77777777" w:rsidR="00896114" w:rsidRDefault="00896114" w:rsidP="00896114">
      <w:pPr>
        <w:pStyle w:val="titredesous-partie"/>
      </w:pPr>
      <w:r>
        <w:rPr>
          <w:shd w:val="clear" w:color="auto" w:fill="auto"/>
        </w:rPr>
        <w:t>Traitement médical</w:t>
      </w:r>
    </w:p>
    <w:p w14:paraId="2594846B" w14:textId="77777777" w:rsidR="00896114" w:rsidRDefault="00896114" w:rsidP="00896114">
      <w:pPr>
        <w:spacing w:line="276" w:lineRule="auto"/>
      </w:pPr>
      <w:r>
        <w:t>Hospitalisation en unité de soins intensifs respiratoires ou en réanimation si hémoptysie grave.</w:t>
      </w:r>
    </w:p>
    <w:p w14:paraId="4DA8CE9E" w14:textId="77777777" w:rsidR="00896114" w:rsidRDefault="00896114" w:rsidP="00896114">
      <w:pPr>
        <w:spacing w:line="276" w:lineRule="auto"/>
      </w:pPr>
      <w:r>
        <w:t>Oxygène :</w:t>
      </w:r>
    </w:p>
    <w:p w14:paraId="600B63C1" w14:textId="77777777" w:rsidR="00896114" w:rsidRDefault="00896114" w:rsidP="00896114">
      <w:pPr>
        <w:spacing w:line="276" w:lineRule="auto"/>
      </w:pPr>
      <w:r>
        <w:t>- Souvent nécessaire en raison du retentissement potentiel de l’hémoptysie sur l’hématose.</w:t>
      </w:r>
    </w:p>
    <w:p w14:paraId="2FFED395" w14:textId="77777777" w:rsidR="00896114" w:rsidRDefault="00896114" w:rsidP="00896114">
      <w:pPr>
        <w:spacing w:line="276" w:lineRule="auto"/>
      </w:pPr>
      <w:r>
        <w:t>- En particulier lorsqu’il existe une pathologie respiratoire sous-jacente ou que le volume de l’hémoptysie est abondant.</w:t>
      </w:r>
    </w:p>
    <w:p w14:paraId="5E07C741" w14:textId="77777777" w:rsidR="00896114" w:rsidRDefault="00896114" w:rsidP="00896114">
      <w:pPr>
        <w:spacing w:line="276" w:lineRule="auto"/>
      </w:pPr>
      <w:r>
        <w:t>- Guidée par l’oxymétrie transcutanée, avec pour objectif le maintien d’une SpO</w:t>
      </w:r>
      <w:r>
        <w:rPr>
          <w:vertAlign w:val="subscript"/>
        </w:rPr>
        <w:t>2</w:t>
      </w:r>
      <w:r>
        <w:t xml:space="preserve"> </w:t>
      </w:r>
      <w:r>
        <w:rPr>
          <w:u w:val="single"/>
        </w:rPr>
        <w:t>&gt;</w:t>
      </w:r>
      <w:r>
        <w:t xml:space="preserve"> 90 %.</w:t>
      </w:r>
    </w:p>
    <w:p w14:paraId="6B73F76E" w14:textId="77777777" w:rsidR="00896114" w:rsidRDefault="00896114" w:rsidP="00896114">
      <w:pPr>
        <w:spacing w:line="276" w:lineRule="auto"/>
      </w:pPr>
    </w:p>
    <w:p w14:paraId="5AE8299A" w14:textId="77777777" w:rsidR="00896114" w:rsidRDefault="00896114" w:rsidP="00896114">
      <w:pPr>
        <w:spacing w:line="276" w:lineRule="auto"/>
      </w:pPr>
      <w:r>
        <w:t>Protection des voies aériennes (nécessaire en cas d’hémoptysie massive) :</w:t>
      </w:r>
    </w:p>
    <w:p w14:paraId="1790CF7E" w14:textId="77777777" w:rsidR="00896114" w:rsidRDefault="00896114" w:rsidP="00896114">
      <w:pPr>
        <w:spacing w:line="276" w:lineRule="auto"/>
      </w:pPr>
      <w:r>
        <w:t>- Mise en décubitus latéral du côté du saignement lorsque celui-ci est connu.</w:t>
      </w:r>
    </w:p>
    <w:p w14:paraId="2974C062" w14:textId="77777777" w:rsidR="00896114" w:rsidRDefault="00896114" w:rsidP="00896114">
      <w:pPr>
        <w:spacing w:line="276" w:lineRule="auto"/>
      </w:pPr>
      <w:r>
        <w:t>- Intubation avec ventilation mécanique, parfois nécessaire dans les formes les plus sévères.</w:t>
      </w:r>
      <w:r>
        <w:rPr>
          <w:noProof/>
        </w:rPr>
        <w:drawing>
          <wp:anchor distT="0" distB="0" distL="114300" distR="114300" simplePos="0" relativeHeight="251825152" behindDoc="0" locked="0" layoutInCell="1" hidden="0" allowOverlap="1" wp14:anchorId="618F18CA" wp14:editId="49B6E29C">
            <wp:simplePos x="0" y="0"/>
            <wp:positionH relativeFrom="column">
              <wp:posOffset>-251931</wp:posOffset>
            </wp:positionH>
            <wp:positionV relativeFrom="paragraph">
              <wp:posOffset>179070</wp:posOffset>
            </wp:positionV>
            <wp:extent cx="153670" cy="137160"/>
            <wp:effectExtent l="0" t="0" r="0" b="0"/>
            <wp:wrapSquare wrapText="bothSides" distT="0" distB="0" distL="114300" distR="1143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7F053E7F" w14:textId="77777777" w:rsidR="00896114" w:rsidRDefault="00896114" w:rsidP="00896114">
      <w:pPr>
        <w:spacing w:line="276" w:lineRule="auto"/>
        <w:rPr>
          <w:color w:val="2E74B5"/>
        </w:rPr>
      </w:pPr>
      <w:r>
        <w:rPr>
          <w:color w:val="2E74B5"/>
        </w:rPr>
        <w:t>- Intubation idéalement par sonde à double lumière pour protéger le poumon qui ne saigne pas.</w:t>
      </w:r>
    </w:p>
    <w:p w14:paraId="073B989C" w14:textId="77777777" w:rsidR="00896114" w:rsidRDefault="00896114" w:rsidP="00896114">
      <w:pPr>
        <w:spacing w:line="276" w:lineRule="auto"/>
        <w:rPr>
          <w:color w:val="2E74B5"/>
        </w:rPr>
      </w:pPr>
      <w:r>
        <w:rPr>
          <w:color w:val="2E74B5"/>
        </w:rPr>
        <w:t>- À défaut, intubation sélective du côté qui ne saigne pas ou mise en place d’une sonde à ballonnet dans la bronche souche du poumon qui saigne.</w:t>
      </w:r>
    </w:p>
    <w:p w14:paraId="145A3F90" w14:textId="77777777" w:rsidR="00896114" w:rsidRDefault="00896114" w:rsidP="00896114">
      <w:pPr>
        <w:spacing w:line="276" w:lineRule="auto"/>
        <w:rPr>
          <w:color w:val="2E74B5"/>
          <w:sz w:val="12"/>
          <w:szCs w:val="12"/>
        </w:rPr>
      </w:pPr>
    </w:p>
    <w:p w14:paraId="65453534" w14:textId="77777777" w:rsidR="00896114" w:rsidRDefault="00896114" w:rsidP="00896114">
      <w:pPr>
        <w:spacing w:line="276" w:lineRule="auto"/>
        <w:rPr>
          <w:color w:val="2E74B5"/>
        </w:rPr>
      </w:pPr>
      <w:r>
        <w:rPr>
          <w:color w:val="2E74B5"/>
        </w:rPr>
        <w:t xml:space="preserve">Agents antifibrinolytiques, type acide tranexamique : </w:t>
      </w:r>
    </w:p>
    <w:p w14:paraId="2B16E714" w14:textId="77777777" w:rsidR="00896114" w:rsidRDefault="00896114" w:rsidP="00896114">
      <w:pPr>
        <w:spacing w:line="276" w:lineRule="auto"/>
        <w:rPr>
          <w:color w:val="2E74B5"/>
        </w:rPr>
      </w:pPr>
      <w:r>
        <w:rPr>
          <w:color w:val="2E74B5"/>
        </w:rPr>
        <w:t>- Par voie inhalée (préférentielle) ou sinon IV.</w:t>
      </w:r>
    </w:p>
    <w:p w14:paraId="28ABC648" w14:textId="77777777" w:rsidR="00896114" w:rsidRDefault="00896114" w:rsidP="00896114">
      <w:pPr>
        <w:spacing w:line="276" w:lineRule="auto"/>
        <w:rPr>
          <w:color w:val="2E74B5"/>
        </w:rPr>
      </w:pPr>
      <w:r>
        <w:rPr>
          <w:color w:val="2E74B5"/>
        </w:rPr>
        <w:t>- Permet une réduction du volume de l’hémoptysie, du recours à l’artério-embolisation bronchique et des récidives.</w:t>
      </w:r>
    </w:p>
    <w:p w14:paraId="60E26DBA" w14:textId="77777777" w:rsidR="00896114" w:rsidRDefault="00896114" w:rsidP="00896114">
      <w:pPr>
        <w:spacing w:line="276" w:lineRule="auto"/>
        <w:rPr>
          <w:color w:val="2E74B5"/>
          <w:sz w:val="14"/>
          <w:szCs w:val="14"/>
        </w:rPr>
      </w:pPr>
    </w:p>
    <w:p w14:paraId="699873E6" w14:textId="77777777" w:rsidR="00896114" w:rsidRDefault="00896114" w:rsidP="00896114">
      <w:pPr>
        <w:spacing w:line="276" w:lineRule="auto"/>
        <w:rPr>
          <w:color w:val="2E74B5"/>
        </w:rPr>
      </w:pPr>
      <w:r>
        <w:rPr>
          <w:color w:val="2E74B5"/>
        </w:rPr>
        <w:t>Agents vasoconstricteurs par voie intraveineuse type terlipressine :</w:t>
      </w:r>
    </w:p>
    <w:p w14:paraId="18A33E03" w14:textId="77777777" w:rsidR="00896114" w:rsidRDefault="00896114" w:rsidP="00896114">
      <w:pPr>
        <w:spacing w:line="276" w:lineRule="auto"/>
        <w:rPr>
          <w:color w:val="2E74B5"/>
        </w:rPr>
      </w:pPr>
      <w:r>
        <w:rPr>
          <w:color w:val="2E74B5"/>
        </w:rPr>
        <w:t>- Utilisés dans le cas d’hémoptysies graves, en respectant les contre-indications (en particulier l’athéromatose : risque d’infarctus du myocarde ou d’accident vasculaire cérébral) quand l’embolisation artérielle bronchique n’est pas disponible ou réalisable rapidement. En effet, l’administration d’agents vasoconstricteurs empêche la réalisation d’une embolisation artérielle bronchique dans les 6 heures qui suivent (à cause de la vasoconstriction). </w:t>
      </w:r>
    </w:p>
    <w:p w14:paraId="498EAB71" w14:textId="77777777" w:rsidR="00896114" w:rsidRDefault="00896114" w:rsidP="00896114">
      <w:pPr>
        <w:spacing w:line="276" w:lineRule="auto"/>
        <w:rPr>
          <w:color w:val="2E74B5"/>
        </w:rPr>
      </w:pPr>
      <w:r>
        <w:rPr>
          <w:color w:val="2E74B5"/>
        </w:rPr>
        <w:t>Traitement étiologique :</w:t>
      </w:r>
    </w:p>
    <w:p w14:paraId="0153EA4B" w14:textId="77777777" w:rsidR="00896114" w:rsidRDefault="00896114" w:rsidP="00896114">
      <w:pPr>
        <w:spacing w:line="276" w:lineRule="auto"/>
        <w:rPr>
          <w:color w:val="2E74B5"/>
        </w:rPr>
      </w:pPr>
      <w:r>
        <w:rPr>
          <w:color w:val="2E74B5"/>
        </w:rPr>
        <w:t>- Débuté selon les cas (ex. : antituberculeux).</w:t>
      </w:r>
    </w:p>
    <w:p w14:paraId="0B4FE35D" w14:textId="77777777" w:rsidR="00896114" w:rsidRDefault="00896114" w:rsidP="00896114">
      <w:pPr>
        <w:spacing w:line="276" w:lineRule="auto"/>
        <w:rPr>
          <w:color w:val="2E74B5"/>
        </w:rPr>
      </w:pPr>
      <w:r>
        <w:rPr>
          <w:color w:val="2E74B5"/>
        </w:rPr>
        <w:t>- Arrêt et antagonisation des anticoagulants curatifs (voire préventifs) et/ou des antiagrégants si besoin.</w:t>
      </w:r>
    </w:p>
    <w:p w14:paraId="12D22F65" w14:textId="77777777" w:rsidR="00896114" w:rsidRDefault="00896114" w:rsidP="00896114">
      <w:pPr>
        <w:spacing w:line="276" w:lineRule="auto"/>
        <w:rPr>
          <w:color w:val="2E74B5"/>
        </w:rPr>
      </w:pPr>
    </w:p>
    <w:p w14:paraId="2470F50C" w14:textId="77777777" w:rsidR="00896114" w:rsidRDefault="00896114" w:rsidP="00896114">
      <w:pPr>
        <w:pStyle w:val="titredesous-partie"/>
      </w:pPr>
      <w:r>
        <w:rPr>
          <w:shd w:val="clear" w:color="auto" w:fill="auto"/>
        </w:rPr>
        <w:t>Traitement en radiologie interventionnelle : embolisation artérielle bronchique</w:t>
      </w:r>
    </w:p>
    <w:p w14:paraId="1C7583CC" w14:textId="77777777" w:rsidR="00896114" w:rsidRDefault="00896114" w:rsidP="00896114">
      <w:pPr>
        <w:tabs>
          <w:tab w:val="left" w:pos="426"/>
        </w:tabs>
        <w:spacing w:line="276" w:lineRule="auto"/>
        <w:rPr>
          <w:color w:val="2E74B5"/>
        </w:rPr>
      </w:pPr>
      <w:r>
        <w:rPr>
          <w:color w:val="2E74B5"/>
        </w:rPr>
        <w:t>La radiologie interventionnelle a révolutionné l’approche des hémoptysies graves et constitue le traitement de référence. Elle sera par contre discutée au cas par cas en cas d’hémoptysie de moyenne abondance (50 à 200 mL).</w:t>
      </w:r>
    </w:p>
    <w:p w14:paraId="634DEE4E" w14:textId="77777777" w:rsidR="00896114" w:rsidRDefault="00896114" w:rsidP="00896114">
      <w:pPr>
        <w:tabs>
          <w:tab w:val="left" w:pos="426"/>
        </w:tabs>
        <w:spacing w:line="276" w:lineRule="auto"/>
        <w:rPr>
          <w:color w:val="2E74B5"/>
        </w:rPr>
      </w:pPr>
      <w:r>
        <w:rPr>
          <w:color w:val="2E74B5"/>
        </w:rPr>
        <w:t>L’embolisation artérielle bronchique consiste, grâce à un abord vasculaire artériel systémique (en général par ponction de l’artère fémorale), à :</w:t>
      </w:r>
    </w:p>
    <w:p w14:paraId="3FBC0994" w14:textId="77777777" w:rsidR="00896114" w:rsidRDefault="00896114" w:rsidP="00896114">
      <w:pPr>
        <w:spacing w:line="276" w:lineRule="auto"/>
        <w:rPr>
          <w:color w:val="2E74B5"/>
        </w:rPr>
      </w:pPr>
      <w:r>
        <w:rPr>
          <w:color w:val="2E74B5"/>
        </w:rPr>
        <w:t>- Repérer la ou les artères bronchiques en cause dans le saignement, en s’aidant aussi des données de l’angioscanner thoracique.</w:t>
      </w:r>
    </w:p>
    <w:p w14:paraId="2BC84FD4" w14:textId="77777777" w:rsidR="00896114" w:rsidRDefault="00896114" w:rsidP="00896114">
      <w:pPr>
        <w:spacing w:line="276" w:lineRule="auto"/>
        <w:rPr>
          <w:color w:val="2E74B5"/>
        </w:rPr>
      </w:pPr>
      <w:r>
        <w:rPr>
          <w:color w:val="2E74B5"/>
        </w:rPr>
        <w:t>- Identifier leur caractère anormal éventuel (élargissement, hypervascularisation, shunt systémo-pulmonaire, extravasation de produit de contraste témoignant d’un saignement actif).</w:t>
      </w:r>
    </w:p>
    <w:p w14:paraId="3EAB426B" w14:textId="77777777" w:rsidR="00896114" w:rsidRDefault="00896114" w:rsidP="00896114">
      <w:pPr>
        <w:spacing w:line="276" w:lineRule="auto"/>
        <w:rPr>
          <w:color w:val="2E74B5"/>
        </w:rPr>
      </w:pPr>
      <w:r>
        <w:rPr>
          <w:color w:val="2E74B5"/>
        </w:rPr>
        <w:t>- Injecter des micro-particules, ou des agents liquides, ou des spirales pour obstruer le vaisseau qui saigne.</w:t>
      </w:r>
    </w:p>
    <w:p w14:paraId="4B1FEADF" w14:textId="77777777" w:rsidR="00896114" w:rsidRDefault="00896114" w:rsidP="00896114">
      <w:pPr>
        <w:tabs>
          <w:tab w:val="left" w:pos="426"/>
        </w:tabs>
        <w:spacing w:line="276" w:lineRule="auto"/>
        <w:rPr>
          <w:color w:val="2E74B5"/>
        </w:rPr>
      </w:pPr>
    </w:p>
    <w:p w14:paraId="22824B59" w14:textId="77777777" w:rsidR="00896114" w:rsidRDefault="00896114" w:rsidP="00896114">
      <w:pPr>
        <w:tabs>
          <w:tab w:val="left" w:pos="426"/>
        </w:tabs>
        <w:spacing w:line="276" w:lineRule="auto"/>
        <w:rPr>
          <w:color w:val="2E74B5"/>
        </w:rPr>
      </w:pPr>
      <w:r>
        <w:rPr>
          <w:color w:val="2E74B5"/>
        </w:rPr>
        <w:t>Elle requiert une expertise en radiologie vasculaire qui n’est pas disponible dans tous les centres.</w:t>
      </w:r>
    </w:p>
    <w:p w14:paraId="7B91631B" w14:textId="77777777" w:rsidR="00896114" w:rsidRDefault="00896114" w:rsidP="00896114">
      <w:pPr>
        <w:tabs>
          <w:tab w:val="left" w:pos="426"/>
        </w:tabs>
        <w:spacing w:line="276" w:lineRule="auto"/>
        <w:rPr>
          <w:color w:val="2E74B5"/>
        </w:rPr>
      </w:pPr>
      <w:r>
        <w:rPr>
          <w:color w:val="2E74B5"/>
        </w:rPr>
        <w:t>Le risque principal est l’embolisation paradoxale d’autres artères systémiques dont la plus grave est l’artère spinale antérieure (artère d’Adamkievicz).</w:t>
      </w:r>
    </w:p>
    <w:p w14:paraId="1393F17B" w14:textId="77777777" w:rsidR="00896114" w:rsidRPr="00896114" w:rsidRDefault="00896114" w:rsidP="00896114">
      <w:pPr>
        <w:pStyle w:val="lgende"/>
        <w:rPr>
          <w:color w:val="0070C0"/>
        </w:rPr>
      </w:pPr>
    </w:p>
    <w:p w14:paraId="2DA3BA1A" w14:textId="77777777" w:rsidR="00896114" w:rsidRPr="00896114" w:rsidRDefault="00896114" w:rsidP="00896114">
      <w:pPr>
        <w:pStyle w:val="lgende"/>
        <w:rPr>
          <w:color w:val="0070C0"/>
        </w:rPr>
      </w:pPr>
      <w:r w:rsidRPr="00896114">
        <w:rPr>
          <w:color w:val="0070C0"/>
        </w:rPr>
        <w:t xml:space="preserve">Figure 4 : </w:t>
      </w:r>
      <w:r w:rsidRPr="00896114">
        <w:rPr>
          <w:b/>
          <w:bCs/>
          <w:color w:val="0070C0"/>
        </w:rPr>
        <w:t>Embolisation artérielle bronchique</w:t>
      </w:r>
      <w:r w:rsidRPr="00896114">
        <w:rPr>
          <w:color w:val="0070C0"/>
        </w:rPr>
        <w:t xml:space="preserve"> : Hémoptysie de moyenne abondance chez une femme de 29 ans, qui tousse et qui crache depuis près de 15 ans. Cliché de thorax (A) : doute sur un infiltrat paracardiaque gauche. Le scanner thoracique (B) confirme la cause et la localisation : des bronchectasies étendues de la lingula, mais </w:t>
      </w:r>
      <w:r w:rsidRPr="00896114">
        <w:rPr>
          <w:color w:val="0070C0"/>
        </w:rPr>
        <w:lastRenderedPageBreak/>
        <w:t>aussi, en controlatéral, au niveau du lobe moyen. L’artériographie bronchique (C) montre une nette hypervascularisation de la lingula qui disparaît après embolisation (D).</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4536"/>
        <w:gridCol w:w="4536"/>
      </w:tblGrid>
      <w:tr w:rsidR="00896114" w14:paraId="47886D14" w14:textId="77777777" w:rsidTr="00896114">
        <w:tc>
          <w:tcPr>
            <w:tcW w:w="4536" w:type="dxa"/>
          </w:tcPr>
          <w:p w14:paraId="7D2736AE" w14:textId="0B29A3DF" w:rsidR="00896114" w:rsidRDefault="00896114" w:rsidP="00896114">
            <w:pPr>
              <w:pBdr>
                <w:top w:val="nil"/>
                <w:left w:val="nil"/>
                <w:bottom w:val="nil"/>
                <w:right w:val="nil"/>
                <w:between w:val="nil"/>
              </w:pBdr>
              <w:spacing w:line="276" w:lineRule="auto"/>
              <w:jc w:val="center"/>
              <w:rPr>
                <w:rFonts w:ascii="Arial" w:eastAsia="Arial" w:hAnsi="Arial" w:cs="Arial"/>
                <w:color w:val="2E74B5"/>
                <w:sz w:val="18"/>
                <w:szCs w:val="18"/>
              </w:rPr>
            </w:pPr>
            <w:r>
              <w:rPr>
                <w:noProof/>
              </w:rPr>
              <mc:AlternateContent>
                <mc:Choice Requires="wps">
                  <w:drawing>
                    <wp:anchor distT="45720" distB="45720" distL="114300" distR="114300" simplePos="0" relativeHeight="251826176" behindDoc="0" locked="0" layoutInCell="1" hidden="0" allowOverlap="1" wp14:anchorId="242E9689" wp14:editId="49F620B3">
                      <wp:simplePos x="0" y="0"/>
                      <wp:positionH relativeFrom="column">
                        <wp:posOffset>346673</wp:posOffset>
                      </wp:positionH>
                      <wp:positionV relativeFrom="paragraph">
                        <wp:posOffset>2548758</wp:posOffset>
                      </wp:positionV>
                      <wp:extent cx="316865" cy="299085"/>
                      <wp:effectExtent l="0" t="0" r="0" b="0"/>
                      <wp:wrapNone/>
                      <wp:docPr id="5" name="Rectangle 5"/>
                      <wp:cNvGraphicFramePr/>
                      <a:graphic xmlns:a="http://schemas.openxmlformats.org/drawingml/2006/main">
                        <a:graphicData uri="http://schemas.microsoft.com/office/word/2010/wordprocessingShape">
                          <wps:wsp>
                            <wps:cNvSpPr/>
                            <wps:spPr>
                              <a:xfrm>
                                <a:off x="0" y="0"/>
                                <a:ext cx="316865" cy="299085"/>
                              </a:xfrm>
                              <a:prstGeom prst="rect">
                                <a:avLst/>
                              </a:prstGeom>
                              <a:noFill/>
                              <a:ln>
                                <a:noFill/>
                              </a:ln>
                            </wps:spPr>
                            <wps:txbx>
                              <w:txbxContent>
                                <w:p w14:paraId="17B118EF" w14:textId="77777777" w:rsidR="00896114" w:rsidRPr="00896114" w:rsidRDefault="00896114" w:rsidP="00896114">
                                  <w:pPr>
                                    <w:spacing w:line="258" w:lineRule="auto"/>
                                    <w:textDirection w:val="btLr"/>
                                    <w:rPr>
                                      <w:color w:val="FFFFFF" w:themeColor="background1"/>
                                    </w:rPr>
                                  </w:pPr>
                                  <w:r w:rsidRPr="00896114">
                                    <w:rPr>
                                      <w:b/>
                                      <w:color w:val="FFFFFF" w:themeColor="background1"/>
                                      <w:sz w:val="28"/>
                                    </w:rPr>
                                    <w:t>A</w:t>
                                  </w:r>
                                </w:p>
                              </w:txbxContent>
                            </wps:txbx>
                            <wps:bodyPr spcFirstLastPara="1" wrap="square" lIns="91425" tIns="45700" rIns="91425" bIns="45700" anchor="t" anchorCtr="0">
                              <a:noAutofit/>
                            </wps:bodyPr>
                          </wps:wsp>
                        </a:graphicData>
                      </a:graphic>
                    </wp:anchor>
                  </w:drawing>
                </mc:Choice>
                <mc:Fallback>
                  <w:pict>
                    <v:rect w14:anchorId="242E9689" id="Rectangle 5" o:spid="_x0000_s1026" style="position:absolute;left:0;text-align:left;margin-left:27.3pt;margin-top:200.7pt;width:24.95pt;height:23.55pt;z-index:25182617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" filled="f" stroked="f">
                      <v:textbox inset="2.53958mm,1.2694mm,2.53958mm,1.2694mm">
                        <w:txbxContent>
                          <w:p w14:paraId="17B118EF" w14:textId="77777777" w:rsidR="00896114" w:rsidRPr="00896114" w:rsidRDefault="00896114" w:rsidP="00896114">
                            <w:pPr>
                              <w:spacing w:line="258" w:lineRule="auto"/>
                              <w:textDirection w:val="btLr"/>
                              <w:rPr>
                                <w:color w:val="FFFFFF" w:themeColor="background1"/>
                              </w:rPr>
                            </w:pPr>
                            <w:r w:rsidRPr="00896114">
                              <w:rPr>
                                <w:b/>
                                <w:color w:val="FFFFFF" w:themeColor="background1"/>
                                <w:sz w:val="28"/>
                              </w:rPr>
                              <w:t>A</w:t>
                            </w:r>
                          </w:p>
                        </w:txbxContent>
                      </v:textbox>
                    </v:rect>
                  </w:pict>
                </mc:Fallback>
              </mc:AlternateContent>
            </w:r>
            <w:r>
              <w:rPr>
                <w:rFonts w:ascii="Arial" w:eastAsia="Arial" w:hAnsi="Arial" w:cs="Arial"/>
                <w:noProof/>
                <w:sz w:val="18"/>
                <w:szCs w:val="18"/>
              </w:rPr>
              <w:drawing>
                <wp:inline distT="0" distB="0" distL="0" distR="0" wp14:anchorId="082063BA" wp14:editId="0FF8A7C2">
                  <wp:extent cx="2562131" cy="2904492"/>
                  <wp:effectExtent l="0" t="0" r="0" b="0"/>
                  <wp:docPr id="2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7"/>
                          <a:srcRect/>
                          <a:stretch>
                            <a:fillRect/>
                          </a:stretch>
                        </pic:blipFill>
                        <pic:spPr>
                          <a:xfrm>
                            <a:off x="0" y="0"/>
                            <a:ext cx="2566605" cy="2909564"/>
                          </a:xfrm>
                          <a:prstGeom prst="rect">
                            <a:avLst/>
                          </a:prstGeom>
                          <a:ln/>
                        </pic:spPr>
                      </pic:pic>
                    </a:graphicData>
                  </a:graphic>
                </wp:inline>
              </w:drawing>
            </w:r>
          </w:p>
        </w:tc>
        <w:tc>
          <w:tcPr>
            <w:tcW w:w="4536" w:type="dxa"/>
          </w:tcPr>
          <w:p w14:paraId="6469BD1A" w14:textId="1DD38EA8" w:rsidR="00896114" w:rsidRDefault="00896114" w:rsidP="00896114">
            <w:pPr>
              <w:pBdr>
                <w:top w:val="nil"/>
                <w:left w:val="nil"/>
                <w:bottom w:val="nil"/>
                <w:right w:val="nil"/>
                <w:between w:val="nil"/>
              </w:pBdr>
              <w:spacing w:line="276" w:lineRule="auto"/>
              <w:jc w:val="center"/>
              <w:rPr>
                <w:rFonts w:ascii="Arial" w:eastAsia="Arial" w:hAnsi="Arial" w:cs="Arial"/>
                <w:color w:val="2E74B5"/>
                <w:sz w:val="18"/>
                <w:szCs w:val="18"/>
              </w:rPr>
            </w:pPr>
            <w:r>
              <w:rPr>
                <w:noProof/>
              </w:rPr>
              <mc:AlternateContent>
                <mc:Choice Requires="wps">
                  <w:drawing>
                    <wp:anchor distT="45720" distB="45720" distL="114300" distR="114300" simplePos="0" relativeHeight="251827200" behindDoc="0" locked="0" layoutInCell="1" hidden="0" allowOverlap="1" wp14:anchorId="21291865" wp14:editId="1516E004">
                      <wp:simplePos x="0" y="0"/>
                      <wp:positionH relativeFrom="column">
                        <wp:posOffset>47154</wp:posOffset>
                      </wp:positionH>
                      <wp:positionV relativeFrom="paragraph">
                        <wp:posOffset>2546199</wp:posOffset>
                      </wp:positionV>
                      <wp:extent cx="316865" cy="299085"/>
                      <wp:effectExtent l="0" t="0" r="0" b="0"/>
                      <wp:wrapNone/>
                      <wp:docPr id="1" name="Rectangle 1"/>
                      <wp:cNvGraphicFramePr/>
                      <a:graphic xmlns:a="http://schemas.openxmlformats.org/drawingml/2006/main">
                        <a:graphicData uri="http://schemas.microsoft.com/office/word/2010/wordprocessingShape">
                          <wps:wsp>
                            <wps:cNvSpPr/>
                            <wps:spPr>
                              <a:xfrm>
                                <a:off x="0" y="0"/>
                                <a:ext cx="316865" cy="299085"/>
                              </a:xfrm>
                              <a:prstGeom prst="rect">
                                <a:avLst/>
                              </a:prstGeom>
                              <a:noFill/>
                              <a:ln>
                                <a:noFill/>
                              </a:ln>
                            </wps:spPr>
                            <wps:txbx>
                              <w:txbxContent>
                                <w:p w14:paraId="6FBB0BA7" w14:textId="77777777" w:rsidR="00896114" w:rsidRDefault="00896114" w:rsidP="00896114">
                                  <w:pPr>
                                    <w:spacing w:line="258" w:lineRule="auto"/>
                                    <w:textDirection w:val="btLr"/>
                                  </w:pPr>
                                  <w:r>
                                    <w:rPr>
                                      <w:b/>
                                      <w:sz w:val="28"/>
                                    </w:rPr>
                                    <w:t>B</w:t>
                                  </w:r>
                                </w:p>
                              </w:txbxContent>
                            </wps:txbx>
                            <wps:bodyPr spcFirstLastPara="1" wrap="square" lIns="91425" tIns="45700" rIns="91425" bIns="45700" anchor="t" anchorCtr="0">
                              <a:noAutofit/>
                            </wps:bodyPr>
                          </wps:wsp>
                        </a:graphicData>
                      </a:graphic>
                    </wp:anchor>
                  </w:drawing>
                </mc:Choice>
                <mc:Fallback>
                  <w:pict>
                    <v:rect w14:anchorId="21291865" id="Rectangle 1" o:spid="_x0000_s1027" style="position:absolute;left:0;text-align:left;margin-left:3.7pt;margin-top:200.5pt;width:24.95pt;height:23.55pt;z-index:25182720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" filled="f" stroked="f">
                      <v:textbox inset="2.53958mm,1.2694mm,2.53958mm,1.2694mm">
                        <w:txbxContent>
                          <w:p w14:paraId="6FBB0BA7" w14:textId="77777777" w:rsidR="00896114" w:rsidRDefault="00896114" w:rsidP="00896114">
                            <w:pPr>
                              <w:spacing w:line="258" w:lineRule="auto"/>
                              <w:textDirection w:val="btLr"/>
                            </w:pPr>
                            <w:r>
                              <w:rPr>
                                <w:b/>
                                <w:sz w:val="28"/>
                              </w:rPr>
                              <w:t>B</w:t>
                            </w:r>
                          </w:p>
                        </w:txbxContent>
                      </v:textbox>
                    </v:rect>
                  </w:pict>
                </mc:Fallback>
              </mc:AlternateContent>
            </w:r>
            <w:r>
              <w:rPr>
                <w:rFonts w:ascii="Arial" w:eastAsia="Arial" w:hAnsi="Arial" w:cs="Arial"/>
                <w:noProof/>
                <w:sz w:val="18"/>
                <w:szCs w:val="18"/>
              </w:rPr>
              <w:drawing>
                <wp:inline distT="0" distB="0" distL="0" distR="0" wp14:anchorId="5F808CB6" wp14:editId="44B1E318">
                  <wp:extent cx="2688880" cy="1928928"/>
                  <wp:effectExtent l="0" t="0" r="0" b="0"/>
                  <wp:docPr id="26"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8"/>
                          <a:srcRect/>
                          <a:stretch>
                            <a:fillRect/>
                          </a:stretch>
                        </pic:blipFill>
                        <pic:spPr>
                          <a:xfrm>
                            <a:off x="0" y="0"/>
                            <a:ext cx="2692169" cy="1931288"/>
                          </a:xfrm>
                          <a:prstGeom prst="rect">
                            <a:avLst/>
                          </a:prstGeom>
                          <a:ln/>
                        </pic:spPr>
                      </pic:pic>
                    </a:graphicData>
                  </a:graphic>
                </wp:inline>
              </w:drawing>
            </w:r>
          </w:p>
        </w:tc>
      </w:tr>
      <w:tr w:rsidR="00896114" w14:paraId="008F5A02" w14:textId="77777777" w:rsidTr="00896114">
        <w:tc>
          <w:tcPr>
            <w:tcW w:w="4536" w:type="dxa"/>
          </w:tcPr>
          <w:p w14:paraId="57CD81EA" w14:textId="1A981ED4" w:rsidR="00896114" w:rsidRDefault="00896114" w:rsidP="00896114">
            <w:pPr>
              <w:pBdr>
                <w:top w:val="nil"/>
                <w:left w:val="nil"/>
                <w:bottom w:val="nil"/>
                <w:right w:val="nil"/>
                <w:between w:val="nil"/>
              </w:pBdr>
              <w:spacing w:line="276" w:lineRule="auto"/>
              <w:jc w:val="center"/>
              <w:rPr>
                <w:rFonts w:ascii="Arial" w:eastAsia="Arial" w:hAnsi="Arial" w:cs="Arial"/>
                <w:color w:val="2E74B5"/>
                <w:sz w:val="18"/>
                <w:szCs w:val="18"/>
              </w:rPr>
            </w:pPr>
            <w:r>
              <w:rPr>
                <w:noProof/>
              </w:rPr>
              <mc:AlternateContent>
                <mc:Choice Requires="wps">
                  <w:drawing>
                    <wp:anchor distT="45720" distB="45720" distL="114300" distR="114300" simplePos="0" relativeHeight="251828224" behindDoc="0" locked="0" layoutInCell="1" hidden="0" allowOverlap="1" wp14:anchorId="4A9DE1D0" wp14:editId="30D3F241">
                      <wp:simplePos x="0" y="0"/>
                      <wp:positionH relativeFrom="column">
                        <wp:posOffset>279507</wp:posOffset>
                      </wp:positionH>
                      <wp:positionV relativeFrom="paragraph">
                        <wp:posOffset>2079254</wp:posOffset>
                      </wp:positionV>
                      <wp:extent cx="316865" cy="299085"/>
                      <wp:effectExtent l="0" t="0" r="0" b="0"/>
                      <wp:wrapNone/>
                      <wp:docPr id="3" name="Rectangle 3"/>
                      <wp:cNvGraphicFramePr/>
                      <a:graphic xmlns:a="http://schemas.openxmlformats.org/drawingml/2006/main">
                        <a:graphicData uri="http://schemas.microsoft.com/office/word/2010/wordprocessingShape">
                          <wps:wsp>
                            <wps:cNvSpPr/>
                            <wps:spPr>
                              <a:xfrm>
                                <a:off x="0" y="0"/>
                                <a:ext cx="316865" cy="299085"/>
                              </a:xfrm>
                              <a:prstGeom prst="rect">
                                <a:avLst/>
                              </a:prstGeom>
                              <a:noFill/>
                              <a:ln>
                                <a:noFill/>
                              </a:ln>
                            </wps:spPr>
                            <wps:txbx>
                              <w:txbxContent>
                                <w:p w14:paraId="1EF1E89C" w14:textId="77777777" w:rsidR="00896114" w:rsidRPr="00896114" w:rsidRDefault="00896114" w:rsidP="00896114">
                                  <w:pPr>
                                    <w:spacing w:line="258" w:lineRule="auto"/>
                                    <w:textDirection w:val="btLr"/>
                                    <w:rPr>
                                      <w:color w:val="FFFFFF" w:themeColor="background1"/>
                                    </w:rPr>
                                  </w:pPr>
                                  <w:r w:rsidRPr="00896114">
                                    <w:rPr>
                                      <w:b/>
                                      <w:color w:val="FFFFFF" w:themeColor="background1"/>
                                      <w:sz w:val="28"/>
                                    </w:rPr>
                                    <w:t>C</w:t>
                                  </w:r>
                                </w:p>
                              </w:txbxContent>
                            </wps:txbx>
                            <wps:bodyPr spcFirstLastPara="1" wrap="square" lIns="91425" tIns="45700" rIns="91425" bIns="45700" anchor="t" anchorCtr="0">
                              <a:noAutofit/>
                            </wps:bodyPr>
                          </wps:wsp>
                        </a:graphicData>
                      </a:graphic>
                    </wp:anchor>
                  </w:drawing>
                </mc:Choice>
                <mc:Fallback>
                  <w:pict>
                    <v:rect w14:anchorId="4A9DE1D0" id="Rectangle 3" o:spid="_x0000_s1028" style="position:absolute;left:0;text-align:left;margin-left:22pt;margin-top:163.7pt;width:24.95pt;height:23.55pt;z-index:25182822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" filled="f" stroked="f">
                      <v:textbox inset="2.53958mm,1.2694mm,2.53958mm,1.2694mm">
                        <w:txbxContent>
                          <w:p w14:paraId="1EF1E89C" w14:textId="77777777" w:rsidR="00896114" w:rsidRPr="00896114" w:rsidRDefault="00896114" w:rsidP="00896114">
                            <w:pPr>
                              <w:spacing w:line="258" w:lineRule="auto"/>
                              <w:textDirection w:val="btLr"/>
                              <w:rPr>
                                <w:color w:val="FFFFFF" w:themeColor="background1"/>
                              </w:rPr>
                            </w:pPr>
                            <w:r w:rsidRPr="00896114">
                              <w:rPr>
                                <w:b/>
                                <w:color w:val="FFFFFF" w:themeColor="background1"/>
                                <w:sz w:val="28"/>
                              </w:rPr>
                              <w:t>C</w:t>
                            </w:r>
                          </w:p>
                        </w:txbxContent>
                      </v:textbox>
                    </v:rect>
                  </w:pict>
                </mc:Fallback>
              </mc:AlternateContent>
            </w:r>
            <w:r>
              <w:rPr>
                <w:rFonts w:ascii="Arial" w:eastAsia="Arial" w:hAnsi="Arial" w:cs="Arial"/>
                <w:noProof/>
                <w:sz w:val="18"/>
                <w:szCs w:val="18"/>
              </w:rPr>
              <w:drawing>
                <wp:inline distT="0" distB="0" distL="0" distR="0" wp14:anchorId="61E3ABC5" wp14:editId="30E712E0">
                  <wp:extent cx="2598345" cy="2471596"/>
                  <wp:effectExtent l="0" t="0" r="0" b="5080"/>
                  <wp:docPr id="27"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9"/>
                          <a:srcRect/>
                          <a:stretch>
                            <a:fillRect/>
                          </a:stretch>
                        </pic:blipFill>
                        <pic:spPr>
                          <a:xfrm>
                            <a:off x="0" y="0"/>
                            <a:ext cx="2608463" cy="2481221"/>
                          </a:xfrm>
                          <a:prstGeom prst="rect">
                            <a:avLst/>
                          </a:prstGeom>
                          <a:ln/>
                        </pic:spPr>
                      </pic:pic>
                    </a:graphicData>
                  </a:graphic>
                </wp:inline>
              </w:drawing>
            </w:r>
          </w:p>
        </w:tc>
        <w:tc>
          <w:tcPr>
            <w:tcW w:w="4536" w:type="dxa"/>
          </w:tcPr>
          <w:p w14:paraId="01FDCC32" w14:textId="1D1FE364" w:rsidR="00896114" w:rsidRDefault="00896114" w:rsidP="00896114">
            <w:pPr>
              <w:pBdr>
                <w:top w:val="nil"/>
                <w:left w:val="nil"/>
                <w:bottom w:val="nil"/>
                <w:right w:val="nil"/>
                <w:between w:val="nil"/>
              </w:pBdr>
              <w:spacing w:line="276" w:lineRule="auto"/>
              <w:jc w:val="center"/>
              <w:rPr>
                <w:rFonts w:ascii="Arial" w:eastAsia="Arial" w:hAnsi="Arial" w:cs="Arial"/>
                <w:color w:val="2E74B5"/>
                <w:sz w:val="18"/>
                <w:szCs w:val="18"/>
              </w:rPr>
            </w:pPr>
            <w:r>
              <w:rPr>
                <w:noProof/>
              </w:rPr>
              <mc:AlternateContent>
                <mc:Choice Requires="wps">
                  <w:drawing>
                    <wp:anchor distT="45720" distB="45720" distL="114300" distR="114300" simplePos="0" relativeHeight="251829248" behindDoc="0" locked="0" layoutInCell="1" hidden="0" allowOverlap="1" wp14:anchorId="3775E0DE" wp14:editId="3D4028DC">
                      <wp:simplePos x="0" y="0"/>
                      <wp:positionH relativeFrom="column">
                        <wp:posOffset>409053</wp:posOffset>
                      </wp:positionH>
                      <wp:positionV relativeFrom="paragraph">
                        <wp:posOffset>2044556</wp:posOffset>
                      </wp:positionV>
                      <wp:extent cx="316865" cy="299085"/>
                      <wp:effectExtent l="0" t="0" r="0" b="0"/>
                      <wp:wrapNone/>
                      <wp:docPr id="4" name="Rectangle 4"/>
                      <wp:cNvGraphicFramePr/>
                      <a:graphic xmlns:a="http://schemas.openxmlformats.org/drawingml/2006/main">
                        <a:graphicData uri="http://schemas.microsoft.com/office/word/2010/wordprocessingShape">
                          <wps:wsp>
                            <wps:cNvSpPr/>
                            <wps:spPr>
                              <a:xfrm>
                                <a:off x="0" y="0"/>
                                <a:ext cx="316865" cy="299085"/>
                              </a:xfrm>
                              <a:prstGeom prst="rect">
                                <a:avLst/>
                              </a:prstGeom>
                              <a:noFill/>
                              <a:ln>
                                <a:noFill/>
                              </a:ln>
                            </wps:spPr>
                            <wps:txbx>
                              <w:txbxContent>
                                <w:p w14:paraId="4DCD35F1" w14:textId="77777777" w:rsidR="00896114" w:rsidRPr="00896114" w:rsidRDefault="00896114" w:rsidP="00896114">
                                  <w:pPr>
                                    <w:spacing w:line="258" w:lineRule="auto"/>
                                    <w:jc w:val="center"/>
                                    <w:textDirection w:val="btLr"/>
                                    <w:rPr>
                                      <w:color w:val="FFFFFF" w:themeColor="background1"/>
                                    </w:rPr>
                                  </w:pPr>
                                  <w:r w:rsidRPr="00896114">
                                    <w:rPr>
                                      <w:b/>
                                      <w:color w:val="FFFFFF" w:themeColor="background1"/>
                                      <w:sz w:val="28"/>
                                    </w:rPr>
                                    <w:t>D</w:t>
                                  </w:r>
                                </w:p>
                              </w:txbxContent>
                            </wps:txbx>
                            <wps:bodyPr spcFirstLastPara="1" wrap="square" lIns="91425" tIns="45700" rIns="91425" bIns="45700" anchor="t" anchorCtr="0">
                              <a:noAutofit/>
                            </wps:bodyPr>
                          </wps:wsp>
                        </a:graphicData>
                      </a:graphic>
                    </wp:anchor>
                  </w:drawing>
                </mc:Choice>
                <mc:Fallback>
                  <w:pict>
                    <v:rect w14:anchorId="3775E0DE" id="Rectangle 4" o:spid="_x0000_s1029" style="position:absolute;left:0;text-align:left;margin-left:32.2pt;margin-top:161pt;width:24.95pt;height:23.55pt;z-index:25182924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" filled="f" stroked="f">
                      <v:textbox inset="2.53958mm,1.2694mm,2.53958mm,1.2694mm">
                        <w:txbxContent>
                          <w:p w14:paraId="4DCD35F1" w14:textId="77777777" w:rsidR="00896114" w:rsidRPr="00896114" w:rsidRDefault="00896114" w:rsidP="00896114">
                            <w:pPr>
                              <w:spacing w:line="258" w:lineRule="auto"/>
                              <w:jc w:val="center"/>
                              <w:textDirection w:val="btLr"/>
                              <w:rPr>
                                <w:color w:val="FFFFFF" w:themeColor="background1"/>
                              </w:rPr>
                            </w:pPr>
                            <w:r w:rsidRPr="00896114">
                              <w:rPr>
                                <w:b/>
                                <w:color w:val="FFFFFF" w:themeColor="background1"/>
                                <w:sz w:val="28"/>
                              </w:rPr>
                              <w:t>D</w:t>
                            </w:r>
                          </w:p>
                        </w:txbxContent>
                      </v:textbox>
                    </v:rect>
                  </w:pict>
                </mc:Fallback>
              </mc:AlternateContent>
            </w:r>
            <w:r>
              <w:rPr>
                <w:rFonts w:ascii="Arial" w:eastAsia="Arial" w:hAnsi="Arial" w:cs="Arial"/>
                <w:noProof/>
                <w:sz w:val="18"/>
                <w:szCs w:val="18"/>
              </w:rPr>
              <w:drawing>
                <wp:inline distT="0" distB="0" distL="0" distR="0" wp14:anchorId="08C225E2" wp14:editId="0B37D2ED">
                  <wp:extent cx="2227153" cy="2469003"/>
                  <wp:effectExtent l="0" t="0" r="1905" b="7620"/>
                  <wp:docPr id="28"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0"/>
                          <a:srcRect/>
                          <a:stretch>
                            <a:fillRect/>
                          </a:stretch>
                        </pic:blipFill>
                        <pic:spPr>
                          <a:xfrm>
                            <a:off x="0" y="0"/>
                            <a:ext cx="2236606" cy="2479482"/>
                          </a:xfrm>
                          <a:prstGeom prst="rect">
                            <a:avLst/>
                          </a:prstGeom>
                          <a:ln/>
                        </pic:spPr>
                      </pic:pic>
                    </a:graphicData>
                  </a:graphic>
                </wp:inline>
              </w:drawing>
            </w:r>
          </w:p>
        </w:tc>
      </w:tr>
    </w:tbl>
    <w:p w14:paraId="167CA8EB" w14:textId="77777777" w:rsidR="00896114" w:rsidRDefault="00896114" w:rsidP="00896114">
      <w:pPr>
        <w:spacing w:line="276" w:lineRule="auto"/>
      </w:pPr>
    </w:p>
    <w:p w14:paraId="4768ED99" w14:textId="77777777" w:rsidR="00896114" w:rsidRDefault="00896114" w:rsidP="00896114">
      <w:pPr>
        <w:pStyle w:val="titredesous-partie"/>
      </w:pPr>
      <w:r>
        <w:rPr>
          <w:shd w:val="clear" w:color="auto" w:fill="auto"/>
        </w:rPr>
        <w:t>Traitement topique endoscopique</w:t>
      </w:r>
    </w:p>
    <w:p w14:paraId="1F6FD012" w14:textId="77777777" w:rsidR="00896114" w:rsidRDefault="00896114" w:rsidP="00896114">
      <w:pPr>
        <w:spacing w:line="276" w:lineRule="auto"/>
        <w:rPr>
          <w:color w:val="2E74B5"/>
        </w:rPr>
      </w:pPr>
      <w:r>
        <w:rPr>
          <w:color w:val="2E74B5"/>
        </w:rPr>
        <w:t>L’instillation locale par voie endoscopique de sérum physiologique à 4 °C ou d’une solution adrénalinée reste d’indication anecdotique en raison d’une efficacité limitée.</w:t>
      </w:r>
    </w:p>
    <w:p w14:paraId="1F8E0527" w14:textId="77777777" w:rsidR="00896114" w:rsidRDefault="00896114" w:rsidP="00896114">
      <w:pPr>
        <w:spacing w:line="276" w:lineRule="auto"/>
        <w:rPr>
          <w:color w:val="2E74B5"/>
        </w:rPr>
      </w:pPr>
      <w:r>
        <w:rPr>
          <w:color w:val="2E74B5"/>
        </w:rPr>
        <w:t>Une toilette bronchique peut éventuellement être réalisée, mais la mobilisation du caillot en rapport avec le saignement est à proscrire.</w:t>
      </w:r>
    </w:p>
    <w:p w14:paraId="26686F01" w14:textId="77777777" w:rsidR="00896114" w:rsidRDefault="00896114" w:rsidP="00896114">
      <w:pPr>
        <w:spacing w:line="276" w:lineRule="auto"/>
        <w:rPr>
          <w:color w:val="2E74B5"/>
        </w:rPr>
      </w:pPr>
    </w:p>
    <w:p w14:paraId="0F7737EF" w14:textId="77777777" w:rsidR="00896114" w:rsidRDefault="00896114" w:rsidP="00896114">
      <w:pPr>
        <w:pStyle w:val="titredesous-partie"/>
      </w:pPr>
      <w:r>
        <w:rPr>
          <w:shd w:val="clear" w:color="auto" w:fill="auto"/>
        </w:rPr>
        <w:t>Traitement chirurgical</w:t>
      </w:r>
    </w:p>
    <w:p w14:paraId="6BA972A2" w14:textId="77777777" w:rsidR="00896114" w:rsidRDefault="00896114" w:rsidP="00896114">
      <w:pPr>
        <w:spacing w:line="276" w:lineRule="auto"/>
        <w:rPr>
          <w:color w:val="2E74B5"/>
        </w:rPr>
      </w:pPr>
      <w:r>
        <w:rPr>
          <w:color w:val="2E74B5"/>
        </w:rPr>
        <w:t>Traitement radical de la lésion responsable de l’hémoptysie, arrête le saignement et prévient la récidive. Ne peut s’envisager que :</w:t>
      </w:r>
    </w:p>
    <w:p w14:paraId="5E9FB480" w14:textId="77777777" w:rsidR="00896114" w:rsidRDefault="00896114" w:rsidP="00896114">
      <w:pPr>
        <w:spacing w:line="276" w:lineRule="auto"/>
        <w:rPr>
          <w:color w:val="2E74B5"/>
        </w:rPr>
      </w:pPr>
      <w:r>
        <w:rPr>
          <w:color w:val="2E74B5"/>
        </w:rPr>
        <w:lastRenderedPageBreak/>
        <w:t>- Si la zone pathologique est limitée et en tout cas unilatérale, autorisant une lobectomie ou plus rarement pneumonectomie d’hémostase.</w:t>
      </w:r>
    </w:p>
    <w:p w14:paraId="2FDC71E3" w14:textId="77777777" w:rsidR="00896114" w:rsidRDefault="00896114" w:rsidP="00896114">
      <w:pPr>
        <w:spacing w:line="276" w:lineRule="auto"/>
        <w:rPr>
          <w:color w:val="2E74B5"/>
        </w:rPr>
      </w:pPr>
      <w:r>
        <w:rPr>
          <w:color w:val="2E74B5"/>
        </w:rPr>
        <w:t>- Si la fonction respiratoire le permet.</w:t>
      </w:r>
    </w:p>
    <w:p w14:paraId="3709CDB5" w14:textId="77777777" w:rsidR="00896114" w:rsidRDefault="00896114" w:rsidP="00896114">
      <w:pPr>
        <w:spacing w:line="276" w:lineRule="auto"/>
        <w:rPr>
          <w:color w:val="2E74B5"/>
        </w:rPr>
      </w:pPr>
    </w:p>
    <w:p w14:paraId="0E257418" w14:textId="77777777" w:rsidR="00896114" w:rsidRDefault="00896114" w:rsidP="00896114">
      <w:pPr>
        <w:spacing w:line="276" w:lineRule="auto"/>
        <w:rPr>
          <w:color w:val="2E74B5"/>
        </w:rPr>
      </w:pPr>
      <w:r>
        <w:rPr>
          <w:color w:val="2E74B5"/>
        </w:rPr>
        <w:t>Elle est associée à une mortalité importante si elle est réalisée en période hémorragique. On peut l’envisager :</w:t>
      </w:r>
    </w:p>
    <w:p w14:paraId="4DE3804E" w14:textId="77777777" w:rsidR="00896114" w:rsidRDefault="00896114" w:rsidP="00896114">
      <w:pPr>
        <w:spacing w:line="276" w:lineRule="auto"/>
        <w:rPr>
          <w:color w:val="2E74B5"/>
        </w:rPr>
      </w:pPr>
      <w:r>
        <w:rPr>
          <w:color w:val="2E74B5"/>
        </w:rPr>
        <w:t>- À froid, à distance de l’hémoptysie.</w:t>
      </w:r>
    </w:p>
    <w:p w14:paraId="2BBE0408" w14:textId="77777777" w:rsidR="00896114" w:rsidRDefault="00896114" w:rsidP="00896114">
      <w:pPr>
        <w:spacing w:line="276" w:lineRule="auto"/>
        <w:rPr>
          <w:color w:val="2E74B5"/>
        </w:rPr>
      </w:pPr>
      <w:r>
        <w:rPr>
          <w:color w:val="2E74B5"/>
        </w:rPr>
        <w:t>- Ou à chaud en cas d’échec de l’embolisation avec hémoptysie grave.</w:t>
      </w:r>
    </w:p>
    <w:p w14:paraId="33AD7CA0" w14:textId="77777777" w:rsidR="00896114" w:rsidRDefault="00896114" w:rsidP="00896114">
      <w:pPr>
        <w:spacing w:line="276" w:lineRule="auto"/>
        <w:jc w:val="left"/>
      </w:pPr>
      <w:r>
        <w:br w:type="page"/>
      </w:r>
    </w:p>
    <w:p w14:paraId="2192D82C" w14:textId="77777777" w:rsidR="00896114" w:rsidRDefault="00896114" w:rsidP="00896114">
      <w:pPr>
        <w:pBdr>
          <w:top w:val="nil"/>
          <w:left w:val="nil"/>
          <w:bottom w:val="nil"/>
          <w:right w:val="nil"/>
          <w:between w:val="nil"/>
        </w:pBdr>
        <w:spacing w:line="240" w:lineRule="auto"/>
        <w:rPr>
          <w:b/>
          <w:bCs/>
          <w:smallCaps/>
          <w:color w:val="2E74B5"/>
          <w:sz w:val="24"/>
          <w:szCs w:val="24"/>
        </w:rPr>
      </w:pPr>
      <w:r>
        <w:rPr>
          <w:b/>
          <w:bCs/>
          <w:smallCaps/>
          <w:color w:val="2E74B5"/>
          <w:sz w:val="24"/>
          <w:szCs w:val="24"/>
        </w:rPr>
        <w:lastRenderedPageBreak/>
        <w:t>QUESTIONS TOMBABLES</w:t>
      </w:r>
    </w:p>
    <w:p w14:paraId="197BE5DB" w14:textId="77777777" w:rsidR="00896114" w:rsidRDefault="00896114" w:rsidP="00896114">
      <w:pPr>
        <w:pBdr>
          <w:top w:val="nil"/>
          <w:left w:val="nil"/>
          <w:bottom w:val="nil"/>
          <w:right w:val="nil"/>
          <w:between w:val="nil"/>
        </w:pBdr>
        <w:spacing w:line="240" w:lineRule="auto"/>
        <w:rPr>
          <w:b/>
          <w:bCs/>
          <w:smallCaps/>
          <w:color w:val="2E74B5"/>
          <w:sz w:val="24"/>
          <w:szCs w:val="24"/>
        </w:rPr>
      </w:pPr>
    </w:p>
    <w:p w14:paraId="412DBC2E" w14:textId="77777777" w:rsidR="00896114" w:rsidRDefault="00896114">
      <w:pPr>
        <w:numPr>
          <w:ilvl w:val="0"/>
          <w:numId w:val="10"/>
        </w:numPr>
        <w:pBdr>
          <w:top w:val="nil"/>
          <w:left w:val="nil"/>
          <w:bottom w:val="nil"/>
          <w:right w:val="nil"/>
          <w:between w:val="nil"/>
        </w:pBdr>
        <w:spacing w:before="80" w:line="240" w:lineRule="auto"/>
        <w:jc w:val="left"/>
      </w:pPr>
      <w:r>
        <w:rPr>
          <w:b/>
          <w:bCs/>
        </w:rPr>
        <w:t>QRU</w:t>
      </w:r>
    </w:p>
    <w:p w14:paraId="1298FE57" w14:textId="77777777" w:rsidR="00896114" w:rsidRDefault="00896114" w:rsidP="00896114">
      <w:r>
        <w:t>Une patiente de 55 ans consulte pour dyspnée. Elle revient récemment d’un voyage aux Antilles. Elle vous rapporte l’émission de quelques crachats de sang noir trois jours plus tôt. A l’examen clinique vous avez noté quelques crépitants en base droite et une saturation à 89 % en air ambiant, elle présente des crachats hémoptoïques. Il n’y a pas de signe clinique de thrombose veineuse profonde. Elle vous fournit le scanner réalisé en ville dont sont extraites les coupes les plus représentatives.</w:t>
      </w:r>
      <w:r>
        <w:rPr>
          <w:noProof/>
        </w:rPr>
        <w:drawing>
          <wp:anchor distT="0" distB="0" distL="114300" distR="114300" simplePos="0" relativeHeight="251830272" behindDoc="0" locked="0" layoutInCell="1" hidden="0" allowOverlap="1" wp14:anchorId="02D46F05" wp14:editId="2AB3CDA3">
            <wp:simplePos x="0" y="0"/>
            <wp:positionH relativeFrom="column">
              <wp:posOffset>139064</wp:posOffset>
            </wp:positionH>
            <wp:positionV relativeFrom="paragraph">
              <wp:posOffset>844550</wp:posOffset>
            </wp:positionV>
            <wp:extent cx="5328000" cy="3062313"/>
            <wp:effectExtent l="0" t="0" r="0" b="0"/>
            <wp:wrapTopAndBottom distT="0" distB="0"/>
            <wp:docPr id="16" name="image8.jpg" descr="Une image contenant texte, intérieur, ensembl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8.jpg" descr="Une image contenant texte, intérieur, ensemble&#10;&#10;Description générée automatiquement"/>
                    <pic:cNvPicPr preferRelativeResize="0"/>
                  </pic:nvPicPr>
                  <pic:blipFill>
                    <a:blip r:embed="rId21"/>
                    <a:srcRect/>
                    <a:stretch>
                      <a:fillRect/>
                    </a:stretch>
                  </pic:blipFill>
                  <pic:spPr>
                    <a:xfrm>
                      <a:off x="0" y="0"/>
                      <a:ext cx="5328000" cy="3062313"/>
                    </a:xfrm>
                    <a:prstGeom prst="rect">
                      <a:avLst/>
                    </a:prstGeom>
                    <a:ln/>
                  </pic:spPr>
                </pic:pic>
              </a:graphicData>
            </a:graphic>
          </wp:anchor>
        </w:drawing>
      </w:r>
    </w:p>
    <w:p w14:paraId="126209FA" w14:textId="77777777" w:rsidR="00896114" w:rsidRDefault="00896114" w:rsidP="00896114"/>
    <w:p w14:paraId="56258267" w14:textId="77777777" w:rsidR="00896114" w:rsidRDefault="00896114" w:rsidP="00896114">
      <w:r>
        <w:t>Quelle est votre diagnostic ?</w:t>
      </w:r>
    </w:p>
    <w:p w14:paraId="7808874D" w14:textId="77777777" w:rsidR="00896114" w:rsidRDefault="00896114">
      <w:pPr>
        <w:numPr>
          <w:ilvl w:val="0"/>
          <w:numId w:val="5"/>
        </w:numPr>
        <w:pBdr>
          <w:top w:val="nil"/>
          <w:left w:val="nil"/>
          <w:bottom w:val="nil"/>
          <w:right w:val="nil"/>
          <w:between w:val="nil"/>
        </w:pBdr>
        <w:spacing w:line="240" w:lineRule="auto"/>
        <w:jc w:val="left"/>
      </w:pPr>
      <w:r>
        <w:t xml:space="preserve">Pneumonie aiguë communautaire </w:t>
      </w:r>
    </w:p>
    <w:p w14:paraId="7A3B85A9" w14:textId="77777777" w:rsidR="00896114" w:rsidRDefault="00896114">
      <w:pPr>
        <w:numPr>
          <w:ilvl w:val="0"/>
          <w:numId w:val="5"/>
        </w:numPr>
        <w:pBdr>
          <w:top w:val="nil"/>
          <w:left w:val="nil"/>
          <w:bottom w:val="nil"/>
          <w:right w:val="nil"/>
          <w:between w:val="nil"/>
        </w:pBdr>
        <w:spacing w:line="240" w:lineRule="auto"/>
        <w:jc w:val="left"/>
      </w:pPr>
      <w:r>
        <w:t>Tuberculose</w:t>
      </w:r>
    </w:p>
    <w:p w14:paraId="5883ABCA" w14:textId="77777777" w:rsidR="00896114" w:rsidRDefault="00896114">
      <w:pPr>
        <w:numPr>
          <w:ilvl w:val="0"/>
          <w:numId w:val="5"/>
        </w:numPr>
        <w:pBdr>
          <w:top w:val="nil"/>
          <w:left w:val="nil"/>
          <w:bottom w:val="nil"/>
          <w:right w:val="nil"/>
          <w:between w:val="nil"/>
        </w:pBdr>
        <w:spacing w:line="240" w:lineRule="auto"/>
        <w:jc w:val="left"/>
      </w:pPr>
      <w:r>
        <w:t>Dilatations de bronches</w:t>
      </w:r>
    </w:p>
    <w:p w14:paraId="4E6246EA" w14:textId="77777777" w:rsidR="00896114" w:rsidRDefault="00896114">
      <w:pPr>
        <w:numPr>
          <w:ilvl w:val="0"/>
          <w:numId w:val="5"/>
        </w:numPr>
        <w:pBdr>
          <w:top w:val="nil"/>
          <w:left w:val="nil"/>
          <w:bottom w:val="nil"/>
          <w:right w:val="nil"/>
          <w:between w:val="nil"/>
        </w:pBdr>
        <w:spacing w:line="240" w:lineRule="auto"/>
        <w:jc w:val="left"/>
      </w:pPr>
      <w:r>
        <w:t xml:space="preserve">Embolie pulmonaire </w:t>
      </w:r>
    </w:p>
    <w:p w14:paraId="2B475361" w14:textId="77777777" w:rsidR="00896114" w:rsidRDefault="00896114">
      <w:pPr>
        <w:numPr>
          <w:ilvl w:val="0"/>
          <w:numId w:val="5"/>
        </w:numPr>
        <w:pBdr>
          <w:top w:val="nil"/>
          <w:left w:val="nil"/>
          <w:bottom w:val="nil"/>
          <w:right w:val="nil"/>
          <w:between w:val="nil"/>
        </w:pBdr>
        <w:spacing w:line="240" w:lineRule="auto"/>
        <w:jc w:val="left"/>
      </w:pPr>
      <w:r>
        <w:t>Cancer bronchique</w:t>
      </w:r>
    </w:p>
    <w:p w14:paraId="7479610D" w14:textId="6F8D3804" w:rsidR="00896114" w:rsidRDefault="004B3B0C" w:rsidP="004B3B0C">
      <w:pPr>
        <w:spacing w:after="160"/>
        <w:jc w:val="left"/>
      </w:pPr>
      <w:r>
        <w:br w:type="page"/>
      </w:r>
    </w:p>
    <w:p w14:paraId="1244523D" w14:textId="77777777" w:rsidR="00896114" w:rsidRDefault="00896114">
      <w:pPr>
        <w:numPr>
          <w:ilvl w:val="0"/>
          <w:numId w:val="10"/>
        </w:numPr>
        <w:pBdr>
          <w:top w:val="nil"/>
          <w:left w:val="nil"/>
          <w:bottom w:val="nil"/>
          <w:right w:val="nil"/>
          <w:between w:val="nil"/>
        </w:pBdr>
        <w:spacing w:before="80" w:line="240" w:lineRule="auto"/>
        <w:jc w:val="left"/>
      </w:pPr>
      <w:r>
        <w:rPr>
          <w:b/>
          <w:bCs/>
        </w:rPr>
        <w:lastRenderedPageBreak/>
        <w:t>QRU</w:t>
      </w:r>
    </w:p>
    <w:p w14:paraId="6213A109" w14:textId="1D555D2A" w:rsidR="00896114" w:rsidRDefault="004B3B0C" w:rsidP="00896114">
      <w:r>
        <w:rPr>
          <w:noProof/>
        </w:rPr>
        <w:drawing>
          <wp:anchor distT="0" distB="0" distL="114300" distR="114300" simplePos="0" relativeHeight="251831296" behindDoc="0" locked="0" layoutInCell="1" hidden="0" allowOverlap="1" wp14:anchorId="4EE4B03F" wp14:editId="6EE3CBC7">
            <wp:simplePos x="0" y="0"/>
            <wp:positionH relativeFrom="margin">
              <wp:align>right</wp:align>
            </wp:positionH>
            <wp:positionV relativeFrom="paragraph">
              <wp:posOffset>6495</wp:posOffset>
            </wp:positionV>
            <wp:extent cx="2964180" cy="2513965"/>
            <wp:effectExtent l="0" t="0" r="7620" b="635"/>
            <wp:wrapSquare wrapText="bothSides" distT="0" distB="0" distL="114300" distR="114300"/>
            <wp:docPr id="20" name="image4.jpg" descr="Une image contenant texte, ferme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jpg" descr="Une image contenant texte, fermer&#10;&#10;Description générée automatiquement"/>
                    <pic:cNvPicPr preferRelativeResize="0"/>
                  </pic:nvPicPr>
                  <pic:blipFill>
                    <a:blip r:embed="rId22"/>
                    <a:srcRect/>
                    <a:stretch>
                      <a:fillRect/>
                    </a:stretch>
                  </pic:blipFill>
                  <pic:spPr>
                    <a:xfrm>
                      <a:off x="0" y="0"/>
                      <a:ext cx="2964180" cy="2513965"/>
                    </a:xfrm>
                    <a:prstGeom prst="rect">
                      <a:avLst/>
                    </a:prstGeom>
                    <a:ln/>
                  </pic:spPr>
                </pic:pic>
              </a:graphicData>
            </a:graphic>
          </wp:anchor>
        </w:drawing>
      </w:r>
      <w:r w:rsidR="00896114">
        <w:t>Médecin urgentiste d’une équipe de SMUR vous êtes appelé(e) au domicile d’une femme âgée de 62 ans, qui crache du sang rouge vif. Elle vous montre le bilan radiologique réalisé la veille.</w:t>
      </w:r>
    </w:p>
    <w:p w14:paraId="2615BCEC" w14:textId="77777777" w:rsidR="00896114" w:rsidRDefault="00896114" w:rsidP="00896114">
      <w:r>
        <w:t>Quelle est la cause la plus probable de cette hémoptysie ?</w:t>
      </w:r>
    </w:p>
    <w:p w14:paraId="2AFD7DBB" w14:textId="77777777" w:rsidR="00896114" w:rsidRDefault="00896114">
      <w:pPr>
        <w:numPr>
          <w:ilvl w:val="0"/>
          <w:numId w:val="6"/>
        </w:numPr>
        <w:pBdr>
          <w:top w:val="nil"/>
          <w:left w:val="nil"/>
          <w:bottom w:val="nil"/>
          <w:right w:val="nil"/>
          <w:between w:val="nil"/>
        </w:pBdr>
        <w:spacing w:line="240" w:lineRule="auto"/>
      </w:pPr>
      <w:r>
        <w:t>Bronchectasies</w:t>
      </w:r>
    </w:p>
    <w:p w14:paraId="59CD3A29" w14:textId="77777777" w:rsidR="00896114" w:rsidRDefault="00896114">
      <w:pPr>
        <w:numPr>
          <w:ilvl w:val="0"/>
          <w:numId w:val="6"/>
        </w:numPr>
        <w:pBdr>
          <w:top w:val="nil"/>
          <w:left w:val="nil"/>
          <w:bottom w:val="nil"/>
          <w:right w:val="nil"/>
          <w:between w:val="nil"/>
        </w:pBdr>
        <w:spacing w:line="240" w:lineRule="auto"/>
      </w:pPr>
      <w:r>
        <w:t xml:space="preserve">Cancer </w:t>
      </w:r>
    </w:p>
    <w:p w14:paraId="313D1ED2" w14:textId="77777777" w:rsidR="00896114" w:rsidRDefault="00896114">
      <w:pPr>
        <w:numPr>
          <w:ilvl w:val="0"/>
          <w:numId w:val="6"/>
        </w:numPr>
        <w:pBdr>
          <w:top w:val="nil"/>
          <w:left w:val="nil"/>
          <w:bottom w:val="nil"/>
          <w:right w:val="nil"/>
          <w:between w:val="nil"/>
        </w:pBdr>
        <w:spacing w:line="240" w:lineRule="auto"/>
      </w:pPr>
      <w:r>
        <w:t>Embolie pulmonaire</w:t>
      </w:r>
    </w:p>
    <w:p w14:paraId="10D435A9" w14:textId="77777777" w:rsidR="00896114" w:rsidRDefault="00896114">
      <w:pPr>
        <w:numPr>
          <w:ilvl w:val="0"/>
          <w:numId w:val="6"/>
        </w:numPr>
        <w:pBdr>
          <w:top w:val="nil"/>
          <w:left w:val="nil"/>
          <w:bottom w:val="nil"/>
          <w:right w:val="nil"/>
          <w:between w:val="nil"/>
        </w:pBdr>
        <w:spacing w:line="240" w:lineRule="auto"/>
      </w:pPr>
      <w:r>
        <w:t>Pneumopathie d’hypersensibilité</w:t>
      </w:r>
    </w:p>
    <w:p w14:paraId="381B3FEE" w14:textId="77777777" w:rsidR="00896114" w:rsidRDefault="00896114">
      <w:pPr>
        <w:numPr>
          <w:ilvl w:val="0"/>
          <w:numId w:val="6"/>
        </w:numPr>
        <w:pBdr>
          <w:top w:val="nil"/>
          <w:left w:val="nil"/>
          <w:bottom w:val="nil"/>
          <w:right w:val="nil"/>
          <w:between w:val="nil"/>
        </w:pBdr>
        <w:spacing w:line="240" w:lineRule="auto"/>
      </w:pPr>
      <w:r>
        <w:t>Tuberculose</w:t>
      </w:r>
    </w:p>
    <w:p w14:paraId="08705565" w14:textId="3B5C8D70" w:rsidR="00896114" w:rsidRDefault="00896114" w:rsidP="00896114">
      <w:pPr>
        <w:jc w:val="left"/>
        <w:rPr>
          <w:b/>
          <w:bCs/>
        </w:rPr>
      </w:pPr>
    </w:p>
    <w:p w14:paraId="7D755E8E" w14:textId="77777777" w:rsidR="004B3B0C" w:rsidRDefault="004B3B0C" w:rsidP="00896114">
      <w:pPr>
        <w:jc w:val="left"/>
        <w:rPr>
          <w:b/>
          <w:bCs/>
        </w:rPr>
      </w:pPr>
    </w:p>
    <w:p w14:paraId="58BB18DA" w14:textId="77777777" w:rsidR="004B3B0C" w:rsidRDefault="004B3B0C" w:rsidP="00896114">
      <w:pPr>
        <w:jc w:val="left"/>
        <w:rPr>
          <w:b/>
          <w:bCs/>
        </w:rPr>
      </w:pPr>
    </w:p>
    <w:p w14:paraId="6EFEFEEE" w14:textId="77777777" w:rsidR="004B3B0C" w:rsidRDefault="004B3B0C" w:rsidP="00896114">
      <w:pPr>
        <w:jc w:val="left"/>
        <w:rPr>
          <w:b/>
          <w:bCs/>
        </w:rPr>
      </w:pPr>
    </w:p>
    <w:p w14:paraId="1F7AD38B" w14:textId="77777777" w:rsidR="004B3B0C" w:rsidRDefault="004B3B0C" w:rsidP="00896114">
      <w:pPr>
        <w:jc w:val="left"/>
        <w:rPr>
          <w:b/>
          <w:bCs/>
        </w:rPr>
      </w:pPr>
    </w:p>
    <w:p w14:paraId="5888C58D" w14:textId="77777777" w:rsidR="00896114" w:rsidRDefault="00896114">
      <w:pPr>
        <w:numPr>
          <w:ilvl w:val="0"/>
          <w:numId w:val="10"/>
        </w:numPr>
        <w:pBdr>
          <w:top w:val="nil"/>
          <w:left w:val="nil"/>
          <w:bottom w:val="nil"/>
          <w:right w:val="nil"/>
          <w:between w:val="nil"/>
        </w:pBdr>
        <w:spacing w:before="80" w:line="240" w:lineRule="auto"/>
        <w:jc w:val="left"/>
      </w:pPr>
      <w:r>
        <w:rPr>
          <w:b/>
          <w:bCs/>
        </w:rPr>
        <w:t>ZAP</w:t>
      </w:r>
    </w:p>
    <w:p w14:paraId="120FA577" w14:textId="77777777" w:rsidR="00896114" w:rsidRDefault="00896114" w:rsidP="00896114">
      <w:r>
        <w:t xml:space="preserve">Une femme de 68 ans aux ATCDts d’infections respiratoires à répétition émet du sang rouge vif (1 cuillère à café à une cuillère à soupe), lors d’efforts de toux toutes les 3 à 6 heures depuis 3 jours. Voici son scanner thoracique </w:t>
      </w:r>
    </w:p>
    <w:p w14:paraId="7D4B87A4" w14:textId="77777777" w:rsidR="00896114" w:rsidRDefault="00896114" w:rsidP="00896114">
      <w:pPr>
        <w:jc w:val="center"/>
      </w:pPr>
      <w:r>
        <w:rPr>
          <w:noProof/>
        </w:rPr>
        <w:drawing>
          <wp:inline distT="0" distB="0" distL="0" distR="0" wp14:anchorId="5914DF3B" wp14:editId="10C4CD87">
            <wp:extent cx="3336995" cy="2368486"/>
            <wp:effectExtent l="0" t="0" r="0" b="0"/>
            <wp:docPr id="30" name="image16.png" descr="Une image contenant croquis, crâne, noir et blanc, art&#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6.png" descr="Une image contenant croquis, crâne, noir et blanc, art&#10;&#10;Description générée automatiquement"/>
                    <pic:cNvPicPr preferRelativeResize="0"/>
                  </pic:nvPicPr>
                  <pic:blipFill>
                    <a:blip r:embed="rId23"/>
                    <a:srcRect/>
                    <a:stretch>
                      <a:fillRect/>
                    </a:stretch>
                  </pic:blipFill>
                  <pic:spPr>
                    <a:xfrm>
                      <a:off x="0" y="0"/>
                      <a:ext cx="3336995" cy="2368486"/>
                    </a:xfrm>
                    <a:prstGeom prst="rect">
                      <a:avLst/>
                    </a:prstGeom>
                    <a:ln/>
                  </pic:spPr>
                </pic:pic>
              </a:graphicData>
            </a:graphic>
          </wp:inline>
        </w:drawing>
      </w:r>
    </w:p>
    <w:p w14:paraId="559F8E5F" w14:textId="77777777" w:rsidR="00896114" w:rsidRDefault="00896114" w:rsidP="00896114">
      <w:bookmarkStart w:id="3" w:name="_heading=h.ajrlfkj1mpok" w:colFirst="0" w:colLast="0"/>
      <w:bookmarkEnd w:id="3"/>
      <w:r>
        <w:t>Placez la flèche au centre de la principale anomalie expliquant le tableau clinique.</w:t>
      </w:r>
    </w:p>
    <w:p w14:paraId="05408195" w14:textId="5B4AD708" w:rsidR="00896114" w:rsidRDefault="004B3B0C" w:rsidP="004B3B0C">
      <w:pPr>
        <w:spacing w:after="160"/>
        <w:jc w:val="left"/>
      </w:pPr>
      <w:r>
        <w:br w:type="page"/>
      </w:r>
    </w:p>
    <w:p w14:paraId="715D49D9" w14:textId="77777777" w:rsidR="00896114" w:rsidRDefault="00896114">
      <w:pPr>
        <w:numPr>
          <w:ilvl w:val="0"/>
          <w:numId w:val="10"/>
        </w:numPr>
        <w:pBdr>
          <w:top w:val="nil"/>
          <w:left w:val="nil"/>
          <w:bottom w:val="nil"/>
          <w:right w:val="nil"/>
          <w:between w:val="nil"/>
        </w:pBdr>
        <w:spacing w:before="80" w:line="240" w:lineRule="auto"/>
        <w:jc w:val="left"/>
      </w:pPr>
      <w:r>
        <w:rPr>
          <w:b/>
          <w:bCs/>
        </w:rPr>
        <w:lastRenderedPageBreak/>
        <w:t>QRM</w:t>
      </w:r>
    </w:p>
    <w:p w14:paraId="22E6F91A" w14:textId="77777777" w:rsidR="00896114" w:rsidRDefault="00896114" w:rsidP="00896114">
      <w:r>
        <w:t>Vous prenez en charge un homme de 55 ans pour une hémoptysie spontanée de 200 ml de sang rouge. L’examen clinique met en évidence des lésions des mains présentées sur la photographie ci-dessous qui s’atténuent à la pression. Ces lésions sont présentes depuis de nombreuses années. Parmi les propositions suivantes, laquelle(lesquelles) est(sont) juste(s) ?</w:t>
      </w:r>
    </w:p>
    <w:p w14:paraId="11EF2A3F" w14:textId="77777777" w:rsidR="00896114" w:rsidRDefault="00896114" w:rsidP="00896114">
      <w:pPr>
        <w:jc w:val="center"/>
        <w:rPr>
          <w:b/>
          <w:bCs/>
        </w:rPr>
      </w:pPr>
      <w:r>
        <w:rPr>
          <w:noProof/>
        </w:rPr>
        <w:drawing>
          <wp:inline distT="0" distB="0" distL="0" distR="0" wp14:anchorId="690D6784" wp14:editId="42492AFD">
            <wp:extent cx="4807752" cy="2646071"/>
            <wp:effectExtent l="0" t="0" r="0" b="0"/>
            <wp:docPr id="1020436850" name="image19.jpg" descr="Une image contenant gants&#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9.jpg" descr="Une image contenant gants&#10;&#10;Description générée automatiquement"/>
                    <pic:cNvPicPr preferRelativeResize="0"/>
                  </pic:nvPicPr>
                  <pic:blipFill>
                    <a:blip r:embed="rId24"/>
                    <a:srcRect/>
                    <a:stretch>
                      <a:fillRect/>
                    </a:stretch>
                  </pic:blipFill>
                  <pic:spPr>
                    <a:xfrm>
                      <a:off x="0" y="0"/>
                      <a:ext cx="4807752" cy="2646071"/>
                    </a:xfrm>
                    <a:prstGeom prst="rect">
                      <a:avLst/>
                    </a:prstGeom>
                    <a:ln/>
                  </pic:spPr>
                </pic:pic>
              </a:graphicData>
            </a:graphic>
          </wp:inline>
        </w:drawing>
      </w:r>
    </w:p>
    <w:p w14:paraId="1F347786" w14:textId="77777777" w:rsidR="00896114" w:rsidRDefault="00896114">
      <w:pPr>
        <w:numPr>
          <w:ilvl w:val="0"/>
          <w:numId w:val="8"/>
        </w:numPr>
        <w:spacing w:line="240" w:lineRule="auto"/>
        <w:jc w:val="left"/>
      </w:pPr>
      <w:r>
        <w:t>L’hémoptysie est de grande abondance</w:t>
      </w:r>
    </w:p>
    <w:p w14:paraId="3ADA11D8" w14:textId="77777777" w:rsidR="00896114" w:rsidRDefault="00896114">
      <w:pPr>
        <w:numPr>
          <w:ilvl w:val="0"/>
          <w:numId w:val="8"/>
        </w:numPr>
        <w:spacing w:line="240" w:lineRule="auto"/>
        <w:jc w:val="left"/>
      </w:pPr>
      <w:r>
        <w:t>Les lésions des doigts sont des télangiectasies</w:t>
      </w:r>
    </w:p>
    <w:p w14:paraId="5AEB4DDB" w14:textId="77777777" w:rsidR="00896114" w:rsidRDefault="00896114">
      <w:pPr>
        <w:numPr>
          <w:ilvl w:val="0"/>
          <w:numId w:val="8"/>
        </w:numPr>
        <w:spacing w:line="240" w:lineRule="auto"/>
        <w:jc w:val="left"/>
      </w:pPr>
      <w:r>
        <w:t>Les caractéristiques sémiologiques des lésions des mains sont compatibles avec un purpura</w:t>
      </w:r>
    </w:p>
    <w:p w14:paraId="1016A1DA" w14:textId="77777777" w:rsidR="00896114" w:rsidRDefault="00896114">
      <w:pPr>
        <w:numPr>
          <w:ilvl w:val="0"/>
          <w:numId w:val="8"/>
        </w:numPr>
        <w:spacing w:line="240" w:lineRule="auto"/>
        <w:jc w:val="left"/>
      </w:pPr>
      <w:r>
        <w:t>Le scanner thoracique avec injection est indispensable à la prise en charge</w:t>
      </w:r>
    </w:p>
    <w:p w14:paraId="4F4BF31F" w14:textId="77777777" w:rsidR="00896114" w:rsidRDefault="00896114">
      <w:pPr>
        <w:numPr>
          <w:ilvl w:val="0"/>
          <w:numId w:val="8"/>
        </w:numPr>
        <w:spacing w:line="240" w:lineRule="auto"/>
        <w:jc w:val="left"/>
      </w:pPr>
      <w:r>
        <w:t>Vous débutez en urgence une anticoagulation efficace</w:t>
      </w:r>
    </w:p>
    <w:p w14:paraId="0771CCAF" w14:textId="64853105" w:rsidR="00896114" w:rsidRDefault="004B3B0C" w:rsidP="004B3B0C">
      <w:pPr>
        <w:spacing w:after="160"/>
        <w:jc w:val="left"/>
        <w:rPr>
          <w:b/>
          <w:bCs/>
        </w:rPr>
      </w:pPr>
      <w:r>
        <w:rPr>
          <w:b/>
          <w:bCs/>
        </w:rPr>
        <w:br w:type="page"/>
      </w:r>
    </w:p>
    <w:p w14:paraId="2EFD7AB3" w14:textId="77777777" w:rsidR="00896114" w:rsidRDefault="00896114">
      <w:pPr>
        <w:numPr>
          <w:ilvl w:val="0"/>
          <w:numId w:val="10"/>
        </w:numPr>
        <w:pBdr>
          <w:top w:val="nil"/>
          <w:left w:val="nil"/>
          <w:bottom w:val="nil"/>
          <w:right w:val="nil"/>
          <w:between w:val="nil"/>
        </w:pBdr>
        <w:spacing w:before="80" w:line="240" w:lineRule="auto"/>
        <w:jc w:val="left"/>
      </w:pPr>
      <w:r>
        <w:rPr>
          <w:b/>
          <w:bCs/>
        </w:rPr>
        <w:lastRenderedPageBreak/>
        <w:t>ZAP (une réponse)</w:t>
      </w:r>
    </w:p>
    <w:p w14:paraId="4D58F56D" w14:textId="661A9BCE" w:rsidR="00896114" w:rsidRDefault="00896114" w:rsidP="00896114">
      <w:r>
        <w:t xml:space="preserve"> Un patient âgé de 62 ans gros fumeur se plaint d’une toux sèche évoluant depuis 3 mois, d’un amaigrissement et de crachats hémoptoïques apparus il y a 6 semaines. A l’écouter vous notez une </w:t>
      </w:r>
      <w:r w:rsidR="004B3B0C">
        <w:rPr>
          <w:noProof/>
        </w:rPr>
        <w:drawing>
          <wp:anchor distT="0" distB="0" distL="114300" distR="114300" simplePos="0" relativeHeight="251832320" behindDoc="0" locked="0" layoutInCell="1" hidden="0" allowOverlap="1" wp14:anchorId="0C03054E" wp14:editId="493E96A5">
            <wp:simplePos x="0" y="0"/>
            <wp:positionH relativeFrom="margin">
              <wp:align>right</wp:align>
            </wp:positionH>
            <wp:positionV relativeFrom="paragraph">
              <wp:posOffset>453</wp:posOffset>
            </wp:positionV>
            <wp:extent cx="3395980" cy="3261360"/>
            <wp:effectExtent l="0" t="0" r="0" b="0"/>
            <wp:wrapSquare wrapText="bothSides"/>
            <wp:docPr id="29" name="image17.jpg" descr="Une image contenant film radiographique, Imagerie médicale, radiologie, radiographi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7.jpg" descr="Une image contenant film radiographique, Imagerie médicale, radiologie, radiographie&#10;&#10;Description générée automatiquement"/>
                    <pic:cNvPicPr preferRelativeResize="0"/>
                  </pic:nvPicPr>
                  <pic:blipFill>
                    <a:blip r:embed="rId25"/>
                    <a:srcRect/>
                    <a:stretch>
                      <a:fillRect/>
                    </a:stretch>
                  </pic:blipFill>
                  <pic:spPr>
                    <a:xfrm>
                      <a:off x="0" y="0"/>
                      <a:ext cx="3395980" cy="3261360"/>
                    </a:xfrm>
                    <a:prstGeom prst="rect">
                      <a:avLst/>
                    </a:prstGeom>
                    <a:ln/>
                  </pic:spPr>
                </pic:pic>
              </a:graphicData>
            </a:graphic>
          </wp:anchor>
        </w:drawing>
      </w:r>
      <w:r>
        <w:t>voix bitonale. L’ensemble de cette symptomatologie vous fait évoquer un cancer du poumon. Il vous montre un cliché de thorax qu’un de vos confrères avait prescrit.</w:t>
      </w:r>
    </w:p>
    <w:p w14:paraId="68CC2C9D" w14:textId="67D4700F" w:rsidR="00896114" w:rsidRDefault="00896114" w:rsidP="00896114"/>
    <w:p w14:paraId="7BD870F4" w14:textId="3AD8390E" w:rsidR="00896114" w:rsidRDefault="00896114" w:rsidP="00896114">
      <w:r>
        <w:t>Placez la flèche au centre de la zone où votre regard se portera en priorité ou à défaut, identifiez cette zone par sa lettre.</w:t>
      </w:r>
    </w:p>
    <w:p w14:paraId="39722C63" w14:textId="77777777" w:rsidR="00896114" w:rsidRDefault="00896114">
      <w:pPr>
        <w:widowControl w:val="0"/>
        <w:numPr>
          <w:ilvl w:val="0"/>
          <w:numId w:val="7"/>
        </w:numPr>
        <w:pBdr>
          <w:top w:val="nil"/>
          <w:left w:val="nil"/>
          <w:bottom w:val="nil"/>
          <w:right w:val="nil"/>
          <w:between w:val="nil"/>
        </w:pBdr>
        <w:tabs>
          <w:tab w:val="left" w:pos="825"/>
        </w:tabs>
        <w:spacing w:line="240" w:lineRule="auto"/>
        <w:ind w:hanging="349"/>
        <w:jc w:val="left"/>
      </w:pPr>
      <w:r>
        <w:t>Zone 1</w:t>
      </w:r>
    </w:p>
    <w:p w14:paraId="6C1DB398" w14:textId="77777777" w:rsidR="00896114" w:rsidRDefault="00896114">
      <w:pPr>
        <w:widowControl w:val="0"/>
        <w:numPr>
          <w:ilvl w:val="0"/>
          <w:numId w:val="7"/>
        </w:numPr>
        <w:pBdr>
          <w:top w:val="nil"/>
          <w:left w:val="nil"/>
          <w:bottom w:val="nil"/>
          <w:right w:val="nil"/>
          <w:between w:val="nil"/>
        </w:pBdr>
        <w:tabs>
          <w:tab w:val="left" w:pos="825"/>
        </w:tabs>
        <w:spacing w:line="240" w:lineRule="auto"/>
        <w:ind w:hanging="349"/>
        <w:jc w:val="left"/>
      </w:pPr>
      <w:r>
        <w:t>Zone 2</w:t>
      </w:r>
    </w:p>
    <w:p w14:paraId="4A7FC20F" w14:textId="77777777" w:rsidR="00896114" w:rsidRDefault="00896114">
      <w:pPr>
        <w:widowControl w:val="0"/>
        <w:numPr>
          <w:ilvl w:val="0"/>
          <w:numId w:val="7"/>
        </w:numPr>
        <w:pBdr>
          <w:top w:val="nil"/>
          <w:left w:val="nil"/>
          <w:bottom w:val="nil"/>
          <w:right w:val="nil"/>
          <w:between w:val="nil"/>
        </w:pBdr>
        <w:tabs>
          <w:tab w:val="left" w:pos="825"/>
        </w:tabs>
        <w:spacing w:line="240" w:lineRule="auto"/>
        <w:ind w:hanging="349"/>
        <w:jc w:val="left"/>
      </w:pPr>
      <w:r>
        <w:t>Zone 3</w:t>
      </w:r>
    </w:p>
    <w:p w14:paraId="22448C66" w14:textId="77777777" w:rsidR="00896114" w:rsidRDefault="00896114">
      <w:pPr>
        <w:widowControl w:val="0"/>
        <w:numPr>
          <w:ilvl w:val="0"/>
          <w:numId w:val="7"/>
        </w:numPr>
        <w:pBdr>
          <w:top w:val="nil"/>
          <w:left w:val="nil"/>
          <w:bottom w:val="nil"/>
          <w:right w:val="nil"/>
          <w:between w:val="nil"/>
        </w:pBdr>
        <w:tabs>
          <w:tab w:val="left" w:pos="825"/>
        </w:tabs>
        <w:spacing w:line="240" w:lineRule="auto"/>
        <w:ind w:hanging="349"/>
        <w:jc w:val="left"/>
      </w:pPr>
      <w:r>
        <w:t>Zone 4</w:t>
      </w:r>
    </w:p>
    <w:p w14:paraId="3ACADB74" w14:textId="77777777" w:rsidR="00896114" w:rsidRDefault="00896114">
      <w:pPr>
        <w:widowControl w:val="0"/>
        <w:numPr>
          <w:ilvl w:val="0"/>
          <w:numId w:val="7"/>
        </w:numPr>
        <w:pBdr>
          <w:top w:val="nil"/>
          <w:left w:val="nil"/>
          <w:bottom w:val="nil"/>
          <w:right w:val="nil"/>
          <w:between w:val="nil"/>
        </w:pBdr>
        <w:tabs>
          <w:tab w:val="left" w:pos="825"/>
        </w:tabs>
        <w:spacing w:line="240" w:lineRule="auto"/>
        <w:ind w:hanging="349"/>
        <w:jc w:val="left"/>
      </w:pPr>
      <w:r>
        <w:t>Zone 5</w:t>
      </w:r>
    </w:p>
    <w:p w14:paraId="1351C60A" w14:textId="77777777" w:rsidR="00896114" w:rsidRDefault="00896114">
      <w:pPr>
        <w:widowControl w:val="0"/>
        <w:numPr>
          <w:ilvl w:val="0"/>
          <w:numId w:val="7"/>
        </w:numPr>
        <w:pBdr>
          <w:top w:val="nil"/>
          <w:left w:val="nil"/>
          <w:bottom w:val="nil"/>
          <w:right w:val="nil"/>
          <w:between w:val="nil"/>
        </w:pBdr>
        <w:tabs>
          <w:tab w:val="left" w:pos="825"/>
        </w:tabs>
        <w:spacing w:line="240" w:lineRule="auto"/>
        <w:ind w:hanging="349"/>
        <w:jc w:val="left"/>
      </w:pPr>
      <w:r>
        <w:t>Zone 6</w:t>
      </w:r>
    </w:p>
    <w:p w14:paraId="43271964" w14:textId="77777777" w:rsidR="00896114" w:rsidRDefault="00896114" w:rsidP="00896114">
      <w:pPr>
        <w:widowControl w:val="0"/>
        <w:pBdr>
          <w:top w:val="nil"/>
          <w:left w:val="nil"/>
          <w:bottom w:val="nil"/>
          <w:right w:val="nil"/>
          <w:between w:val="nil"/>
        </w:pBdr>
        <w:tabs>
          <w:tab w:val="left" w:pos="825"/>
        </w:tabs>
        <w:spacing w:line="240" w:lineRule="auto"/>
        <w:ind w:left="824"/>
        <w:jc w:val="left"/>
      </w:pPr>
    </w:p>
    <w:p w14:paraId="4E05EE2A" w14:textId="77777777" w:rsidR="00896114" w:rsidRDefault="00896114">
      <w:pPr>
        <w:numPr>
          <w:ilvl w:val="0"/>
          <w:numId w:val="10"/>
        </w:numPr>
        <w:pBdr>
          <w:top w:val="nil"/>
          <w:left w:val="nil"/>
          <w:bottom w:val="nil"/>
          <w:right w:val="nil"/>
          <w:between w:val="nil"/>
        </w:pBdr>
        <w:spacing w:before="80" w:line="240" w:lineRule="auto"/>
        <w:jc w:val="left"/>
      </w:pPr>
      <w:r>
        <w:rPr>
          <w:b/>
          <w:bCs/>
        </w:rPr>
        <w:t>QROC</w:t>
      </w:r>
    </w:p>
    <w:p w14:paraId="548E9D1E" w14:textId="28FA4694" w:rsidR="00896114" w:rsidRDefault="004B3B0C" w:rsidP="00896114">
      <w:r>
        <w:rPr>
          <w:noProof/>
        </w:rPr>
        <w:drawing>
          <wp:anchor distT="0" distB="0" distL="114300" distR="114300" simplePos="0" relativeHeight="251836416" behindDoc="0" locked="0" layoutInCell="1" allowOverlap="1" wp14:anchorId="740C5547" wp14:editId="2472638D">
            <wp:simplePos x="0" y="0"/>
            <wp:positionH relativeFrom="margin">
              <wp:align>right</wp:align>
            </wp:positionH>
            <wp:positionV relativeFrom="paragraph">
              <wp:posOffset>13254</wp:posOffset>
            </wp:positionV>
            <wp:extent cx="2826205" cy="1972916"/>
            <wp:effectExtent l="0" t="0" r="0" b="8890"/>
            <wp:wrapSquare wrapText="bothSides"/>
            <wp:docPr id="17" name="image1.jpg" descr="G:\NICE PATIENTS jan 2023\DDB - MOTAIS\TDM THORAX -_434482\motais  2.jpg"/>
            <wp:cNvGraphicFramePr/>
            <a:graphic xmlns:a="http://schemas.openxmlformats.org/drawingml/2006/main">
              <a:graphicData uri="http://schemas.openxmlformats.org/drawingml/2006/picture">
                <pic:pic xmlns:pic="http://schemas.openxmlformats.org/drawingml/2006/picture">
                  <pic:nvPicPr>
                    <pic:cNvPr id="0" name="image1.jpg" descr="G:\NICE PATIENTS jan 2023\DDB - MOTAIS\TDM THORAX -_434482\motais  2.jpg"/>
                    <pic:cNvPicPr preferRelativeResize="0"/>
                  </pic:nvPicPr>
                  <pic:blipFill>
                    <a:blip r:embed="rId26">
                      <a:extLst>
                        <a:ext uri="{28A0092B-C50C-407E-A947-70E740481C1C}">
                          <a14:useLocalDpi xmlns:a14="http://schemas.microsoft.com/office/drawing/2010/main" val="0"/>
                        </a:ext>
                      </a:extLst>
                    </a:blip>
                    <a:srcRect/>
                    <a:stretch>
                      <a:fillRect/>
                    </a:stretch>
                  </pic:blipFill>
                  <pic:spPr>
                    <a:xfrm>
                      <a:off x="0" y="0"/>
                      <a:ext cx="2826205" cy="1972916"/>
                    </a:xfrm>
                    <a:prstGeom prst="rect">
                      <a:avLst/>
                    </a:prstGeom>
                    <a:ln/>
                  </pic:spPr>
                </pic:pic>
              </a:graphicData>
            </a:graphic>
          </wp:anchor>
        </w:drawing>
      </w:r>
      <w:r w:rsidR="00896114">
        <w:t>Un homme de 32 ans, consulte pour hémoptysies de sang rouge vif. Il est non-fumeur, mais vous dit être traité pour une mucoviscidose depuis l’adolescence. Voici une coupe représentative de son scanner.</w:t>
      </w:r>
    </w:p>
    <w:p w14:paraId="7E2E7C42" w14:textId="0294FEA9" w:rsidR="00896114" w:rsidRDefault="00896114" w:rsidP="00896114">
      <w:pPr>
        <w:jc w:val="center"/>
      </w:pPr>
    </w:p>
    <w:p w14:paraId="5861F38D" w14:textId="77777777" w:rsidR="00896114" w:rsidRDefault="00896114" w:rsidP="00896114">
      <w:r>
        <w:t>Quelle est la cause de ses hémoptysies ?</w:t>
      </w:r>
    </w:p>
    <w:p w14:paraId="40C94090" w14:textId="77777777" w:rsidR="00896114" w:rsidRDefault="00896114" w:rsidP="00896114"/>
    <w:p w14:paraId="6D541B38" w14:textId="77777777" w:rsidR="004B3B0C" w:rsidRDefault="004B3B0C" w:rsidP="00896114"/>
    <w:p w14:paraId="20FAED37" w14:textId="77777777" w:rsidR="004B3B0C" w:rsidRDefault="004B3B0C" w:rsidP="00896114"/>
    <w:p w14:paraId="09CA1628" w14:textId="77777777" w:rsidR="004B3B0C" w:rsidRDefault="004B3B0C" w:rsidP="00896114"/>
    <w:p w14:paraId="0582F381" w14:textId="77777777" w:rsidR="004B3B0C" w:rsidRDefault="004B3B0C" w:rsidP="00896114"/>
    <w:p w14:paraId="081EA5CD" w14:textId="1ACB5562" w:rsidR="004B3B0C" w:rsidRDefault="00776EA2" w:rsidP="00776EA2">
      <w:pPr>
        <w:spacing w:after="160"/>
        <w:jc w:val="left"/>
      </w:pPr>
      <w:r>
        <w:br w:type="page"/>
      </w:r>
    </w:p>
    <w:p w14:paraId="03BEB413" w14:textId="77777777" w:rsidR="00896114" w:rsidRDefault="00896114">
      <w:pPr>
        <w:numPr>
          <w:ilvl w:val="0"/>
          <w:numId w:val="10"/>
        </w:numPr>
        <w:pBdr>
          <w:top w:val="nil"/>
          <w:left w:val="nil"/>
          <w:bottom w:val="nil"/>
          <w:right w:val="nil"/>
          <w:between w:val="nil"/>
        </w:pBdr>
        <w:spacing w:before="80" w:line="240" w:lineRule="auto"/>
        <w:jc w:val="left"/>
      </w:pPr>
      <w:r>
        <w:rPr>
          <w:b/>
          <w:bCs/>
        </w:rPr>
        <w:lastRenderedPageBreak/>
        <w:t>QRU</w:t>
      </w:r>
    </w:p>
    <w:p w14:paraId="460EF59F" w14:textId="77777777" w:rsidR="00896114" w:rsidRDefault="00896114" w:rsidP="00896114">
      <w:r>
        <w:t>Une femme de 32 ans, non fumeuse, a fait l’objet d’un scanner thoracique pour hémoptysies de sang rouge vif. Quelle est la cause la plus probable de ces hémoptysies ?</w:t>
      </w:r>
    </w:p>
    <w:p w14:paraId="46F1C1DB" w14:textId="77777777" w:rsidR="00896114" w:rsidRDefault="00896114" w:rsidP="00896114"/>
    <w:p w14:paraId="43A6DA61" w14:textId="77777777" w:rsidR="00896114" w:rsidRDefault="00896114" w:rsidP="00896114">
      <w:pPr>
        <w:jc w:val="center"/>
        <w:rPr>
          <w:b/>
          <w:bCs/>
          <w:smallCaps/>
          <w:color w:val="FF0000"/>
        </w:rPr>
      </w:pPr>
      <w:r>
        <w:rPr>
          <w:b/>
          <w:bCs/>
          <w:smallCaps/>
          <w:noProof/>
          <w:color w:val="FF0000"/>
        </w:rPr>
        <w:drawing>
          <wp:inline distT="0" distB="0" distL="0" distR="0" wp14:anchorId="165A142F" wp14:editId="18C50014">
            <wp:extent cx="5760720" cy="2604995"/>
            <wp:effectExtent l="0" t="0" r="0" b="0"/>
            <wp:docPr id="18" name="image13.png" descr="G:\NICE ENSEIGNEMENT jan 2023\COLLEGE NATIONAL DES PU-PH\ECN - REFERENTIEL\EDITION 2030\S-EDITION\DOCIMOLOGIE ITEM PAR ITEM\bronchectasies.tif"/>
            <wp:cNvGraphicFramePr/>
            <a:graphic xmlns:a="http://schemas.openxmlformats.org/drawingml/2006/main">
              <a:graphicData uri="http://schemas.openxmlformats.org/drawingml/2006/picture">
                <pic:pic xmlns:pic="http://schemas.openxmlformats.org/drawingml/2006/picture">
                  <pic:nvPicPr>
                    <pic:cNvPr id="0" name="image13.png" descr="G:\NICE ENSEIGNEMENT jan 2023\COLLEGE NATIONAL DES PU-PH\ECN - REFERENTIEL\EDITION 2030\S-EDITION\DOCIMOLOGIE ITEM PAR ITEM\bronchectasies.tif"/>
                    <pic:cNvPicPr preferRelativeResize="0"/>
                  </pic:nvPicPr>
                  <pic:blipFill>
                    <a:blip r:embed="rId27"/>
                    <a:srcRect t="9794" b="9794"/>
                    <a:stretch>
                      <a:fillRect/>
                    </a:stretch>
                  </pic:blipFill>
                  <pic:spPr>
                    <a:xfrm>
                      <a:off x="0" y="0"/>
                      <a:ext cx="5760720" cy="2604995"/>
                    </a:xfrm>
                    <a:prstGeom prst="rect">
                      <a:avLst/>
                    </a:prstGeom>
                    <a:ln/>
                  </pic:spPr>
                </pic:pic>
              </a:graphicData>
            </a:graphic>
          </wp:inline>
        </w:drawing>
      </w:r>
    </w:p>
    <w:p w14:paraId="7314A3AF" w14:textId="77777777" w:rsidR="00896114" w:rsidRDefault="00896114">
      <w:pPr>
        <w:numPr>
          <w:ilvl w:val="0"/>
          <w:numId w:val="9"/>
        </w:numPr>
        <w:pBdr>
          <w:top w:val="nil"/>
          <w:left w:val="nil"/>
          <w:bottom w:val="nil"/>
          <w:right w:val="nil"/>
          <w:between w:val="nil"/>
        </w:pBdr>
        <w:spacing w:line="240" w:lineRule="auto"/>
        <w:jc w:val="left"/>
      </w:pPr>
      <w:r>
        <w:t>Embolie pulmonaire</w:t>
      </w:r>
    </w:p>
    <w:p w14:paraId="79D878B7" w14:textId="77777777" w:rsidR="00896114" w:rsidRDefault="00896114">
      <w:pPr>
        <w:numPr>
          <w:ilvl w:val="0"/>
          <w:numId w:val="9"/>
        </w:numPr>
        <w:pBdr>
          <w:top w:val="nil"/>
          <w:left w:val="nil"/>
          <w:bottom w:val="nil"/>
          <w:right w:val="nil"/>
          <w:between w:val="nil"/>
        </w:pBdr>
        <w:spacing w:line="240" w:lineRule="auto"/>
        <w:jc w:val="left"/>
      </w:pPr>
      <w:r>
        <w:t>Cancer pulmonaire</w:t>
      </w:r>
    </w:p>
    <w:p w14:paraId="009C0656" w14:textId="77777777" w:rsidR="00896114" w:rsidRDefault="00896114">
      <w:pPr>
        <w:numPr>
          <w:ilvl w:val="0"/>
          <w:numId w:val="9"/>
        </w:numPr>
        <w:pBdr>
          <w:top w:val="nil"/>
          <w:left w:val="nil"/>
          <w:bottom w:val="nil"/>
          <w:right w:val="nil"/>
          <w:between w:val="nil"/>
        </w:pBdr>
        <w:spacing w:line="240" w:lineRule="auto"/>
        <w:jc w:val="left"/>
      </w:pPr>
      <w:r>
        <w:t>Bronchectasies</w:t>
      </w:r>
    </w:p>
    <w:p w14:paraId="7CABBC79" w14:textId="77777777" w:rsidR="00896114" w:rsidRDefault="00896114">
      <w:pPr>
        <w:numPr>
          <w:ilvl w:val="0"/>
          <w:numId w:val="9"/>
        </w:numPr>
        <w:pBdr>
          <w:top w:val="nil"/>
          <w:left w:val="nil"/>
          <w:bottom w:val="nil"/>
          <w:right w:val="nil"/>
          <w:between w:val="nil"/>
        </w:pBdr>
        <w:spacing w:line="240" w:lineRule="auto"/>
        <w:jc w:val="left"/>
      </w:pPr>
      <w:r>
        <w:t>Tuberculose</w:t>
      </w:r>
    </w:p>
    <w:p w14:paraId="636A66BE" w14:textId="77777777" w:rsidR="00896114" w:rsidRDefault="00896114">
      <w:pPr>
        <w:numPr>
          <w:ilvl w:val="0"/>
          <w:numId w:val="9"/>
        </w:numPr>
        <w:pBdr>
          <w:top w:val="nil"/>
          <w:left w:val="nil"/>
          <w:bottom w:val="nil"/>
          <w:right w:val="nil"/>
          <w:between w:val="nil"/>
        </w:pBdr>
        <w:spacing w:line="240" w:lineRule="auto"/>
        <w:jc w:val="left"/>
        <w:rPr>
          <w:smallCaps/>
        </w:rPr>
      </w:pPr>
      <w:r>
        <w:t>Aspergillome</w:t>
      </w:r>
    </w:p>
    <w:p w14:paraId="03F464EA" w14:textId="77777777" w:rsidR="00896114" w:rsidRDefault="00896114" w:rsidP="00896114"/>
    <w:p w14:paraId="51D008F9" w14:textId="77777777" w:rsidR="00896114" w:rsidRDefault="00896114" w:rsidP="00896114">
      <w:pPr>
        <w:jc w:val="left"/>
      </w:pPr>
      <w:r>
        <w:br w:type="page"/>
      </w:r>
    </w:p>
    <w:p w14:paraId="34F5197D" w14:textId="77777777" w:rsidR="00896114" w:rsidRDefault="00896114" w:rsidP="00896114">
      <w:pPr>
        <w:pBdr>
          <w:top w:val="nil"/>
          <w:left w:val="nil"/>
          <w:bottom w:val="nil"/>
          <w:right w:val="nil"/>
          <w:between w:val="nil"/>
        </w:pBdr>
        <w:spacing w:line="240" w:lineRule="auto"/>
        <w:rPr>
          <w:b/>
          <w:bCs/>
          <w:smallCaps/>
          <w:color w:val="2E74B5"/>
          <w:sz w:val="24"/>
          <w:szCs w:val="24"/>
        </w:rPr>
      </w:pPr>
      <w:r>
        <w:rPr>
          <w:b/>
          <w:bCs/>
          <w:smallCaps/>
          <w:color w:val="2E74B5"/>
          <w:sz w:val="24"/>
          <w:szCs w:val="24"/>
        </w:rPr>
        <w:lastRenderedPageBreak/>
        <w:t>Réponses</w:t>
      </w:r>
    </w:p>
    <w:p w14:paraId="39DFB2DE" w14:textId="77777777" w:rsidR="00896114" w:rsidRDefault="00896114" w:rsidP="00896114">
      <w:pPr>
        <w:pBdr>
          <w:top w:val="nil"/>
          <w:left w:val="nil"/>
          <w:bottom w:val="nil"/>
          <w:right w:val="nil"/>
          <w:between w:val="nil"/>
        </w:pBdr>
        <w:spacing w:line="240" w:lineRule="auto"/>
        <w:rPr>
          <w:b/>
          <w:bCs/>
          <w:smallCaps/>
          <w:color w:val="2E74B5"/>
          <w:sz w:val="24"/>
          <w:szCs w:val="24"/>
        </w:rPr>
      </w:pPr>
    </w:p>
    <w:p w14:paraId="55DDBC0C" w14:textId="77777777" w:rsidR="00896114" w:rsidRDefault="00896114">
      <w:pPr>
        <w:numPr>
          <w:ilvl w:val="0"/>
          <w:numId w:val="11"/>
        </w:numPr>
        <w:pBdr>
          <w:top w:val="nil"/>
          <w:left w:val="nil"/>
          <w:bottom w:val="nil"/>
          <w:right w:val="nil"/>
          <w:between w:val="nil"/>
        </w:pBdr>
        <w:spacing w:before="80" w:line="240" w:lineRule="auto"/>
        <w:jc w:val="left"/>
      </w:pPr>
      <w:r>
        <w:rPr>
          <w:b/>
          <w:bCs/>
        </w:rPr>
        <w:t>QRU</w:t>
      </w:r>
    </w:p>
    <w:p w14:paraId="36840A8D" w14:textId="77777777" w:rsidR="00896114" w:rsidRDefault="00896114" w:rsidP="00896114">
      <w:r>
        <w:t xml:space="preserve">Réponse : D </w:t>
      </w:r>
    </w:p>
    <w:p w14:paraId="5936DF45" w14:textId="77777777" w:rsidR="0089667B" w:rsidRDefault="00896114" w:rsidP="00896114">
      <w:r>
        <w:t xml:space="preserve">Commentaire : </w:t>
      </w:r>
    </w:p>
    <w:p w14:paraId="0295962C" w14:textId="29202E5D" w:rsidR="00896114" w:rsidRDefault="0089667B" w:rsidP="00896114">
      <w:r>
        <w:t>L</w:t>
      </w:r>
      <w:r w:rsidR="00896114">
        <w:t>e scanner montre des lacunes endovasculaires (probables emboles vasculaires) et des images de condensation (probable infarctus pulmonaire). Dans le contexte d’un voyage en avion de longue durée, l’hypothèse d’une embolie pulmonaire est ici la plus probable.</w:t>
      </w:r>
    </w:p>
    <w:p w14:paraId="3FAECC62" w14:textId="77777777" w:rsidR="00896114" w:rsidRDefault="00896114" w:rsidP="00896114"/>
    <w:p w14:paraId="2FE3A080" w14:textId="77777777" w:rsidR="00896114" w:rsidRDefault="00896114">
      <w:pPr>
        <w:numPr>
          <w:ilvl w:val="0"/>
          <w:numId w:val="11"/>
        </w:numPr>
        <w:pBdr>
          <w:top w:val="nil"/>
          <w:left w:val="nil"/>
          <w:bottom w:val="nil"/>
          <w:right w:val="nil"/>
          <w:between w:val="nil"/>
        </w:pBdr>
        <w:spacing w:before="80" w:line="240" w:lineRule="auto"/>
        <w:jc w:val="left"/>
      </w:pPr>
      <w:r>
        <w:rPr>
          <w:b/>
          <w:bCs/>
        </w:rPr>
        <w:t>QRU</w:t>
      </w:r>
    </w:p>
    <w:p w14:paraId="4A911143" w14:textId="77777777" w:rsidR="00896114" w:rsidRDefault="00896114" w:rsidP="00896114">
      <w:r>
        <w:t>Réponse : E</w:t>
      </w:r>
    </w:p>
    <w:p w14:paraId="4B9F726B" w14:textId="77777777" w:rsidR="0089667B" w:rsidRDefault="00896114" w:rsidP="00896114">
      <w:r>
        <w:t xml:space="preserve">Commentaire : </w:t>
      </w:r>
    </w:p>
    <w:p w14:paraId="3A500B1C" w14:textId="529F7D86" w:rsidR="00896114" w:rsidRDefault="00896114" w:rsidP="00896114">
      <w:r>
        <w:t xml:space="preserve">Les 3 principales causes d’hémoptysie grave sont la tuberculose, le cancer et les bronchectasies (ou dilatations des bronches). Ici nous avons des lésions excavées avec des nodules pulmonaires en périphérie, ce qui oriente en première hypothèse vers une tuberculose. </w:t>
      </w:r>
    </w:p>
    <w:p w14:paraId="2BC70DDC" w14:textId="77777777" w:rsidR="00896114" w:rsidRDefault="00896114" w:rsidP="00896114"/>
    <w:p w14:paraId="0E6B7EDA" w14:textId="77777777" w:rsidR="00896114" w:rsidRDefault="00896114">
      <w:pPr>
        <w:numPr>
          <w:ilvl w:val="0"/>
          <w:numId w:val="11"/>
        </w:numPr>
        <w:pBdr>
          <w:top w:val="nil"/>
          <w:left w:val="nil"/>
          <w:bottom w:val="nil"/>
          <w:right w:val="nil"/>
          <w:between w:val="nil"/>
        </w:pBdr>
        <w:spacing w:before="80" w:line="240" w:lineRule="auto"/>
        <w:jc w:val="left"/>
      </w:pPr>
      <w:r>
        <w:rPr>
          <w:b/>
          <w:bCs/>
        </w:rPr>
        <w:t>ZAP</w:t>
      </w:r>
    </w:p>
    <w:p w14:paraId="4CEE2113" w14:textId="77777777" w:rsidR="00896114" w:rsidRDefault="00896114" w:rsidP="00896114">
      <w:r>
        <w:t xml:space="preserve">Réponse : </w:t>
      </w:r>
      <w:r>
        <w:rPr>
          <w:noProof/>
        </w:rPr>
        <w:drawing>
          <wp:anchor distT="0" distB="0" distL="114300" distR="114300" simplePos="0" relativeHeight="251833344" behindDoc="0" locked="0" layoutInCell="1" hidden="0" allowOverlap="1" wp14:anchorId="58A0D129" wp14:editId="2C850031">
            <wp:simplePos x="0" y="0"/>
            <wp:positionH relativeFrom="column">
              <wp:posOffset>1772284</wp:posOffset>
            </wp:positionH>
            <wp:positionV relativeFrom="paragraph">
              <wp:posOffset>153815</wp:posOffset>
            </wp:positionV>
            <wp:extent cx="2575560" cy="1798320"/>
            <wp:effectExtent l="0" t="0" r="0" b="0"/>
            <wp:wrapTopAndBottom distT="0" distB="0"/>
            <wp:docPr id="19" name="image15.jpg" descr="Une image contenant croquis, Dessin d’enfant, illustration, art&#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5.jpg" descr="Une image contenant croquis, Dessin d’enfant, illustration, art&#10;&#10;Description générée automatiquement"/>
                    <pic:cNvPicPr preferRelativeResize="0"/>
                  </pic:nvPicPr>
                  <pic:blipFill>
                    <a:blip r:embed="rId28"/>
                    <a:srcRect/>
                    <a:stretch>
                      <a:fillRect/>
                    </a:stretch>
                  </pic:blipFill>
                  <pic:spPr>
                    <a:xfrm>
                      <a:off x="0" y="0"/>
                      <a:ext cx="2575560" cy="1798320"/>
                    </a:xfrm>
                    <a:prstGeom prst="rect">
                      <a:avLst/>
                    </a:prstGeom>
                    <a:ln/>
                  </pic:spPr>
                </pic:pic>
              </a:graphicData>
            </a:graphic>
          </wp:anchor>
        </w:drawing>
      </w:r>
    </w:p>
    <w:p w14:paraId="6677B25D" w14:textId="77777777" w:rsidR="00896114" w:rsidRDefault="00896114" w:rsidP="00896114">
      <w:pPr>
        <w:jc w:val="left"/>
      </w:pPr>
    </w:p>
    <w:p w14:paraId="1902792C" w14:textId="77777777" w:rsidR="00896114" w:rsidRDefault="00896114">
      <w:pPr>
        <w:numPr>
          <w:ilvl w:val="0"/>
          <w:numId w:val="11"/>
        </w:numPr>
        <w:pBdr>
          <w:top w:val="nil"/>
          <w:left w:val="nil"/>
          <w:bottom w:val="nil"/>
          <w:right w:val="nil"/>
          <w:between w:val="nil"/>
        </w:pBdr>
        <w:spacing w:before="80" w:line="240" w:lineRule="auto"/>
        <w:jc w:val="left"/>
      </w:pPr>
      <w:r>
        <w:rPr>
          <w:b/>
          <w:bCs/>
        </w:rPr>
        <w:t>QRM</w:t>
      </w:r>
    </w:p>
    <w:p w14:paraId="0EEF493B" w14:textId="77777777" w:rsidR="00896114" w:rsidRDefault="00896114" w:rsidP="00896114">
      <w:r>
        <w:t>Réponse : ABD</w:t>
      </w:r>
    </w:p>
    <w:p w14:paraId="0CD91169" w14:textId="77777777" w:rsidR="00896114" w:rsidRDefault="00896114" w:rsidP="00896114"/>
    <w:p w14:paraId="7E7DACBA" w14:textId="77777777" w:rsidR="00896114" w:rsidRDefault="00896114">
      <w:pPr>
        <w:numPr>
          <w:ilvl w:val="0"/>
          <w:numId w:val="11"/>
        </w:numPr>
        <w:pBdr>
          <w:top w:val="nil"/>
          <w:left w:val="nil"/>
          <w:bottom w:val="nil"/>
          <w:right w:val="nil"/>
          <w:between w:val="nil"/>
        </w:pBdr>
        <w:spacing w:before="80" w:line="240" w:lineRule="auto"/>
        <w:jc w:val="left"/>
      </w:pPr>
      <w:r>
        <w:rPr>
          <w:b/>
          <w:bCs/>
        </w:rPr>
        <w:t>ZAP (une réponse)</w:t>
      </w:r>
    </w:p>
    <w:p w14:paraId="365855A1" w14:textId="77777777" w:rsidR="00896114" w:rsidRDefault="00896114" w:rsidP="00896114">
      <w:r>
        <w:t xml:space="preserve">Réponse : B </w:t>
      </w:r>
    </w:p>
    <w:p w14:paraId="6386F40C" w14:textId="77777777" w:rsidR="0089667B" w:rsidRDefault="00896114" w:rsidP="00896114">
      <w:r>
        <w:t xml:space="preserve">Commentaire : </w:t>
      </w:r>
    </w:p>
    <w:p w14:paraId="75D9D747" w14:textId="3EF54C90" w:rsidR="00896114" w:rsidRDefault="00896114" w:rsidP="00896114">
      <w:r>
        <w:t>La symptomatologie fait évoquer une tumeur proximale avec syndrome récurrentiel. On cherche dont une tumeur du hile gauche avec envahissement de la fenêtre aorto-pulmonaire.</w:t>
      </w:r>
    </w:p>
    <w:p w14:paraId="4124BE2C" w14:textId="77777777" w:rsidR="00896114" w:rsidRDefault="00896114" w:rsidP="00896114"/>
    <w:p w14:paraId="39A06FBB" w14:textId="77777777" w:rsidR="00896114" w:rsidRDefault="00896114">
      <w:pPr>
        <w:numPr>
          <w:ilvl w:val="0"/>
          <w:numId w:val="11"/>
        </w:numPr>
        <w:pBdr>
          <w:top w:val="nil"/>
          <w:left w:val="nil"/>
          <w:bottom w:val="nil"/>
          <w:right w:val="nil"/>
          <w:between w:val="nil"/>
        </w:pBdr>
        <w:spacing w:before="80" w:line="240" w:lineRule="auto"/>
        <w:jc w:val="left"/>
      </w:pPr>
      <w:r>
        <w:rPr>
          <w:b/>
          <w:bCs/>
        </w:rPr>
        <w:t>QROC</w:t>
      </w:r>
    </w:p>
    <w:p w14:paraId="5AEB394A" w14:textId="77777777" w:rsidR="00896114" w:rsidRDefault="00896114" w:rsidP="00896114">
      <w:r>
        <w:t>Réponse : dilatation de bronches/bronchectasies</w:t>
      </w:r>
    </w:p>
    <w:p w14:paraId="2CF37A8C" w14:textId="77777777" w:rsidR="0089667B" w:rsidRDefault="00896114" w:rsidP="00896114">
      <w:r>
        <w:t xml:space="preserve">Commentaires : </w:t>
      </w:r>
    </w:p>
    <w:p w14:paraId="0D01BC5B" w14:textId="13B11BC3" w:rsidR="00896114" w:rsidRDefault="0089667B" w:rsidP="00896114">
      <w:r>
        <w:t>L</w:t>
      </w:r>
      <w:r w:rsidR="00896114">
        <w:t>es bronchectasies, le cancer broncho-pulmonaire, la tuberculose, l’aspergillose pulmonaire chronique/aspergillome sont les principales causes d’hémoptysies. L’aspect est ici typique de bronchectasies kystiques prédominant dans le lobe inférieur droit.</w:t>
      </w:r>
    </w:p>
    <w:p w14:paraId="16A394D3" w14:textId="77777777" w:rsidR="00896114" w:rsidRDefault="00896114" w:rsidP="00896114"/>
    <w:p w14:paraId="1C912B1C" w14:textId="77777777" w:rsidR="00896114" w:rsidRDefault="00896114">
      <w:pPr>
        <w:numPr>
          <w:ilvl w:val="0"/>
          <w:numId w:val="11"/>
        </w:numPr>
        <w:pBdr>
          <w:top w:val="nil"/>
          <w:left w:val="nil"/>
          <w:bottom w:val="nil"/>
          <w:right w:val="nil"/>
          <w:between w:val="nil"/>
        </w:pBdr>
        <w:spacing w:before="80" w:line="240" w:lineRule="auto"/>
        <w:jc w:val="left"/>
      </w:pPr>
      <w:r>
        <w:rPr>
          <w:b/>
          <w:bCs/>
        </w:rPr>
        <w:lastRenderedPageBreak/>
        <w:t>QRU</w:t>
      </w:r>
    </w:p>
    <w:p w14:paraId="15B96620" w14:textId="23C7946F" w:rsidR="00F75368" w:rsidRDefault="00896114" w:rsidP="00896114">
      <w:r>
        <w:t>Réponse : C</w:t>
      </w:r>
    </w:p>
    <w:sectPr w:rsidR="00F75368" w:rsidSect="00876EF8">
      <w:headerReference w:type="even" r:id="rId29"/>
      <w:headerReference w:type="default" r:id="rId30"/>
      <w:footerReference w:type="even" r:id="rId31"/>
      <w:footerReference w:type="default" r:id="rId32"/>
      <w:headerReference w:type="first" r:id="rId33"/>
      <w:footerReference w:type="first" r:id="rId34"/>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5AE432" w14:textId="77777777" w:rsidR="008450EF" w:rsidRDefault="008450EF" w:rsidP="00EB5FF3">
      <w:pPr>
        <w:spacing w:line="240" w:lineRule="auto"/>
      </w:pPr>
      <w:r>
        <w:separator/>
      </w:r>
    </w:p>
  </w:endnote>
  <w:endnote w:type="continuationSeparator" w:id="0">
    <w:p w14:paraId="331CA472" w14:textId="77777777" w:rsidR="008450EF" w:rsidRDefault="008450EF" w:rsidP="00EB5F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C8420D" w14:textId="77777777" w:rsidR="00EB5FF3" w:rsidRDefault="00EB5FF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84A4BE" w14:textId="77777777" w:rsidR="00EB5FF3" w:rsidRDefault="00EB5FF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432ED6" w14:textId="77777777" w:rsidR="00EB5FF3" w:rsidRDefault="00EB5FF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7910D53" w14:textId="77777777" w:rsidR="008450EF" w:rsidRDefault="008450EF" w:rsidP="00EB5FF3">
      <w:pPr>
        <w:spacing w:line="240" w:lineRule="auto"/>
      </w:pPr>
      <w:r>
        <w:separator/>
      </w:r>
    </w:p>
  </w:footnote>
  <w:footnote w:type="continuationSeparator" w:id="0">
    <w:p w14:paraId="0ED9FA44" w14:textId="77777777" w:rsidR="008450EF" w:rsidRDefault="008450EF" w:rsidP="00EB5F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DDCFC7" w14:textId="77777777" w:rsidR="00EB5FF3" w:rsidRDefault="00EB5FF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2232A0" w14:textId="77777777" w:rsidR="00EB5FF3" w:rsidRPr="00F201C7" w:rsidRDefault="00EB5FF3" w:rsidP="00EB5FF3">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257371BD" w14:textId="77777777" w:rsidR="00EB5FF3" w:rsidRDefault="00EB5FF3">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13F845" w14:textId="77777777" w:rsidR="00EB5FF3" w:rsidRDefault="00EB5FF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9007F1"/>
    <w:multiLevelType w:val="multilevel"/>
    <w:tmpl w:val="CA4C66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C5034F"/>
    <w:multiLevelType w:val="multilevel"/>
    <w:tmpl w:val="195EB01C"/>
    <w:lvl w:ilvl="0">
      <w:start w:val="1"/>
      <w:numFmt w:val="decimal"/>
      <w:lvlText w:val="%1)"/>
      <w:lvlJc w:val="left"/>
      <w:pPr>
        <w:ind w:left="360" w:hanging="360"/>
      </w:pPr>
      <w:rPr>
        <w:rFonts w:ascii="Arial" w:eastAsia="Arial" w:hAnsi="Arial" w:cs="Arial"/>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5D30DEF"/>
    <w:multiLevelType w:val="multilevel"/>
    <w:tmpl w:val="58BA476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0F486E"/>
    <w:multiLevelType w:val="multilevel"/>
    <w:tmpl w:val="532045B4"/>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280EE0"/>
    <w:multiLevelType w:val="multilevel"/>
    <w:tmpl w:val="A2CCEF3E"/>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C8511D"/>
    <w:multiLevelType w:val="multilevel"/>
    <w:tmpl w:val="241EF5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320567B"/>
    <w:multiLevelType w:val="multilevel"/>
    <w:tmpl w:val="0690350A"/>
    <w:lvl w:ilvl="0">
      <w:start w:val="1"/>
      <w:numFmt w:val="decimal"/>
      <w:lvlText w:val="%1)"/>
      <w:lvlJc w:val="left"/>
      <w:pPr>
        <w:ind w:left="1440" w:hanging="360"/>
      </w:pPr>
      <w:rPr>
        <w:b w:val="0"/>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21060E91"/>
    <w:multiLevelType w:val="multilevel"/>
    <w:tmpl w:val="493E1F7E"/>
    <w:lvl w:ilvl="0">
      <w:start w:val="1"/>
      <w:numFmt w:val="bullet"/>
      <w:lvlText w:val=""/>
      <w:lvlJc w:val="left"/>
      <w:pPr>
        <w:ind w:left="1080" w:hanging="360"/>
      </w:pPr>
      <w:rPr>
        <w:rFonts w:ascii="Wingdings 2" w:hAnsi="Wingdings 2" w:hint="default"/>
        <w:color w:val="000000"/>
        <w:sz w:val="20"/>
        <w:szCs w:val="20"/>
      </w:rPr>
    </w:lvl>
    <w:lvl w:ilvl="1">
      <w:start w:val="1"/>
      <w:numFmt w:val="bullet"/>
      <w:lvlText w:val="■"/>
      <w:lvlJc w:val="left"/>
      <w:pPr>
        <w:ind w:left="1800" w:hanging="360"/>
      </w:pPr>
      <w:rPr>
        <w:rFonts w:ascii="Noto Sans Symbols" w:eastAsia="Noto Sans Symbols" w:hAnsi="Noto Sans Symbols" w:cs="Noto Sans Symbols"/>
        <w:color w:val="000000"/>
        <w:sz w:val="12"/>
        <w:szCs w:val="12"/>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242676CB"/>
    <w:multiLevelType w:val="multilevel"/>
    <w:tmpl w:val="24BE0614"/>
    <w:lvl w:ilvl="0">
      <w:start w:val="1"/>
      <w:numFmt w:val="upperLetter"/>
      <w:lvlText w:val="%1."/>
      <w:lvlJc w:val="left"/>
      <w:pPr>
        <w:ind w:left="824" w:hanging="347"/>
      </w:pPr>
      <w:rPr>
        <w:rFonts w:ascii="Trebuchet MS" w:eastAsia="Trebuchet MS" w:hAnsi="Trebuchet MS" w:cs="Trebuchet MS"/>
        <w:sz w:val="20"/>
        <w:szCs w:val="20"/>
      </w:rPr>
    </w:lvl>
    <w:lvl w:ilvl="1">
      <w:numFmt w:val="bullet"/>
      <w:lvlText w:val="•"/>
      <w:lvlJc w:val="left"/>
      <w:pPr>
        <w:ind w:left="1668" w:hanging="348"/>
      </w:pPr>
    </w:lvl>
    <w:lvl w:ilvl="2">
      <w:numFmt w:val="bullet"/>
      <w:lvlText w:val="•"/>
      <w:lvlJc w:val="left"/>
      <w:pPr>
        <w:ind w:left="2517" w:hanging="348"/>
      </w:pPr>
    </w:lvl>
    <w:lvl w:ilvl="3">
      <w:numFmt w:val="bullet"/>
      <w:lvlText w:val="•"/>
      <w:lvlJc w:val="left"/>
      <w:pPr>
        <w:ind w:left="3365" w:hanging="348"/>
      </w:pPr>
    </w:lvl>
    <w:lvl w:ilvl="4">
      <w:numFmt w:val="bullet"/>
      <w:lvlText w:val="•"/>
      <w:lvlJc w:val="left"/>
      <w:pPr>
        <w:ind w:left="4214" w:hanging="348"/>
      </w:pPr>
    </w:lvl>
    <w:lvl w:ilvl="5">
      <w:numFmt w:val="bullet"/>
      <w:lvlText w:val="•"/>
      <w:lvlJc w:val="left"/>
      <w:pPr>
        <w:ind w:left="5063" w:hanging="348"/>
      </w:pPr>
    </w:lvl>
    <w:lvl w:ilvl="6">
      <w:numFmt w:val="bullet"/>
      <w:lvlText w:val="•"/>
      <w:lvlJc w:val="left"/>
      <w:pPr>
        <w:ind w:left="5911" w:hanging="347"/>
      </w:pPr>
    </w:lvl>
    <w:lvl w:ilvl="7">
      <w:numFmt w:val="bullet"/>
      <w:lvlText w:val="•"/>
      <w:lvlJc w:val="left"/>
      <w:pPr>
        <w:ind w:left="6760" w:hanging="348"/>
      </w:pPr>
    </w:lvl>
    <w:lvl w:ilvl="8">
      <w:numFmt w:val="bullet"/>
      <w:lvlText w:val="•"/>
      <w:lvlJc w:val="left"/>
      <w:pPr>
        <w:ind w:left="7609" w:hanging="348"/>
      </w:pPr>
    </w:lvl>
  </w:abstractNum>
  <w:abstractNum w:abstractNumId="9" w15:restartNumberingAfterBreak="0">
    <w:nsid w:val="25416AEC"/>
    <w:multiLevelType w:val="multilevel"/>
    <w:tmpl w:val="E77C337A"/>
    <w:lvl w:ilvl="0">
      <w:start w:val="1"/>
      <w:numFmt w:val="bullet"/>
      <w:lvlText w:val=""/>
      <w:lvlJc w:val="left"/>
      <w:pPr>
        <w:ind w:left="1440" w:hanging="360"/>
      </w:pPr>
      <w:rPr>
        <w:rFonts w:ascii="Wingdings 2" w:hAnsi="Wingdings 2" w:hint="default"/>
        <w:color w:val="000000"/>
        <w:sz w:val="20"/>
        <w:szCs w:val="20"/>
      </w:rPr>
    </w:lvl>
    <w:lvl w:ilvl="1">
      <w:start w:val="1"/>
      <w:numFmt w:val="bullet"/>
      <w:lvlText w:val="■"/>
      <w:lvlJc w:val="left"/>
      <w:pPr>
        <w:ind w:left="2160" w:hanging="360"/>
      </w:pPr>
      <w:rPr>
        <w:rFonts w:ascii="Noto Sans Symbols" w:eastAsia="Noto Sans Symbols" w:hAnsi="Noto Sans Symbols" w:cs="Noto Sans Symbols"/>
        <w:color w:val="000000"/>
        <w:sz w:val="12"/>
        <w:szCs w:val="12"/>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BFE3D43"/>
    <w:multiLevelType w:val="multilevel"/>
    <w:tmpl w:val="89C6D2B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1F7BE5"/>
    <w:multiLevelType w:val="multilevel"/>
    <w:tmpl w:val="44B8DB5C"/>
    <w:lvl w:ilvl="0">
      <w:start w:val="1"/>
      <w:numFmt w:val="bullet"/>
      <w:lvlText w:val=""/>
      <w:lvlJc w:val="left"/>
      <w:pPr>
        <w:ind w:left="720" w:hanging="360"/>
      </w:pPr>
      <w:rPr>
        <w:rFonts w:ascii="Wingdings 2" w:hAnsi="Wingdings 2" w:hint="default"/>
        <w:color w:val="2E74B5"/>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1CB3E46"/>
    <w:multiLevelType w:val="multilevel"/>
    <w:tmpl w:val="741E35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697581"/>
    <w:multiLevelType w:val="multilevel"/>
    <w:tmpl w:val="3162E01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FBE5799"/>
    <w:multiLevelType w:val="multilevel"/>
    <w:tmpl w:val="8BA83AE4"/>
    <w:lvl w:ilvl="0">
      <w:start w:val="1"/>
      <w:numFmt w:val="bullet"/>
      <w:lvlText w:val=""/>
      <w:lvlJc w:val="left"/>
      <w:pPr>
        <w:ind w:left="720" w:hanging="360"/>
      </w:pPr>
      <w:rPr>
        <w:rFonts w:ascii="Wingdings 2" w:hAnsi="Wingdings 2" w:hint="default"/>
        <w:color w:val="2E74B5"/>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F0020B3"/>
    <w:multiLevelType w:val="multilevel"/>
    <w:tmpl w:val="394A41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F692767"/>
    <w:multiLevelType w:val="hybridMultilevel"/>
    <w:tmpl w:val="7714C0EC"/>
    <w:lvl w:ilvl="0" w:tplc="9524280C">
      <w:start w:val="1"/>
      <w:numFmt w:val="decimal"/>
      <w:pStyle w:val="pointscls1"/>
      <w:lvlText w:val="%1."/>
      <w:lvlJc w:val="left"/>
      <w:pPr>
        <w:ind w:left="502" w:hanging="360"/>
      </w:p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num w:numId="1" w16cid:durableId="1976450999">
    <w:abstractNumId w:val="4"/>
  </w:num>
  <w:num w:numId="2" w16cid:durableId="1579822130">
    <w:abstractNumId w:val="10"/>
  </w:num>
  <w:num w:numId="3" w16cid:durableId="2103211215">
    <w:abstractNumId w:val="17"/>
  </w:num>
  <w:num w:numId="4" w16cid:durableId="762844049">
    <w:abstractNumId w:val="11"/>
  </w:num>
  <w:num w:numId="5" w16cid:durableId="1217400965">
    <w:abstractNumId w:val="0"/>
  </w:num>
  <w:num w:numId="6" w16cid:durableId="1334068415">
    <w:abstractNumId w:val="14"/>
  </w:num>
  <w:num w:numId="7" w16cid:durableId="672954356">
    <w:abstractNumId w:val="8"/>
  </w:num>
  <w:num w:numId="8" w16cid:durableId="238751747">
    <w:abstractNumId w:val="13"/>
  </w:num>
  <w:num w:numId="9" w16cid:durableId="110827615">
    <w:abstractNumId w:val="2"/>
  </w:num>
  <w:num w:numId="10" w16cid:durableId="1354111158">
    <w:abstractNumId w:val="3"/>
  </w:num>
  <w:num w:numId="11" w16cid:durableId="224338547">
    <w:abstractNumId w:val="5"/>
  </w:num>
  <w:num w:numId="12" w16cid:durableId="1084305143">
    <w:abstractNumId w:val="1"/>
  </w:num>
  <w:num w:numId="13" w16cid:durableId="1584727181">
    <w:abstractNumId w:val="6"/>
  </w:num>
  <w:num w:numId="14" w16cid:durableId="1372681312">
    <w:abstractNumId w:val="16"/>
  </w:num>
  <w:num w:numId="15" w16cid:durableId="1995261570">
    <w:abstractNumId w:val="9"/>
  </w:num>
  <w:num w:numId="16" w16cid:durableId="769817960">
    <w:abstractNumId w:val="12"/>
  </w:num>
  <w:num w:numId="17" w16cid:durableId="876509196">
    <w:abstractNumId w:val="7"/>
  </w:num>
  <w:num w:numId="18" w16cid:durableId="662272799">
    <w:abstractNumId w:val="15"/>
  </w:num>
  <w:num w:numId="19" w16cid:durableId="7753594">
    <w:abstractNumId w:val="10"/>
    <w:lvlOverride w:ilvl="0">
      <w:startOverride w:val="1"/>
    </w:lvlOverride>
  </w:num>
  <w:numIdMacAtCleanup w:val="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E568F"/>
    <w:rsid w:val="0010541F"/>
    <w:rsid w:val="00114750"/>
    <w:rsid w:val="001C54DE"/>
    <w:rsid w:val="001D386C"/>
    <w:rsid w:val="00236555"/>
    <w:rsid w:val="002C5A5E"/>
    <w:rsid w:val="002C7C57"/>
    <w:rsid w:val="00306201"/>
    <w:rsid w:val="00362251"/>
    <w:rsid w:val="00375B9C"/>
    <w:rsid w:val="00394489"/>
    <w:rsid w:val="003C3137"/>
    <w:rsid w:val="003E5332"/>
    <w:rsid w:val="00447337"/>
    <w:rsid w:val="00454A58"/>
    <w:rsid w:val="00475741"/>
    <w:rsid w:val="004B3B0C"/>
    <w:rsid w:val="005645B3"/>
    <w:rsid w:val="005B6A3A"/>
    <w:rsid w:val="00614CBE"/>
    <w:rsid w:val="00665E5D"/>
    <w:rsid w:val="00696E6A"/>
    <w:rsid w:val="00711BBF"/>
    <w:rsid w:val="00717C5F"/>
    <w:rsid w:val="00776EA2"/>
    <w:rsid w:val="007F6BF8"/>
    <w:rsid w:val="00822CB5"/>
    <w:rsid w:val="0082796C"/>
    <w:rsid w:val="008450EF"/>
    <w:rsid w:val="0087650C"/>
    <w:rsid w:val="00876EF8"/>
    <w:rsid w:val="0088205E"/>
    <w:rsid w:val="0089411C"/>
    <w:rsid w:val="00895A52"/>
    <w:rsid w:val="00896114"/>
    <w:rsid w:val="0089667B"/>
    <w:rsid w:val="008B41F0"/>
    <w:rsid w:val="008D0B6D"/>
    <w:rsid w:val="008D7B43"/>
    <w:rsid w:val="00907A92"/>
    <w:rsid w:val="00930986"/>
    <w:rsid w:val="00995C77"/>
    <w:rsid w:val="009F5F53"/>
    <w:rsid w:val="00A65C23"/>
    <w:rsid w:val="00AC56AB"/>
    <w:rsid w:val="00AF2941"/>
    <w:rsid w:val="00B33C89"/>
    <w:rsid w:val="00B63810"/>
    <w:rsid w:val="00BC1F3F"/>
    <w:rsid w:val="00BC5580"/>
    <w:rsid w:val="00BE1ECC"/>
    <w:rsid w:val="00C2589B"/>
    <w:rsid w:val="00C65E3C"/>
    <w:rsid w:val="00CC4FD4"/>
    <w:rsid w:val="00D12181"/>
    <w:rsid w:val="00D4011F"/>
    <w:rsid w:val="00D55DF5"/>
    <w:rsid w:val="00E22E24"/>
    <w:rsid w:val="00E420F7"/>
    <w:rsid w:val="00E54D0A"/>
    <w:rsid w:val="00E84981"/>
    <w:rsid w:val="00EB5FF3"/>
    <w:rsid w:val="00EC1890"/>
    <w:rsid w:val="00ED0F5F"/>
    <w:rsid w:val="00EE0D03"/>
    <w:rsid w:val="00F03B9C"/>
    <w:rsid w:val="00F75368"/>
    <w:rsid w:val="00F90151"/>
    <w:rsid w:val="00FB180E"/>
    <w:rsid w:val="00FF1C1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FF1C12"/>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76" w:lineRule="auto"/>
      <w:ind w:left="426" w:right="141" w:hanging="284"/>
    </w:pPr>
    <w:rPr>
      <w:sz w:val="18"/>
      <w:szCs w:val="18"/>
    </w:rPr>
  </w:style>
  <w:style w:type="character" w:customStyle="1" w:styleId="pointscls1Car">
    <w:name w:val="points clés 1 Car"/>
    <w:basedOn w:val="Policepardfaut"/>
    <w:link w:val="pointscls1"/>
    <w:rsid w:val="00FF1C12"/>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paragraph" w:styleId="En-tte">
    <w:name w:val="header"/>
    <w:aliases w:val="Car"/>
    <w:basedOn w:val="Normal"/>
    <w:link w:val="En-tteCar"/>
    <w:unhideWhenUsed/>
    <w:rsid w:val="00EB5FF3"/>
    <w:pPr>
      <w:tabs>
        <w:tab w:val="center" w:pos="4536"/>
        <w:tab w:val="right" w:pos="9072"/>
      </w:tabs>
      <w:spacing w:line="240" w:lineRule="auto"/>
    </w:pPr>
  </w:style>
  <w:style w:type="character" w:customStyle="1" w:styleId="En-tteCar">
    <w:name w:val="En-tête Car"/>
    <w:aliases w:val="Car Car"/>
    <w:basedOn w:val="Policepardfaut"/>
    <w:link w:val="En-tte"/>
    <w:rsid w:val="00EB5FF3"/>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EB5FF3"/>
    <w:pPr>
      <w:tabs>
        <w:tab w:val="center" w:pos="4536"/>
        <w:tab w:val="right" w:pos="9072"/>
      </w:tabs>
      <w:spacing w:line="240" w:lineRule="auto"/>
    </w:pPr>
  </w:style>
  <w:style w:type="character" w:customStyle="1" w:styleId="PieddepageCar">
    <w:name w:val="Pied de page Car"/>
    <w:basedOn w:val="Policepardfaut"/>
    <w:link w:val="Pieddepage"/>
    <w:uiPriority w:val="99"/>
    <w:rsid w:val="00EB5FF3"/>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17</Pages>
  <Words>3672</Words>
  <Characters>19720</Characters>
  <Application>Microsoft Office Word</Application>
  <DocSecurity>0</DocSecurity>
  <Lines>580</Lines>
  <Paragraphs>359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47</cp:revision>
  <dcterms:created xsi:type="dcterms:W3CDTF">2026-06-02T14:47:00Z</dcterms:created>
  <dcterms:modified xsi:type="dcterms:W3CDTF">2026-09-10T15:21:00Z</dcterms:modified>
</cp:coreProperties>
</file>