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223C03C8" w:rsidR="00E84981" w:rsidRDefault="006E0985" w:rsidP="00362251">
      <w:pPr>
        <w:rPr>
          <w:color w:val="2E74B5"/>
          <w:sz w:val="44"/>
          <w:szCs w:val="44"/>
        </w:rPr>
      </w:pPr>
      <w:bookmarkStart w:id="0" w:name="_heading=h.9a790gvbks6k" w:colFirst="0" w:colLast="0"/>
      <w:bookmarkEnd w:id="0"/>
      <w:r w:rsidRPr="00357D58">
        <w:rPr>
          <w:noProof/>
        </w:rPr>
        <w:drawing>
          <wp:anchor distT="0" distB="0" distL="114300" distR="114300" simplePos="0" relativeHeight="251741184" behindDoc="0" locked="0" layoutInCell="1" allowOverlap="1" wp14:anchorId="7369DC74" wp14:editId="6D498CC0">
            <wp:simplePos x="0" y="0"/>
            <wp:positionH relativeFrom="column">
              <wp:posOffset>-704995</wp:posOffset>
            </wp:positionH>
            <wp:positionV relativeFrom="paragraph">
              <wp:posOffset>-844599</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41F0">
        <w:rPr>
          <w:noProof/>
        </w:rPr>
        <w:drawing>
          <wp:anchor distT="0" distB="0" distL="114300" distR="114300" simplePos="0" relativeHeight="251731968" behindDoc="0" locked="0" layoutInCell="1" hidden="0" allowOverlap="1" wp14:anchorId="0E2371EA" wp14:editId="3720819A">
            <wp:simplePos x="0" y="0"/>
            <wp:positionH relativeFrom="margin">
              <wp:align>right</wp:align>
            </wp:positionH>
            <wp:positionV relativeFrom="paragraph">
              <wp:posOffset>333</wp:posOffset>
            </wp:positionV>
            <wp:extent cx="1638300" cy="1440180"/>
            <wp:effectExtent l="0" t="0" r="0" b="7620"/>
            <wp:wrapSquare wrapText="bothSides" distT="0" distB="0" distL="114300" distR="114300"/>
            <wp:docPr id="62005531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1638300" cy="1440180"/>
                    </a:xfrm>
                    <a:prstGeom prst="rect">
                      <a:avLst/>
                    </a:prstGeom>
                    <a:ln/>
                  </pic:spPr>
                </pic:pic>
              </a:graphicData>
            </a:graphic>
          </wp:anchor>
        </w:drawing>
      </w:r>
    </w:p>
    <w:p w14:paraId="3B8B012C" w14:textId="7A819269" w:rsidR="00876EF8" w:rsidRPr="00E84981" w:rsidRDefault="00876EF8" w:rsidP="00362251">
      <w:pPr>
        <w:rPr>
          <w:color w:val="2E74B5"/>
          <w:sz w:val="28"/>
          <w:szCs w:val="28"/>
        </w:rPr>
      </w:pPr>
    </w:p>
    <w:p w14:paraId="30F39325" w14:textId="7CDB413E" w:rsidR="00876EF8" w:rsidRPr="00E84981" w:rsidRDefault="00E84981" w:rsidP="00E84981">
      <w:pPr>
        <w:pStyle w:val="Titre1"/>
      </w:pPr>
      <w:r w:rsidRPr="00E84981">
        <w:t>Item </w:t>
      </w:r>
      <w:bookmarkStart w:id="1" w:name="_heading=h.j7k05ddw17s6" w:colFirst="0" w:colLast="0"/>
      <w:bookmarkEnd w:id="1"/>
      <w:r w:rsidR="008B41F0">
        <w:t>204 – Toux chez l’adulte</w:t>
      </w:r>
    </w:p>
    <w:p w14:paraId="58CCE89C" w14:textId="77777777" w:rsidR="00876EF8" w:rsidRDefault="00876EF8" w:rsidP="00362251"/>
    <w:p w14:paraId="1D7886DB" w14:textId="77777777" w:rsidR="00E84981" w:rsidRDefault="00E84981" w:rsidP="00362251">
      <w:pPr>
        <w:rPr>
          <w:sz w:val="10"/>
          <w:szCs w:val="10"/>
        </w:rPr>
      </w:pPr>
    </w:p>
    <w:p w14:paraId="4F821CB9" w14:textId="77777777" w:rsidR="008B41F0" w:rsidRDefault="008B41F0" w:rsidP="00362251">
      <w:pPr>
        <w:rPr>
          <w:sz w:val="10"/>
          <w:szCs w:val="10"/>
        </w:rPr>
      </w:pPr>
    </w:p>
    <w:p w14:paraId="1165A523" w14:textId="77777777" w:rsidR="008B41F0" w:rsidRDefault="008B41F0" w:rsidP="00362251">
      <w:pPr>
        <w:rPr>
          <w:sz w:val="10"/>
          <w:szCs w:val="10"/>
        </w:rPr>
      </w:pPr>
    </w:p>
    <w:p w14:paraId="6A5DF260" w14:textId="77777777" w:rsidR="008B41F0" w:rsidRDefault="008B41F0" w:rsidP="00362251">
      <w:pPr>
        <w:rPr>
          <w:sz w:val="10"/>
          <w:szCs w:val="10"/>
        </w:rPr>
      </w:pPr>
    </w:p>
    <w:p w14:paraId="6DFD19A8" w14:textId="77777777" w:rsidR="008B41F0" w:rsidRPr="00E84981" w:rsidRDefault="008B41F0" w:rsidP="00362251">
      <w:pPr>
        <w:rPr>
          <w:sz w:val="10"/>
          <w:szCs w:val="10"/>
        </w:rPr>
      </w:pPr>
    </w:p>
    <w:tbl>
      <w:tblPr>
        <w:tblW w:w="9012" w:type="dxa"/>
        <w:tblInd w:w="55"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638"/>
        <w:gridCol w:w="1964"/>
        <w:gridCol w:w="3575"/>
        <w:gridCol w:w="2835"/>
      </w:tblGrid>
      <w:tr w:rsidR="008B41F0" w14:paraId="1502052F" w14:textId="77777777" w:rsidTr="008B41F0">
        <w:trPr>
          <w:trHeight w:val="201"/>
        </w:trPr>
        <w:tc>
          <w:tcPr>
            <w:tcW w:w="638" w:type="dxa"/>
            <w:shd w:val="clear" w:color="auto" w:fill="2E74B5"/>
            <w:vAlign w:val="center"/>
          </w:tcPr>
          <w:p w14:paraId="0F33A985" w14:textId="77777777" w:rsidR="008B41F0" w:rsidRDefault="008B41F0" w:rsidP="00F44AC4">
            <w:pPr>
              <w:spacing w:line="240" w:lineRule="auto"/>
              <w:jc w:val="center"/>
              <w:rPr>
                <w:rFonts w:ascii="Calibri" w:eastAsia="Calibri" w:hAnsi="Calibri" w:cs="Calibri"/>
                <w:b/>
                <w:bCs/>
                <w:color w:val="FFFFFF"/>
              </w:rPr>
            </w:pPr>
            <w:r>
              <w:rPr>
                <w:rFonts w:ascii="Calibri" w:eastAsia="Calibri" w:hAnsi="Calibri" w:cs="Calibri"/>
                <w:b/>
                <w:bCs/>
                <w:color w:val="FFFFFF"/>
              </w:rPr>
              <w:t>Rang</w:t>
            </w:r>
          </w:p>
        </w:tc>
        <w:tc>
          <w:tcPr>
            <w:tcW w:w="1964" w:type="dxa"/>
            <w:shd w:val="clear" w:color="auto" w:fill="2E74B5"/>
            <w:vAlign w:val="center"/>
          </w:tcPr>
          <w:p w14:paraId="4BFB1E3F" w14:textId="77777777" w:rsidR="008B41F0" w:rsidRDefault="008B41F0" w:rsidP="00F44AC4">
            <w:pPr>
              <w:spacing w:line="240" w:lineRule="auto"/>
              <w:jc w:val="center"/>
              <w:rPr>
                <w:rFonts w:ascii="Calibri" w:eastAsia="Calibri" w:hAnsi="Calibri" w:cs="Calibri"/>
                <w:b/>
                <w:bCs/>
                <w:color w:val="FFFFFF"/>
              </w:rPr>
            </w:pPr>
            <w:r>
              <w:rPr>
                <w:rFonts w:ascii="Calibri" w:eastAsia="Calibri" w:hAnsi="Calibri" w:cs="Calibri"/>
                <w:b/>
                <w:bCs/>
                <w:color w:val="FFFFFF"/>
              </w:rPr>
              <w:t>Rubrique</w:t>
            </w:r>
          </w:p>
        </w:tc>
        <w:tc>
          <w:tcPr>
            <w:tcW w:w="3575" w:type="dxa"/>
            <w:shd w:val="clear" w:color="auto" w:fill="2E74B5"/>
          </w:tcPr>
          <w:p w14:paraId="7BC422F0" w14:textId="77777777" w:rsidR="008B41F0" w:rsidRDefault="008B41F0" w:rsidP="00F44AC4">
            <w:pPr>
              <w:spacing w:line="240" w:lineRule="auto"/>
              <w:jc w:val="center"/>
              <w:rPr>
                <w:rFonts w:ascii="Calibri" w:eastAsia="Calibri" w:hAnsi="Calibri" w:cs="Calibri"/>
                <w:b/>
                <w:bCs/>
                <w:color w:val="FFFFFF"/>
              </w:rPr>
            </w:pPr>
            <w:r>
              <w:rPr>
                <w:rFonts w:ascii="Calibri" w:eastAsia="Calibri" w:hAnsi="Calibri" w:cs="Calibri"/>
                <w:b/>
                <w:bCs/>
                <w:color w:val="FFFFFF"/>
              </w:rPr>
              <w:t>Intitulé des connaissances</w:t>
            </w:r>
          </w:p>
        </w:tc>
        <w:tc>
          <w:tcPr>
            <w:tcW w:w="2835" w:type="dxa"/>
            <w:shd w:val="clear" w:color="auto" w:fill="2E74B5"/>
          </w:tcPr>
          <w:p w14:paraId="2E7D390A" w14:textId="77777777" w:rsidR="008B41F0" w:rsidRDefault="008B41F0" w:rsidP="00F44AC4">
            <w:pPr>
              <w:spacing w:line="240" w:lineRule="auto"/>
              <w:jc w:val="center"/>
              <w:rPr>
                <w:rFonts w:ascii="Calibri" w:eastAsia="Calibri" w:hAnsi="Calibri" w:cs="Calibri"/>
                <w:b/>
                <w:bCs/>
                <w:color w:val="FFFFFF"/>
              </w:rPr>
            </w:pPr>
            <w:r>
              <w:rPr>
                <w:rFonts w:ascii="Calibri" w:eastAsia="Calibri" w:hAnsi="Calibri" w:cs="Calibri"/>
                <w:b/>
                <w:bCs/>
                <w:color w:val="FFFFFF"/>
              </w:rPr>
              <w:t>Descriptif</w:t>
            </w:r>
          </w:p>
        </w:tc>
      </w:tr>
      <w:tr w:rsidR="008B41F0" w14:paraId="5099CEA0" w14:textId="77777777" w:rsidTr="008B41F0">
        <w:trPr>
          <w:trHeight w:val="32"/>
        </w:trPr>
        <w:tc>
          <w:tcPr>
            <w:tcW w:w="638" w:type="dxa"/>
            <w:vAlign w:val="center"/>
          </w:tcPr>
          <w:p w14:paraId="098D99AB" w14:textId="77777777" w:rsidR="008B41F0" w:rsidRDefault="008B41F0" w:rsidP="00F44AC4">
            <w:pPr>
              <w:spacing w:line="240" w:lineRule="auto"/>
              <w:jc w:val="center"/>
              <w:rPr>
                <w:rFonts w:ascii="Calibri" w:eastAsia="Calibri" w:hAnsi="Calibri" w:cs="Calibri"/>
              </w:rPr>
            </w:pPr>
            <w:r>
              <w:rPr>
                <w:rFonts w:ascii="Calibri" w:eastAsia="Calibri" w:hAnsi="Calibri" w:cs="Calibri"/>
              </w:rPr>
              <w:t>A</w:t>
            </w:r>
          </w:p>
        </w:tc>
        <w:tc>
          <w:tcPr>
            <w:tcW w:w="1964" w:type="dxa"/>
            <w:vAlign w:val="center"/>
          </w:tcPr>
          <w:p w14:paraId="184CF470" w14:textId="77777777" w:rsidR="008B41F0" w:rsidRDefault="008B41F0" w:rsidP="00F44AC4">
            <w:pPr>
              <w:spacing w:line="240" w:lineRule="auto"/>
              <w:jc w:val="left"/>
              <w:rPr>
                <w:rFonts w:ascii="Calibri" w:eastAsia="Calibri" w:hAnsi="Calibri" w:cs="Calibri"/>
              </w:rPr>
            </w:pPr>
            <w:r>
              <w:rPr>
                <w:rFonts w:ascii="Calibri" w:eastAsia="Calibri" w:hAnsi="Calibri" w:cs="Calibri"/>
              </w:rPr>
              <w:t>Contenu multimédia</w:t>
            </w:r>
          </w:p>
        </w:tc>
        <w:tc>
          <w:tcPr>
            <w:tcW w:w="3575" w:type="dxa"/>
            <w:vAlign w:val="center"/>
          </w:tcPr>
          <w:p w14:paraId="5B4A32D2" w14:textId="77777777" w:rsidR="008B41F0" w:rsidRDefault="008B41F0" w:rsidP="00F44AC4">
            <w:pPr>
              <w:spacing w:line="240" w:lineRule="auto"/>
              <w:jc w:val="left"/>
              <w:rPr>
                <w:rFonts w:ascii="Calibri" w:eastAsia="Calibri" w:hAnsi="Calibri" w:cs="Calibri"/>
              </w:rPr>
            </w:pPr>
            <w:r>
              <w:rPr>
                <w:rFonts w:ascii="Calibri" w:eastAsia="Calibri" w:hAnsi="Calibri" w:cs="Calibri"/>
              </w:rPr>
              <w:t>Exemples caractéristiques de radio thoracique</w:t>
            </w:r>
          </w:p>
        </w:tc>
        <w:tc>
          <w:tcPr>
            <w:tcW w:w="2835" w:type="dxa"/>
            <w:vAlign w:val="center"/>
          </w:tcPr>
          <w:p w14:paraId="488C7CBA" w14:textId="77777777" w:rsidR="008B41F0" w:rsidRDefault="008B41F0" w:rsidP="00F44AC4">
            <w:pPr>
              <w:spacing w:line="240" w:lineRule="auto"/>
              <w:jc w:val="left"/>
              <w:rPr>
                <w:rFonts w:ascii="Calibri" w:eastAsia="Calibri" w:hAnsi="Calibri" w:cs="Calibri"/>
              </w:rPr>
            </w:pPr>
            <w:r>
              <w:rPr>
                <w:rFonts w:ascii="Calibri" w:eastAsia="Calibri" w:hAnsi="Calibri" w:cs="Calibri"/>
              </w:rPr>
              <w:t>Dilatations des bronches, pneumopathie interstitielle, corps étranger</w:t>
            </w:r>
          </w:p>
        </w:tc>
      </w:tr>
      <w:tr w:rsidR="008B41F0" w14:paraId="0833D894" w14:textId="77777777" w:rsidTr="008B41F0">
        <w:trPr>
          <w:trHeight w:val="32"/>
        </w:trPr>
        <w:tc>
          <w:tcPr>
            <w:tcW w:w="638" w:type="dxa"/>
            <w:vAlign w:val="center"/>
          </w:tcPr>
          <w:p w14:paraId="3798AEE9" w14:textId="77777777" w:rsidR="008B41F0" w:rsidRDefault="008B41F0" w:rsidP="00F44AC4">
            <w:pPr>
              <w:spacing w:line="240" w:lineRule="auto"/>
              <w:jc w:val="center"/>
              <w:rPr>
                <w:rFonts w:ascii="Calibri" w:eastAsia="Calibri" w:hAnsi="Calibri" w:cs="Calibri"/>
              </w:rPr>
            </w:pPr>
            <w:r>
              <w:rPr>
                <w:rFonts w:ascii="Calibri" w:eastAsia="Calibri" w:hAnsi="Calibri" w:cs="Calibri"/>
              </w:rPr>
              <w:t>A</w:t>
            </w:r>
          </w:p>
        </w:tc>
        <w:tc>
          <w:tcPr>
            <w:tcW w:w="1964" w:type="dxa"/>
            <w:vAlign w:val="center"/>
          </w:tcPr>
          <w:p w14:paraId="777AF1DD" w14:textId="77777777" w:rsidR="008B41F0" w:rsidRDefault="008B41F0" w:rsidP="00F44AC4">
            <w:pPr>
              <w:spacing w:line="240" w:lineRule="auto"/>
              <w:jc w:val="left"/>
              <w:rPr>
                <w:rFonts w:ascii="Calibri" w:eastAsia="Calibri" w:hAnsi="Calibri" w:cs="Calibri"/>
              </w:rPr>
            </w:pPr>
            <w:r>
              <w:rPr>
                <w:rFonts w:ascii="Calibri" w:eastAsia="Calibri" w:hAnsi="Calibri" w:cs="Calibri"/>
              </w:rPr>
              <w:t>Définition</w:t>
            </w:r>
          </w:p>
        </w:tc>
        <w:tc>
          <w:tcPr>
            <w:tcW w:w="3575" w:type="dxa"/>
            <w:vAlign w:val="center"/>
          </w:tcPr>
          <w:p w14:paraId="429DA797" w14:textId="77777777" w:rsidR="008B41F0" w:rsidRDefault="008B41F0" w:rsidP="00F44AC4">
            <w:pPr>
              <w:spacing w:line="240" w:lineRule="auto"/>
              <w:jc w:val="left"/>
              <w:rPr>
                <w:rFonts w:ascii="Calibri" w:eastAsia="Calibri" w:hAnsi="Calibri" w:cs="Calibri"/>
              </w:rPr>
            </w:pPr>
            <w:r>
              <w:rPr>
                <w:rFonts w:ascii="Calibri" w:eastAsia="Calibri" w:hAnsi="Calibri" w:cs="Calibri"/>
              </w:rPr>
              <w:t>Définition de la toux aiguë et chronique chez l’adulte</w:t>
            </w:r>
          </w:p>
        </w:tc>
        <w:tc>
          <w:tcPr>
            <w:tcW w:w="2835" w:type="dxa"/>
            <w:vAlign w:val="center"/>
          </w:tcPr>
          <w:p w14:paraId="353332E2" w14:textId="77777777" w:rsidR="008B41F0" w:rsidRDefault="008B41F0" w:rsidP="00F44AC4">
            <w:pPr>
              <w:spacing w:line="240" w:lineRule="auto"/>
              <w:jc w:val="left"/>
              <w:rPr>
                <w:rFonts w:ascii="Calibri" w:eastAsia="Calibri" w:hAnsi="Calibri" w:cs="Calibri"/>
              </w:rPr>
            </w:pPr>
          </w:p>
        </w:tc>
      </w:tr>
      <w:tr w:rsidR="008B41F0" w14:paraId="783071F6" w14:textId="77777777" w:rsidTr="008B41F0">
        <w:trPr>
          <w:trHeight w:val="201"/>
        </w:trPr>
        <w:tc>
          <w:tcPr>
            <w:tcW w:w="638" w:type="dxa"/>
            <w:vAlign w:val="center"/>
          </w:tcPr>
          <w:p w14:paraId="48085C63" w14:textId="77777777" w:rsidR="008B41F0" w:rsidRDefault="008B41F0" w:rsidP="00F44AC4">
            <w:pPr>
              <w:spacing w:line="240" w:lineRule="auto"/>
              <w:jc w:val="center"/>
              <w:rPr>
                <w:rFonts w:ascii="Calibri" w:eastAsia="Calibri" w:hAnsi="Calibri" w:cs="Calibri"/>
                <w:i/>
                <w:iCs/>
                <w:color w:val="2E74B5"/>
              </w:rPr>
            </w:pPr>
            <w:r>
              <w:rPr>
                <w:rFonts w:ascii="Calibri" w:eastAsia="Calibri" w:hAnsi="Calibri" w:cs="Calibri"/>
              </w:rPr>
              <w:t>A</w:t>
            </w:r>
          </w:p>
        </w:tc>
        <w:tc>
          <w:tcPr>
            <w:tcW w:w="1964" w:type="dxa"/>
            <w:vAlign w:val="center"/>
          </w:tcPr>
          <w:p w14:paraId="03CD2BC5"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rPr>
              <w:t>Diagnostic positif</w:t>
            </w:r>
          </w:p>
        </w:tc>
        <w:tc>
          <w:tcPr>
            <w:tcW w:w="3575" w:type="dxa"/>
            <w:vAlign w:val="center"/>
          </w:tcPr>
          <w:p w14:paraId="7114C3F5"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rPr>
              <w:t>Toux aiguë de l’adulte : principales hypothèses diagnostiques</w:t>
            </w:r>
          </w:p>
        </w:tc>
        <w:tc>
          <w:tcPr>
            <w:tcW w:w="2835" w:type="dxa"/>
            <w:vAlign w:val="center"/>
          </w:tcPr>
          <w:p w14:paraId="44AE9254" w14:textId="77777777" w:rsidR="008B41F0" w:rsidRDefault="008B41F0" w:rsidP="00F44AC4">
            <w:pPr>
              <w:spacing w:line="240" w:lineRule="auto"/>
              <w:jc w:val="left"/>
              <w:rPr>
                <w:rFonts w:ascii="Calibri" w:eastAsia="Calibri" w:hAnsi="Calibri" w:cs="Calibri"/>
              </w:rPr>
            </w:pPr>
            <w:r>
              <w:rPr>
                <w:rFonts w:ascii="Calibri" w:eastAsia="Calibri" w:hAnsi="Calibri" w:cs="Calibri"/>
              </w:rPr>
              <w:t>Intégrer le Pas à Pas</w:t>
            </w:r>
          </w:p>
        </w:tc>
      </w:tr>
      <w:tr w:rsidR="008B41F0" w14:paraId="4913D406" w14:textId="77777777" w:rsidTr="008B41F0">
        <w:trPr>
          <w:trHeight w:val="201"/>
        </w:trPr>
        <w:tc>
          <w:tcPr>
            <w:tcW w:w="638" w:type="dxa"/>
            <w:vAlign w:val="center"/>
          </w:tcPr>
          <w:p w14:paraId="7590D536" w14:textId="77777777" w:rsidR="008B41F0" w:rsidRDefault="008B41F0" w:rsidP="00F44AC4">
            <w:pPr>
              <w:spacing w:line="240" w:lineRule="auto"/>
              <w:jc w:val="center"/>
              <w:rPr>
                <w:rFonts w:ascii="Calibri" w:eastAsia="Calibri" w:hAnsi="Calibri" w:cs="Calibri"/>
              </w:rPr>
            </w:pPr>
            <w:r>
              <w:rPr>
                <w:rFonts w:ascii="Calibri" w:eastAsia="Calibri" w:hAnsi="Calibri" w:cs="Calibri"/>
              </w:rPr>
              <w:t>A</w:t>
            </w:r>
          </w:p>
        </w:tc>
        <w:tc>
          <w:tcPr>
            <w:tcW w:w="1964" w:type="dxa"/>
            <w:vAlign w:val="center"/>
          </w:tcPr>
          <w:p w14:paraId="505079B8" w14:textId="77777777" w:rsidR="008B41F0" w:rsidRDefault="008B41F0" w:rsidP="00F44AC4">
            <w:pPr>
              <w:spacing w:line="240" w:lineRule="auto"/>
              <w:jc w:val="left"/>
              <w:rPr>
                <w:rFonts w:ascii="Calibri" w:eastAsia="Calibri" w:hAnsi="Calibri" w:cs="Calibri"/>
              </w:rPr>
            </w:pPr>
            <w:r>
              <w:rPr>
                <w:rFonts w:ascii="Calibri" w:eastAsia="Calibri" w:hAnsi="Calibri" w:cs="Calibri"/>
              </w:rPr>
              <w:t>Diagnostic positif</w:t>
            </w:r>
          </w:p>
        </w:tc>
        <w:tc>
          <w:tcPr>
            <w:tcW w:w="3575" w:type="dxa"/>
            <w:vAlign w:val="center"/>
          </w:tcPr>
          <w:p w14:paraId="3A5A607C" w14:textId="77777777" w:rsidR="008B41F0" w:rsidRDefault="008B41F0" w:rsidP="00F44AC4">
            <w:pPr>
              <w:spacing w:line="240" w:lineRule="auto"/>
              <w:jc w:val="left"/>
              <w:rPr>
                <w:rFonts w:ascii="Calibri" w:eastAsia="Calibri" w:hAnsi="Calibri" w:cs="Calibri"/>
              </w:rPr>
            </w:pPr>
            <w:r>
              <w:rPr>
                <w:rFonts w:ascii="Calibri" w:eastAsia="Calibri" w:hAnsi="Calibri" w:cs="Calibri"/>
              </w:rPr>
              <w:t>Toux chronique de l’adulte : principales hypothèses diagnostiques</w:t>
            </w:r>
          </w:p>
        </w:tc>
        <w:tc>
          <w:tcPr>
            <w:tcW w:w="2835" w:type="dxa"/>
            <w:vAlign w:val="center"/>
          </w:tcPr>
          <w:p w14:paraId="38344A51" w14:textId="77777777" w:rsidR="008B41F0" w:rsidRDefault="008B41F0" w:rsidP="00F44AC4">
            <w:pPr>
              <w:spacing w:line="240" w:lineRule="auto"/>
              <w:jc w:val="left"/>
              <w:rPr>
                <w:rFonts w:ascii="Calibri" w:eastAsia="Calibri" w:hAnsi="Calibri" w:cs="Calibri"/>
              </w:rPr>
            </w:pPr>
            <w:r>
              <w:rPr>
                <w:rFonts w:ascii="Calibri" w:eastAsia="Calibri" w:hAnsi="Calibri" w:cs="Calibri"/>
              </w:rPr>
              <w:t>Pas à Pas Toux chronique</w:t>
            </w:r>
          </w:p>
        </w:tc>
      </w:tr>
      <w:tr w:rsidR="008B41F0" w14:paraId="350462FE" w14:textId="77777777" w:rsidTr="008B41F0">
        <w:trPr>
          <w:trHeight w:val="201"/>
        </w:trPr>
        <w:tc>
          <w:tcPr>
            <w:tcW w:w="638" w:type="dxa"/>
            <w:tcBorders>
              <w:bottom w:val="single" w:sz="4" w:space="0" w:color="2E74B5"/>
            </w:tcBorders>
            <w:vAlign w:val="center"/>
          </w:tcPr>
          <w:p w14:paraId="18B9D8C7" w14:textId="77777777" w:rsidR="008B41F0" w:rsidRDefault="008B41F0" w:rsidP="00F44AC4">
            <w:pPr>
              <w:spacing w:line="240" w:lineRule="auto"/>
              <w:jc w:val="center"/>
              <w:rPr>
                <w:rFonts w:ascii="Calibri" w:eastAsia="Calibri" w:hAnsi="Calibri" w:cs="Calibri"/>
                <w:i/>
                <w:iCs/>
                <w:color w:val="2E74B5"/>
              </w:rPr>
            </w:pPr>
            <w:r>
              <w:rPr>
                <w:rFonts w:ascii="Calibri" w:eastAsia="Calibri" w:hAnsi="Calibri" w:cs="Calibri"/>
              </w:rPr>
              <w:t>A</w:t>
            </w:r>
          </w:p>
        </w:tc>
        <w:tc>
          <w:tcPr>
            <w:tcW w:w="1964" w:type="dxa"/>
            <w:tcBorders>
              <w:bottom w:val="single" w:sz="4" w:space="0" w:color="2E74B5"/>
            </w:tcBorders>
            <w:vAlign w:val="center"/>
          </w:tcPr>
          <w:p w14:paraId="2CBE01AB"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rPr>
              <w:t xml:space="preserve">Diagnostic positif </w:t>
            </w:r>
          </w:p>
        </w:tc>
        <w:tc>
          <w:tcPr>
            <w:tcW w:w="3575" w:type="dxa"/>
            <w:tcBorders>
              <w:bottom w:val="single" w:sz="4" w:space="0" w:color="2E74B5"/>
            </w:tcBorders>
            <w:vAlign w:val="center"/>
          </w:tcPr>
          <w:p w14:paraId="1052B984"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rPr>
              <w:t>Connaître la sémiologie d’une toux et les signes associés à la toux</w:t>
            </w:r>
          </w:p>
        </w:tc>
        <w:tc>
          <w:tcPr>
            <w:tcW w:w="2835" w:type="dxa"/>
            <w:tcBorders>
              <w:bottom w:val="single" w:sz="4" w:space="0" w:color="2E74B5"/>
            </w:tcBorders>
            <w:vAlign w:val="center"/>
          </w:tcPr>
          <w:p w14:paraId="50A3BFDD" w14:textId="77777777" w:rsidR="008B41F0" w:rsidRDefault="008B41F0" w:rsidP="00F44AC4">
            <w:pPr>
              <w:spacing w:line="240" w:lineRule="auto"/>
              <w:jc w:val="left"/>
              <w:rPr>
                <w:rFonts w:ascii="Calibri" w:eastAsia="Calibri" w:hAnsi="Calibri" w:cs="Calibri"/>
              </w:rPr>
            </w:pPr>
          </w:p>
        </w:tc>
      </w:tr>
      <w:tr w:rsidR="008B41F0" w14:paraId="670142CE" w14:textId="77777777" w:rsidTr="008B41F0">
        <w:trPr>
          <w:trHeight w:val="201"/>
        </w:trPr>
        <w:tc>
          <w:tcPr>
            <w:tcW w:w="638" w:type="dxa"/>
            <w:vAlign w:val="center"/>
          </w:tcPr>
          <w:p w14:paraId="04567EB9" w14:textId="77777777" w:rsidR="008B41F0" w:rsidRDefault="008B41F0" w:rsidP="00F44AC4">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1964" w:type="dxa"/>
            <w:vAlign w:val="center"/>
          </w:tcPr>
          <w:p w14:paraId="05482786"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color w:val="0070C0"/>
              </w:rPr>
              <w:t>Éléments physiopathologiques</w:t>
            </w:r>
          </w:p>
        </w:tc>
        <w:tc>
          <w:tcPr>
            <w:tcW w:w="3575" w:type="dxa"/>
            <w:vAlign w:val="center"/>
          </w:tcPr>
          <w:p w14:paraId="3C20E884"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color w:val="0070C0"/>
              </w:rPr>
              <w:t xml:space="preserve">Mécanisme du réflexe de toux </w:t>
            </w:r>
          </w:p>
        </w:tc>
        <w:tc>
          <w:tcPr>
            <w:tcW w:w="2835" w:type="dxa"/>
            <w:vAlign w:val="center"/>
          </w:tcPr>
          <w:p w14:paraId="5584E991" w14:textId="77777777" w:rsidR="008B41F0" w:rsidRDefault="008B41F0" w:rsidP="00F44AC4">
            <w:pPr>
              <w:spacing w:line="240" w:lineRule="auto"/>
              <w:jc w:val="left"/>
              <w:rPr>
                <w:rFonts w:ascii="Calibri" w:eastAsia="Calibri" w:hAnsi="Calibri" w:cs="Calibri"/>
              </w:rPr>
            </w:pPr>
            <w:r>
              <w:rPr>
                <w:rFonts w:ascii="Calibri" w:eastAsia="Calibri" w:hAnsi="Calibri" w:cs="Calibri"/>
                <w:color w:val="0070C0"/>
              </w:rPr>
              <w:t>Récepteurs, description du réflexe, origine de la toux chronique</w:t>
            </w:r>
          </w:p>
        </w:tc>
      </w:tr>
      <w:tr w:rsidR="008B41F0" w14:paraId="4CFB8CAE" w14:textId="77777777" w:rsidTr="008B41F0">
        <w:trPr>
          <w:trHeight w:val="201"/>
        </w:trPr>
        <w:tc>
          <w:tcPr>
            <w:tcW w:w="638" w:type="dxa"/>
            <w:vAlign w:val="center"/>
          </w:tcPr>
          <w:p w14:paraId="366CBE97" w14:textId="77777777" w:rsidR="008B41F0" w:rsidRDefault="008B41F0" w:rsidP="00F44AC4">
            <w:pPr>
              <w:spacing w:line="240" w:lineRule="auto"/>
              <w:jc w:val="center"/>
              <w:rPr>
                <w:rFonts w:ascii="Calibri" w:eastAsia="Calibri" w:hAnsi="Calibri" w:cs="Calibri"/>
                <w:i/>
                <w:iCs/>
                <w:color w:val="2E74B5"/>
              </w:rPr>
            </w:pPr>
            <w:r>
              <w:rPr>
                <w:rFonts w:ascii="Calibri" w:eastAsia="Calibri" w:hAnsi="Calibri" w:cs="Calibri"/>
              </w:rPr>
              <w:t>A</w:t>
            </w:r>
          </w:p>
        </w:tc>
        <w:tc>
          <w:tcPr>
            <w:tcW w:w="1964" w:type="dxa"/>
            <w:vAlign w:val="center"/>
          </w:tcPr>
          <w:p w14:paraId="04D873F6"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rPr>
              <w:t>Ex. complémentaires</w:t>
            </w:r>
          </w:p>
        </w:tc>
        <w:tc>
          <w:tcPr>
            <w:tcW w:w="3575" w:type="dxa"/>
            <w:vAlign w:val="center"/>
          </w:tcPr>
          <w:p w14:paraId="7EE55451"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rPr>
              <w:t>Connaître l’indication des examens d’imagerie devant une toux de l’adulte</w:t>
            </w:r>
          </w:p>
        </w:tc>
        <w:tc>
          <w:tcPr>
            <w:tcW w:w="2835" w:type="dxa"/>
            <w:vAlign w:val="center"/>
          </w:tcPr>
          <w:p w14:paraId="3EE0B138" w14:textId="77777777" w:rsidR="008B41F0" w:rsidRDefault="008B41F0" w:rsidP="00F44AC4">
            <w:pPr>
              <w:spacing w:line="240" w:lineRule="auto"/>
              <w:jc w:val="left"/>
              <w:rPr>
                <w:rFonts w:ascii="Calibri" w:eastAsia="Calibri" w:hAnsi="Calibri" w:cs="Calibri"/>
              </w:rPr>
            </w:pPr>
            <w:r>
              <w:rPr>
                <w:rFonts w:ascii="Calibri" w:eastAsia="Calibri" w:hAnsi="Calibri" w:cs="Calibri"/>
              </w:rPr>
              <w:t>Connaître l’indication des examens d’imagerie devant une toux de l’adulte</w:t>
            </w:r>
          </w:p>
        </w:tc>
      </w:tr>
      <w:tr w:rsidR="008B41F0" w14:paraId="0D618DA6" w14:textId="77777777" w:rsidTr="008B41F0">
        <w:trPr>
          <w:trHeight w:val="201"/>
        </w:trPr>
        <w:tc>
          <w:tcPr>
            <w:tcW w:w="638" w:type="dxa"/>
            <w:vAlign w:val="center"/>
          </w:tcPr>
          <w:p w14:paraId="6950D928" w14:textId="77777777" w:rsidR="008B41F0" w:rsidRDefault="008B41F0" w:rsidP="00F44AC4">
            <w:pPr>
              <w:spacing w:line="240" w:lineRule="auto"/>
              <w:jc w:val="center"/>
              <w:rPr>
                <w:rFonts w:ascii="Calibri" w:eastAsia="Calibri" w:hAnsi="Calibri" w:cs="Calibri"/>
                <w:color w:val="2E74B5"/>
              </w:rPr>
            </w:pPr>
            <w:r>
              <w:rPr>
                <w:rFonts w:ascii="Calibri" w:eastAsia="Calibri" w:hAnsi="Calibri" w:cs="Calibri"/>
              </w:rPr>
              <w:t>A</w:t>
            </w:r>
          </w:p>
        </w:tc>
        <w:tc>
          <w:tcPr>
            <w:tcW w:w="1964" w:type="dxa"/>
            <w:vAlign w:val="center"/>
          </w:tcPr>
          <w:p w14:paraId="5DA7CD97" w14:textId="77777777" w:rsidR="008B41F0" w:rsidRDefault="008B41F0" w:rsidP="00F44AC4">
            <w:pPr>
              <w:spacing w:line="240" w:lineRule="auto"/>
              <w:jc w:val="left"/>
              <w:rPr>
                <w:rFonts w:ascii="Calibri" w:eastAsia="Calibri" w:hAnsi="Calibri" w:cs="Calibri"/>
                <w:color w:val="2E74B5"/>
              </w:rPr>
            </w:pPr>
            <w:r>
              <w:rPr>
                <w:rFonts w:ascii="Calibri" w:eastAsia="Calibri" w:hAnsi="Calibri" w:cs="Calibri"/>
              </w:rPr>
              <w:t>Identifier une urgence</w:t>
            </w:r>
          </w:p>
        </w:tc>
        <w:tc>
          <w:tcPr>
            <w:tcW w:w="3575" w:type="dxa"/>
            <w:vAlign w:val="center"/>
          </w:tcPr>
          <w:p w14:paraId="0986EF94" w14:textId="77777777" w:rsidR="008B41F0" w:rsidRDefault="008B41F0" w:rsidP="00F44AC4">
            <w:pPr>
              <w:spacing w:line="240" w:lineRule="auto"/>
              <w:jc w:val="left"/>
              <w:rPr>
                <w:rFonts w:ascii="Calibri" w:eastAsia="Calibri" w:hAnsi="Calibri" w:cs="Calibri"/>
                <w:color w:val="2E74B5"/>
              </w:rPr>
            </w:pPr>
            <w:r>
              <w:rPr>
                <w:rFonts w:ascii="Calibri" w:eastAsia="Calibri" w:hAnsi="Calibri" w:cs="Calibri"/>
              </w:rPr>
              <w:t>Rechercher les signes de gravité devant une toux aiguë ou chronique</w:t>
            </w:r>
          </w:p>
        </w:tc>
        <w:tc>
          <w:tcPr>
            <w:tcW w:w="2835" w:type="dxa"/>
            <w:vAlign w:val="center"/>
          </w:tcPr>
          <w:p w14:paraId="18A1AC74" w14:textId="77777777" w:rsidR="008B41F0" w:rsidRDefault="008B41F0" w:rsidP="00F44AC4">
            <w:pPr>
              <w:spacing w:line="240" w:lineRule="auto"/>
              <w:jc w:val="left"/>
              <w:rPr>
                <w:rFonts w:ascii="Calibri" w:eastAsia="Calibri" w:hAnsi="Calibri" w:cs="Calibri"/>
                <w:color w:val="0070C0"/>
              </w:rPr>
            </w:pPr>
          </w:p>
        </w:tc>
      </w:tr>
      <w:tr w:rsidR="008B41F0" w14:paraId="01D7F23E" w14:textId="77777777" w:rsidTr="008B41F0">
        <w:trPr>
          <w:trHeight w:val="201"/>
        </w:trPr>
        <w:tc>
          <w:tcPr>
            <w:tcW w:w="638" w:type="dxa"/>
            <w:vAlign w:val="center"/>
          </w:tcPr>
          <w:p w14:paraId="7283D2EC" w14:textId="77777777" w:rsidR="008B41F0" w:rsidRDefault="008B41F0" w:rsidP="00F44AC4">
            <w:pPr>
              <w:spacing w:line="240" w:lineRule="auto"/>
              <w:jc w:val="center"/>
              <w:rPr>
                <w:rFonts w:ascii="Calibri" w:eastAsia="Calibri" w:hAnsi="Calibri" w:cs="Calibri"/>
                <w:i/>
                <w:iCs/>
                <w:color w:val="2E74B5"/>
              </w:rPr>
            </w:pPr>
            <w:r>
              <w:rPr>
                <w:rFonts w:ascii="Calibri" w:eastAsia="Calibri" w:hAnsi="Calibri" w:cs="Calibri"/>
              </w:rPr>
              <w:t>A</w:t>
            </w:r>
          </w:p>
        </w:tc>
        <w:tc>
          <w:tcPr>
            <w:tcW w:w="1964" w:type="dxa"/>
            <w:vAlign w:val="center"/>
          </w:tcPr>
          <w:p w14:paraId="463F9BB9"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rPr>
              <w:t>Prise en charge</w:t>
            </w:r>
          </w:p>
        </w:tc>
        <w:tc>
          <w:tcPr>
            <w:tcW w:w="3575" w:type="dxa"/>
            <w:vAlign w:val="center"/>
          </w:tcPr>
          <w:p w14:paraId="1145E8F1" w14:textId="77777777" w:rsidR="008B41F0" w:rsidRDefault="008B41F0" w:rsidP="00F44AC4">
            <w:pPr>
              <w:spacing w:line="240" w:lineRule="auto"/>
              <w:jc w:val="left"/>
              <w:rPr>
                <w:rFonts w:ascii="Calibri" w:eastAsia="Calibri" w:hAnsi="Calibri" w:cs="Calibri"/>
                <w:i/>
                <w:iCs/>
                <w:color w:val="2E74B5"/>
              </w:rPr>
            </w:pPr>
            <w:r>
              <w:rPr>
                <w:rFonts w:ascii="Calibri" w:eastAsia="Calibri" w:hAnsi="Calibri" w:cs="Calibri"/>
              </w:rPr>
              <w:t xml:space="preserve">Traitement symptomatique de la toux </w:t>
            </w:r>
          </w:p>
        </w:tc>
        <w:tc>
          <w:tcPr>
            <w:tcW w:w="2835" w:type="dxa"/>
            <w:vAlign w:val="center"/>
          </w:tcPr>
          <w:p w14:paraId="42062C22" w14:textId="77777777" w:rsidR="008B41F0" w:rsidRDefault="008B41F0" w:rsidP="00F44AC4">
            <w:pPr>
              <w:spacing w:line="240" w:lineRule="auto"/>
              <w:jc w:val="left"/>
              <w:rPr>
                <w:rFonts w:ascii="Calibri" w:eastAsia="Calibri" w:hAnsi="Calibri" w:cs="Calibri"/>
                <w:i/>
                <w:iCs/>
              </w:rPr>
            </w:pPr>
          </w:p>
        </w:tc>
      </w:tr>
      <w:tr w:rsidR="008B41F0" w14:paraId="7F808DBF" w14:textId="77777777" w:rsidTr="008B41F0">
        <w:trPr>
          <w:trHeight w:val="201"/>
        </w:trPr>
        <w:tc>
          <w:tcPr>
            <w:tcW w:w="638" w:type="dxa"/>
            <w:vAlign w:val="center"/>
          </w:tcPr>
          <w:p w14:paraId="5474D87D" w14:textId="77777777" w:rsidR="008B41F0" w:rsidRDefault="008B41F0" w:rsidP="00F44AC4">
            <w:pPr>
              <w:spacing w:line="240" w:lineRule="auto"/>
              <w:jc w:val="center"/>
              <w:rPr>
                <w:rFonts w:ascii="Calibri" w:eastAsia="Calibri" w:hAnsi="Calibri" w:cs="Calibri"/>
                <w:color w:val="2E74B5"/>
              </w:rPr>
            </w:pPr>
            <w:r>
              <w:rPr>
                <w:rFonts w:ascii="Calibri" w:eastAsia="Calibri" w:hAnsi="Calibri" w:cs="Calibri"/>
                <w:color w:val="0070C0"/>
              </w:rPr>
              <w:t>B</w:t>
            </w:r>
          </w:p>
        </w:tc>
        <w:tc>
          <w:tcPr>
            <w:tcW w:w="1964" w:type="dxa"/>
            <w:vAlign w:val="center"/>
          </w:tcPr>
          <w:p w14:paraId="21A21472" w14:textId="77777777" w:rsidR="008B41F0" w:rsidRDefault="008B41F0" w:rsidP="00F44AC4">
            <w:pPr>
              <w:spacing w:line="240" w:lineRule="auto"/>
              <w:jc w:val="left"/>
              <w:rPr>
                <w:rFonts w:ascii="Calibri" w:eastAsia="Calibri" w:hAnsi="Calibri" w:cs="Calibri"/>
                <w:color w:val="2E74B5"/>
              </w:rPr>
            </w:pPr>
            <w:r>
              <w:rPr>
                <w:rFonts w:ascii="Calibri" w:eastAsia="Calibri" w:hAnsi="Calibri" w:cs="Calibri"/>
                <w:color w:val="0070C0"/>
              </w:rPr>
              <w:t>Prise en charge</w:t>
            </w:r>
          </w:p>
        </w:tc>
        <w:tc>
          <w:tcPr>
            <w:tcW w:w="3575" w:type="dxa"/>
            <w:vAlign w:val="center"/>
          </w:tcPr>
          <w:p w14:paraId="61F72C82" w14:textId="77777777" w:rsidR="008B41F0" w:rsidRDefault="008B41F0" w:rsidP="00F44AC4">
            <w:pPr>
              <w:spacing w:line="240" w:lineRule="auto"/>
              <w:jc w:val="left"/>
              <w:rPr>
                <w:rFonts w:ascii="Calibri" w:eastAsia="Calibri" w:hAnsi="Calibri" w:cs="Calibri"/>
                <w:color w:val="2E74B5"/>
              </w:rPr>
            </w:pPr>
            <w:r>
              <w:rPr>
                <w:rFonts w:ascii="Calibri" w:eastAsia="Calibri" w:hAnsi="Calibri" w:cs="Calibri"/>
                <w:color w:val="0070C0"/>
              </w:rPr>
              <w:t>Éléments de prise en charge étiologique</w:t>
            </w:r>
          </w:p>
        </w:tc>
        <w:tc>
          <w:tcPr>
            <w:tcW w:w="2835" w:type="dxa"/>
            <w:vAlign w:val="center"/>
          </w:tcPr>
          <w:p w14:paraId="627361EC" w14:textId="77777777" w:rsidR="008B41F0" w:rsidRDefault="008B41F0" w:rsidP="00F44AC4">
            <w:pPr>
              <w:spacing w:line="240" w:lineRule="auto"/>
              <w:jc w:val="left"/>
              <w:rPr>
                <w:rFonts w:ascii="Calibri" w:eastAsia="Calibri" w:hAnsi="Calibri" w:cs="Calibri"/>
              </w:rPr>
            </w:pPr>
          </w:p>
        </w:tc>
      </w:tr>
    </w:tbl>
    <w:p w14:paraId="33D4B065" w14:textId="77777777" w:rsidR="00AC56AB" w:rsidRDefault="00AC56AB" w:rsidP="00362251"/>
    <w:p w14:paraId="2A908B77" w14:textId="47CC8BAB" w:rsidR="00876EF8" w:rsidRDefault="00876EF8" w:rsidP="00930986">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625C442F" w14:textId="346BD695" w:rsidR="008B41F0" w:rsidRDefault="008B41F0" w:rsidP="00930986">
      <w:pPr>
        <w:jc w:val="center"/>
        <w:rPr>
          <w:color w:val="0070C0"/>
        </w:rPr>
      </w:pPr>
    </w:p>
    <w:p w14:paraId="7E92633A" w14:textId="05AA2376" w:rsidR="008B41F0" w:rsidRDefault="00F0419D" w:rsidP="008B41F0">
      <w:pPr>
        <w:spacing w:line="240" w:lineRule="auto"/>
        <w:ind w:left="3"/>
        <w:jc w:val="center"/>
        <w:rPr>
          <w:color w:val="0070C0"/>
        </w:rPr>
      </w:pPr>
      <w:r>
        <w:rPr>
          <w:noProof/>
        </w:rPr>
        <w:drawing>
          <wp:anchor distT="0" distB="0" distL="114300" distR="114300" simplePos="0" relativeHeight="251734016" behindDoc="0" locked="0" layoutInCell="1" hidden="0" allowOverlap="1" wp14:anchorId="50F59D55" wp14:editId="47329300">
            <wp:simplePos x="0" y="0"/>
            <wp:positionH relativeFrom="column">
              <wp:posOffset>894878</wp:posOffset>
            </wp:positionH>
            <wp:positionV relativeFrom="paragraph">
              <wp:posOffset>5715</wp:posOffset>
            </wp:positionV>
            <wp:extent cx="136444" cy="138458"/>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36444" cy="138458"/>
                    </a:xfrm>
                    <a:prstGeom prst="rect">
                      <a:avLst/>
                    </a:prstGeom>
                    <a:ln/>
                  </pic:spPr>
                </pic:pic>
              </a:graphicData>
            </a:graphic>
          </wp:anchor>
        </w:drawing>
      </w:r>
      <w:r w:rsidR="008B41F0">
        <w:rPr>
          <w:color w:val="00B050"/>
        </w:rPr>
        <w:t>Les informations de rang C apparaissent en vert dans le texte.</w:t>
      </w:r>
    </w:p>
    <w:p w14:paraId="7B120D3A" w14:textId="77777777" w:rsidR="008B41F0" w:rsidRPr="00930986" w:rsidRDefault="008B41F0" w:rsidP="00930986">
      <w:pPr>
        <w:jc w:val="center"/>
        <w:rPr>
          <w:color w:val="0070C0"/>
        </w:rPr>
      </w:pPr>
    </w:p>
    <w:p w14:paraId="74EE45DD" w14:textId="73FB31E2" w:rsidR="00876EF8" w:rsidRPr="00876EF8" w:rsidRDefault="00930986" w:rsidP="00930986">
      <w:pPr>
        <w:spacing w:after="160"/>
        <w:jc w:val="left"/>
      </w:pPr>
      <w:r>
        <w:br w:type="page"/>
      </w:r>
    </w:p>
    <w:p w14:paraId="064314BF" w14:textId="77777777" w:rsidR="00876EF8" w:rsidRDefault="00876EF8" w:rsidP="00362251">
      <w:pPr>
        <w:pStyle w:val="Pointscls"/>
      </w:pPr>
      <w:r>
        <w:lastRenderedPageBreak/>
        <w:t>Points clés</w:t>
      </w:r>
    </w:p>
    <w:p w14:paraId="46141C56" w14:textId="77777777" w:rsidR="008B41F0" w:rsidRPr="008B41F0" w:rsidRDefault="008B41F0" w:rsidP="008B41F0">
      <w:pPr>
        <w:pStyle w:val="pointscls1"/>
      </w:pPr>
      <w:r w:rsidRPr="008B41F0">
        <w:t>La toux aiguë est définie par une durée ≤ 3 semaines.</w:t>
      </w:r>
    </w:p>
    <w:p w14:paraId="0C8FDE12" w14:textId="77777777" w:rsidR="008B41F0" w:rsidRPr="008B41F0" w:rsidRDefault="008B41F0" w:rsidP="008B41F0">
      <w:pPr>
        <w:pStyle w:val="pointscls1"/>
      </w:pPr>
      <w:r w:rsidRPr="008B41F0">
        <w:t>La toux chronique est définie par une durée ≥ 8 semaines.</w:t>
      </w:r>
    </w:p>
    <w:p w14:paraId="06470F51" w14:textId="77777777" w:rsidR="008B41F0" w:rsidRPr="008B41F0" w:rsidRDefault="008B41F0" w:rsidP="008B41F0">
      <w:pPr>
        <w:pStyle w:val="pointscls1"/>
      </w:pPr>
      <w:r w:rsidRPr="008B41F0">
        <w:t>La toux aiguë isolée est, dans la très grande majorité des cas, secondaire à des infections respiratoires hautes d’origine virale et ne nécessite pas d’exploration.</w:t>
      </w:r>
    </w:p>
    <w:p w14:paraId="6F23416F" w14:textId="77777777" w:rsidR="008B41F0" w:rsidRPr="008B41F0" w:rsidRDefault="008B41F0" w:rsidP="008B41F0">
      <w:pPr>
        <w:pStyle w:val="pointscls1"/>
      </w:pPr>
      <w:r w:rsidRPr="008B41F0">
        <w:t>La toux chronique, même isolée, nécessite une prise en charge rigoureuse et progressive.</w:t>
      </w:r>
    </w:p>
    <w:p w14:paraId="36922334" w14:textId="77777777" w:rsidR="008B41F0" w:rsidRPr="008B41F0" w:rsidRDefault="008B41F0" w:rsidP="008B41F0">
      <w:pPr>
        <w:pStyle w:val="pointscls1"/>
      </w:pPr>
      <w:r w:rsidRPr="008B41F0">
        <w:t>Dans la toux chronique, avant tout examen complémentaire, une évaluation des caractéristiques de la toux et du profil du patient sont nécessaires pour orienter la conduite à tenir.</w:t>
      </w:r>
    </w:p>
    <w:p w14:paraId="1F5D60AD" w14:textId="77777777" w:rsidR="008B41F0" w:rsidRPr="008B41F0" w:rsidRDefault="008B41F0" w:rsidP="008B41F0">
      <w:pPr>
        <w:pStyle w:val="pointscls1"/>
      </w:pPr>
      <w:r w:rsidRPr="008B41F0">
        <w:t>En présence de signes de gravité, une prise en charge spécifique de la cause est nécessaire. L’apparition ou la modification de la toux chez un fumeur doit faire évoquer un cancer bronchique.</w:t>
      </w:r>
    </w:p>
    <w:p w14:paraId="5C529E12" w14:textId="77777777" w:rsidR="008B41F0" w:rsidRPr="008B41F0" w:rsidRDefault="008B41F0" w:rsidP="008B41F0">
      <w:pPr>
        <w:pStyle w:val="pointscls1"/>
      </w:pPr>
      <w:r w:rsidRPr="008B41F0">
        <w:t>Une radiographie de thorax et une spirométrie sont systématiques dans le bilan de toux chronique.</w:t>
      </w:r>
    </w:p>
    <w:p w14:paraId="6886EE7B" w14:textId="77777777" w:rsidR="008B41F0" w:rsidRPr="008B41F0" w:rsidRDefault="008B41F0" w:rsidP="008B41F0">
      <w:pPr>
        <w:pStyle w:val="pointscls1"/>
      </w:pPr>
      <w:r w:rsidRPr="008B41F0">
        <w:t>Les principales causes de toux chronique à radiographie de thorax normale chez le non-fumeur sont :</w:t>
      </w:r>
    </w:p>
    <w:p w14:paraId="1B77CBA3" w14:textId="77777777" w:rsidR="008B41F0" w:rsidRPr="008B41F0" w:rsidRDefault="008B41F0" w:rsidP="008B41F0">
      <w:pPr>
        <w:pStyle w:val="pointscls1"/>
        <w:numPr>
          <w:ilvl w:val="0"/>
          <w:numId w:val="0"/>
        </w:numPr>
        <w:ind w:left="142"/>
      </w:pPr>
      <w:r w:rsidRPr="008B41F0">
        <w:t>- Le syndrome de toux d’origine des voies aériennes supérieures (écoulement ou rhinorrhée postérieur chronique dû à une rhinosinusite chronique).</w:t>
      </w:r>
    </w:p>
    <w:p w14:paraId="5DCBF5B8" w14:textId="77777777" w:rsidR="008B41F0" w:rsidRPr="008B41F0" w:rsidRDefault="008B41F0" w:rsidP="008B41F0">
      <w:pPr>
        <w:pStyle w:val="pointscls1"/>
        <w:numPr>
          <w:ilvl w:val="0"/>
          <w:numId w:val="0"/>
        </w:numPr>
        <w:ind w:left="426" w:hanging="284"/>
      </w:pPr>
      <w:r w:rsidRPr="008B41F0">
        <w:t>- Le reflux gastro-œsophagien.</w:t>
      </w:r>
    </w:p>
    <w:p w14:paraId="749E74F3" w14:textId="77777777" w:rsidR="008B41F0" w:rsidRPr="008B41F0" w:rsidRDefault="008B41F0" w:rsidP="008B41F0">
      <w:pPr>
        <w:pStyle w:val="pointscls1"/>
        <w:numPr>
          <w:ilvl w:val="0"/>
          <w:numId w:val="0"/>
        </w:numPr>
        <w:ind w:left="426" w:hanging="284"/>
      </w:pPr>
      <w:r w:rsidRPr="008B41F0">
        <w:t>- L’asthme.</w:t>
      </w:r>
    </w:p>
    <w:p w14:paraId="7DF977B3" w14:textId="77777777" w:rsidR="008B41F0" w:rsidRPr="008B41F0" w:rsidRDefault="008B41F0" w:rsidP="008B41F0">
      <w:pPr>
        <w:pStyle w:val="pointscls1"/>
        <w:numPr>
          <w:ilvl w:val="0"/>
          <w:numId w:val="0"/>
        </w:numPr>
        <w:ind w:left="426" w:hanging="284"/>
      </w:pPr>
      <w:r w:rsidRPr="008B41F0">
        <w:t>- Les médicaments.</w:t>
      </w:r>
    </w:p>
    <w:p w14:paraId="6671FDBE" w14:textId="77777777" w:rsidR="008B41F0" w:rsidRPr="008B41F0" w:rsidRDefault="008B41F0" w:rsidP="008B41F0">
      <w:pPr>
        <w:pStyle w:val="pointscls1"/>
      </w:pPr>
      <w:r w:rsidRPr="008B41F0">
        <w:t>En 1</w:t>
      </w:r>
      <w:r w:rsidRPr="008B41F0">
        <w:rPr>
          <w:vertAlign w:val="superscript"/>
        </w:rPr>
        <w:t>re</w:t>
      </w:r>
      <w:r w:rsidRPr="008B41F0">
        <w:t xml:space="preserve"> intention, en cas de radiographie de thorax normale, il est nécessaire de rechercher les causes fréquentes de toux. En présence d’arguments (à l’interrogatoire ou aux examens) en faveur d’une de ces causes, un traitement d’épreuve est mis en place.</w:t>
      </w:r>
    </w:p>
    <w:p w14:paraId="3E205BA2" w14:textId="77777777" w:rsidR="008B41F0" w:rsidRPr="008B41F0" w:rsidRDefault="008B41F0" w:rsidP="008B41F0">
      <w:pPr>
        <w:pStyle w:val="pointscls1"/>
      </w:pPr>
      <w:r w:rsidRPr="008B41F0">
        <w:t>Le traitement d’une toux chronique doit être avant tout étiologique. Cependant, un certain nombre de patients n’ont pas de cause retrouvée malgré une exploration extensive et le traitement s’attache alors à diminuer l’excès de sensibilité de l’arc réflexe de la toux.</w:t>
      </w:r>
    </w:p>
    <w:p w14:paraId="7A68281F" w14:textId="77777777" w:rsidR="008B41F0" w:rsidRPr="008B41F0" w:rsidRDefault="008B41F0" w:rsidP="008B41F0">
      <w:pPr>
        <w:pStyle w:val="pointscls1"/>
      </w:pPr>
      <w:r w:rsidRPr="008B41F0">
        <w:t>Le tabagisme doit être arrêté et une aide au sevrage définitif doit être apportée dans tous les cas.</w:t>
      </w:r>
    </w:p>
    <w:p w14:paraId="62139F7D" w14:textId="77777777" w:rsidR="00AC56AB" w:rsidRDefault="00AC56AB">
      <w:pPr>
        <w:spacing w:after="160"/>
        <w:jc w:val="left"/>
        <w:rPr>
          <w:b/>
          <w:bCs/>
          <w:caps/>
          <w:color w:val="FFFFFF"/>
          <w:sz w:val="24"/>
          <w:szCs w:val="24"/>
        </w:rPr>
      </w:pPr>
      <w:r>
        <w:br w:type="page"/>
      </w:r>
    </w:p>
    <w:p w14:paraId="7EE46826" w14:textId="57EE0A72" w:rsidR="00876EF8" w:rsidRDefault="00876EF8" w:rsidP="00E84981">
      <w:pPr>
        <w:pStyle w:val="titredepartie"/>
        <w:spacing w:after="0"/>
      </w:pPr>
      <w:r>
        <w:lastRenderedPageBreak/>
        <w:t>DEFINITIONS-PHYSIOPATHOLOGIE-EPIDEMIOLOGIE</w:t>
      </w:r>
    </w:p>
    <w:p w14:paraId="11728F08" w14:textId="77777777" w:rsidR="00876EF8" w:rsidRDefault="00876EF8" w:rsidP="00362251"/>
    <w:p w14:paraId="2144B1B4" w14:textId="77777777" w:rsidR="00E22E24" w:rsidRDefault="00E22E24" w:rsidP="00E22E24">
      <w:pPr>
        <w:pStyle w:val="titredesous-partie"/>
      </w:pPr>
      <w:r w:rsidRPr="00E22E24">
        <w:t xml:space="preserve">DEFINITIONS </w:t>
      </w:r>
    </w:p>
    <w:p w14:paraId="641850E3" w14:textId="77777777" w:rsidR="008B41F0" w:rsidRPr="008B41F0" w:rsidRDefault="008B41F0" w:rsidP="008B41F0">
      <w:pPr>
        <w:spacing w:line="276" w:lineRule="auto"/>
      </w:pPr>
      <w:r w:rsidRPr="008B41F0">
        <w:t>«</w:t>
      </w:r>
      <w:r w:rsidRPr="008B41F0">
        <w:rPr>
          <w:rFonts w:ascii="Arial" w:hAnsi="Arial" w:cs="Arial"/>
        </w:rPr>
        <w:t> </w:t>
      </w:r>
      <w:r w:rsidRPr="008B41F0">
        <w:t>Toux</w:t>
      </w:r>
      <w:r w:rsidRPr="008B41F0">
        <w:rPr>
          <w:rFonts w:ascii="Arial" w:hAnsi="Arial" w:cs="Arial"/>
        </w:rPr>
        <w:t> </w:t>
      </w:r>
      <w:r w:rsidRPr="008B41F0">
        <w:t xml:space="preserve">» : expulsion brusque et sonore de l’air contenu dans les poumons. </w:t>
      </w:r>
    </w:p>
    <w:p w14:paraId="13E3FDE4" w14:textId="77777777" w:rsidR="008B41F0" w:rsidRPr="008B41F0" w:rsidRDefault="008B41F0" w:rsidP="008B41F0">
      <w:pPr>
        <w:spacing w:line="276" w:lineRule="auto"/>
      </w:pPr>
      <w:r w:rsidRPr="008B41F0">
        <w:t xml:space="preserve">C’est un réflexe mis en jeu pour aider à l’extériorisation des sécrétions bronchiques, trachéales et laryngées ou pour répondre à toute irritation des voies aériennes. </w:t>
      </w:r>
    </w:p>
    <w:p w14:paraId="2C8FDD1C" w14:textId="77777777" w:rsidR="008B41F0" w:rsidRPr="008B41F0" w:rsidRDefault="008B41F0" w:rsidP="008B41F0">
      <w:pPr>
        <w:spacing w:line="276" w:lineRule="auto"/>
      </w:pPr>
      <w:r w:rsidRPr="008B41F0">
        <w:t>Le diagnostic de toux ne pose pas de problème même s’il existe parfois une confusion avec le hemmage (raclement de gorge).</w:t>
      </w:r>
    </w:p>
    <w:p w14:paraId="26224760" w14:textId="77777777" w:rsidR="008B41F0" w:rsidRPr="008B41F0" w:rsidRDefault="008B41F0" w:rsidP="008B41F0">
      <w:pPr>
        <w:spacing w:line="276" w:lineRule="auto"/>
      </w:pPr>
    </w:p>
    <w:p w14:paraId="0C18FD4D" w14:textId="77777777" w:rsidR="008B41F0" w:rsidRPr="008B41F0" w:rsidRDefault="008B41F0" w:rsidP="008B41F0">
      <w:pPr>
        <w:spacing w:line="276" w:lineRule="auto"/>
      </w:pPr>
      <w:r w:rsidRPr="008B41F0">
        <w:t>«</w:t>
      </w:r>
      <w:r w:rsidRPr="008B41F0">
        <w:rPr>
          <w:rFonts w:ascii="Arial" w:hAnsi="Arial" w:cs="Arial"/>
        </w:rPr>
        <w:t> </w:t>
      </w:r>
      <w:r w:rsidRPr="008B41F0">
        <w:t>Toux aiguë et chronique chez l’adulte</w:t>
      </w:r>
      <w:r w:rsidRPr="008B41F0">
        <w:rPr>
          <w:rFonts w:ascii="Arial" w:hAnsi="Arial" w:cs="Arial"/>
        </w:rPr>
        <w:t> </w:t>
      </w:r>
      <w:r w:rsidRPr="008B41F0">
        <w:t>» :</w:t>
      </w:r>
    </w:p>
    <w:p w14:paraId="35BA3B21" w14:textId="77777777" w:rsidR="008B41F0" w:rsidRPr="008B41F0" w:rsidRDefault="008B41F0" w:rsidP="008B41F0">
      <w:pPr>
        <w:spacing w:line="276" w:lineRule="auto"/>
      </w:pPr>
      <w:r w:rsidRPr="008B41F0">
        <w:t>- «</w:t>
      </w:r>
      <w:r w:rsidRPr="008B41F0">
        <w:rPr>
          <w:rFonts w:ascii="Arial" w:hAnsi="Arial" w:cs="Arial"/>
        </w:rPr>
        <w:t> </w:t>
      </w:r>
      <w:r w:rsidRPr="008B41F0">
        <w:t>Toux aiguë</w:t>
      </w:r>
      <w:r w:rsidRPr="008B41F0">
        <w:rPr>
          <w:rFonts w:ascii="Arial" w:hAnsi="Arial" w:cs="Arial"/>
        </w:rPr>
        <w:t> </w:t>
      </w:r>
      <w:r w:rsidRPr="008B41F0">
        <w:t>» = toux dont la durée est ≤ 3 semaines.</w:t>
      </w:r>
    </w:p>
    <w:p w14:paraId="447B37C1" w14:textId="77777777" w:rsidR="008B41F0" w:rsidRPr="008B41F0" w:rsidRDefault="008B41F0" w:rsidP="008B41F0">
      <w:pPr>
        <w:spacing w:line="276" w:lineRule="auto"/>
      </w:pPr>
      <w:r w:rsidRPr="008B41F0">
        <w:t>- «</w:t>
      </w:r>
      <w:r w:rsidRPr="008B41F0">
        <w:rPr>
          <w:rFonts w:ascii="Arial" w:hAnsi="Arial" w:cs="Arial"/>
        </w:rPr>
        <w:t> </w:t>
      </w:r>
      <w:r w:rsidRPr="008B41F0">
        <w:t>Toux chronique</w:t>
      </w:r>
      <w:r w:rsidRPr="008B41F0">
        <w:rPr>
          <w:rFonts w:ascii="Arial" w:hAnsi="Arial" w:cs="Arial"/>
        </w:rPr>
        <w:t> </w:t>
      </w:r>
      <w:r w:rsidRPr="008B41F0">
        <w:t>» = toux dont la durée est ≥ 8 semaines.</w:t>
      </w:r>
    </w:p>
    <w:p w14:paraId="4616CDFD" w14:textId="77777777" w:rsidR="008B41F0" w:rsidRPr="008B41F0" w:rsidRDefault="008B41F0" w:rsidP="008B41F0">
      <w:pPr>
        <w:spacing w:line="276" w:lineRule="auto"/>
      </w:pPr>
      <w:r w:rsidRPr="008B41F0">
        <w:t>- La «</w:t>
      </w:r>
      <w:r w:rsidRPr="008B41F0">
        <w:rPr>
          <w:rFonts w:ascii="Arial" w:hAnsi="Arial" w:cs="Arial"/>
        </w:rPr>
        <w:t> </w:t>
      </w:r>
      <w:r w:rsidRPr="008B41F0">
        <w:t>toux subaiguë</w:t>
      </w:r>
      <w:r w:rsidRPr="008B41F0">
        <w:rPr>
          <w:rFonts w:ascii="Arial" w:hAnsi="Arial" w:cs="Arial"/>
        </w:rPr>
        <w:t> </w:t>
      </w:r>
      <w:r w:rsidRPr="008B41F0">
        <w:t>» est &gt; 3 semaines et &lt; 8 semaines.</w:t>
      </w:r>
    </w:p>
    <w:p w14:paraId="73E94BCF" w14:textId="77777777" w:rsidR="008B41F0" w:rsidRPr="008B41F0" w:rsidRDefault="008B41F0" w:rsidP="008B41F0">
      <w:pPr>
        <w:spacing w:line="276" w:lineRule="auto"/>
      </w:pPr>
    </w:p>
    <w:p w14:paraId="580E296D" w14:textId="77777777" w:rsidR="008B41F0" w:rsidRPr="008B41F0" w:rsidRDefault="008B41F0" w:rsidP="008B41F0">
      <w:pPr>
        <w:spacing w:line="276" w:lineRule="auto"/>
      </w:pPr>
      <w:r w:rsidRPr="008B41F0">
        <w:t>Toux aiguë : le plus souvent secondaire aux infections respiratoires hautes d’origine virale et s’améliore spontanément en l’espace de 3 semaines. Aucune exploration n’est nécessaire. Aucun traitement n’a démontré d’efficacité dans des études randomisées bien construites.</w:t>
      </w:r>
    </w:p>
    <w:p w14:paraId="27CF6D40" w14:textId="325823B9" w:rsidR="00E22E24" w:rsidRPr="008B41F0" w:rsidRDefault="008B41F0" w:rsidP="008B41F0">
      <w:pPr>
        <w:spacing w:line="276" w:lineRule="auto"/>
      </w:pPr>
      <w:r w:rsidRPr="008B41F0">
        <w:t>Toux chronique : toux qui va nécessiter une prise en charge spécifique, car elle ne s’améliorera pas spontanément. Les durées choisies ont pour but de séparer ces 2 entités.</w:t>
      </w:r>
    </w:p>
    <w:p w14:paraId="33BFAA82" w14:textId="77777777" w:rsidR="008B41F0" w:rsidRDefault="008B41F0" w:rsidP="008B41F0">
      <w:pPr>
        <w:spacing w:line="276" w:lineRule="auto"/>
      </w:pPr>
    </w:p>
    <w:p w14:paraId="24B24CB2" w14:textId="14E6C9C4" w:rsidR="00E22E24" w:rsidRDefault="00306201" w:rsidP="00E22E24">
      <w:pPr>
        <w:pStyle w:val="titredesous-partie"/>
      </w:pPr>
      <w:r>
        <w:rPr>
          <w:noProof/>
        </w:rPr>
        <w:drawing>
          <wp:anchor distT="0" distB="0" distL="114300" distR="114300" simplePos="0" relativeHeight="251736064" behindDoc="0" locked="0" layoutInCell="1" hidden="0" allowOverlap="1" wp14:anchorId="4D0CAD38" wp14:editId="7B49B928">
            <wp:simplePos x="0" y="0"/>
            <wp:positionH relativeFrom="column">
              <wp:posOffset>-261620</wp:posOffset>
            </wp:positionH>
            <wp:positionV relativeFrom="paragraph">
              <wp:posOffset>339090</wp:posOffset>
            </wp:positionV>
            <wp:extent cx="153670" cy="137160"/>
            <wp:effectExtent l="0" t="0" r="0" b="0"/>
            <wp:wrapSquare wrapText="bothSides" distT="0" distB="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E22E24">
        <w:t>PHYSIOPATHOLOGIE</w:t>
      </w:r>
    </w:p>
    <w:p w14:paraId="574FA777" w14:textId="7B29FD49" w:rsidR="00F75368" w:rsidRDefault="00F75368" w:rsidP="00F75368">
      <w:pPr>
        <w:spacing w:line="240" w:lineRule="auto"/>
        <w:rPr>
          <w:color w:val="0070C0"/>
        </w:rPr>
      </w:pPr>
      <w:r>
        <w:rPr>
          <w:color w:val="0070C0"/>
        </w:rPr>
        <w:t>Le réflexe de toux est présenté Figure 1.</w:t>
      </w:r>
    </w:p>
    <w:p w14:paraId="25D860AB" w14:textId="77777777" w:rsidR="00F75368" w:rsidRDefault="00F75368" w:rsidP="00F75368">
      <w:pPr>
        <w:spacing w:line="240" w:lineRule="auto"/>
        <w:rPr>
          <w:color w:val="0070C0"/>
        </w:rPr>
      </w:pPr>
    </w:p>
    <w:p w14:paraId="79013937" w14:textId="77777777" w:rsidR="00F75368" w:rsidRDefault="00F75368" w:rsidP="00F75368">
      <w:pPr>
        <w:spacing w:line="240" w:lineRule="auto"/>
        <w:rPr>
          <w:color w:val="0070C0"/>
        </w:rPr>
      </w:pPr>
      <w:r>
        <w:rPr>
          <w:color w:val="0070C0"/>
        </w:rPr>
        <w:t>Il existe 2 types de neurorécepteurs sensoriels à la toux dans les voies respiratoires hautes et basses :</w:t>
      </w:r>
    </w:p>
    <w:p w14:paraId="3EFCDC8E" w14:textId="77777777" w:rsidR="00F75368" w:rsidRDefault="00F75368" w:rsidP="00F75368">
      <w:pPr>
        <w:spacing w:line="240" w:lineRule="auto"/>
        <w:rPr>
          <w:color w:val="0070C0"/>
        </w:rPr>
      </w:pPr>
      <w:r>
        <w:rPr>
          <w:color w:val="0070C0"/>
        </w:rPr>
        <w:t>- Les nocicepteurs qui détectent les irritants chimiques. Les nocicepteurs tels que les récepteurs aux fibres C sont retrouvés dans le larynx, la trachée, les bronches et les parois alvéolaires et sont associés aux fibres C non myélinisées conduisant lentement l’influx nerveux.</w:t>
      </w:r>
    </w:p>
    <w:p w14:paraId="05A60AE2" w14:textId="77777777" w:rsidR="00F75368" w:rsidRDefault="00F75368" w:rsidP="00F75368">
      <w:pPr>
        <w:spacing w:line="240" w:lineRule="auto"/>
        <w:rPr>
          <w:color w:val="0070C0"/>
        </w:rPr>
      </w:pPr>
      <w:r>
        <w:rPr>
          <w:color w:val="0070C0"/>
        </w:rPr>
        <w:t>- Les mécanorécepteurs sont sensibles aux stimuli mécaniques. Certains tels que les récepteurs d’adaptation rapide (RARs) se trouvent dans le larynx, la trachée et les bronches proximales et transmettent des signaux conduits le long des fibres myélinisées (Aδ) à vitesse rapide.</w:t>
      </w:r>
    </w:p>
    <w:p w14:paraId="4DFC24AB" w14:textId="77777777" w:rsidR="00F75368" w:rsidRDefault="00F75368" w:rsidP="00F75368">
      <w:pPr>
        <w:spacing w:line="240" w:lineRule="auto"/>
        <w:rPr>
          <w:color w:val="0070C0"/>
        </w:rPr>
      </w:pPr>
    </w:p>
    <w:p w14:paraId="5D17802C" w14:textId="77777777" w:rsidR="00F75368" w:rsidRDefault="00F75368" w:rsidP="00F75368">
      <w:pPr>
        <w:spacing w:line="240" w:lineRule="auto"/>
        <w:rPr>
          <w:color w:val="0070C0"/>
        </w:rPr>
      </w:pPr>
      <w:r>
        <w:rPr>
          <w:color w:val="0070C0"/>
        </w:rPr>
        <w:t>Les voies afférentes des récepteurs des voies aériennes convergent via le nerf vague jusqu’au noyau solitaire (nucleus tractus solitari) situé dans le tronc cérébral. Le noyau solitaire est connecté aux neurones respiratoires situés dans les centres respiratoires qui coordonnent la réponse efférente de la toux jusqu’aux muscles respiratoires, au larynx et aux bronches.</w:t>
      </w:r>
    </w:p>
    <w:p w14:paraId="699CFFD5" w14:textId="77777777" w:rsidR="00F75368" w:rsidRDefault="00F75368" w:rsidP="00F75368">
      <w:pPr>
        <w:spacing w:line="240" w:lineRule="auto"/>
        <w:rPr>
          <w:color w:val="0070C0"/>
        </w:rPr>
      </w:pPr>
    </w:p>
    <w:p w14:paraId="470F8524" w14:textId="77777777" w:rsidR="00F75368" w:rsidRDefault="00F75368" w:rsidP="00F75368">
      <w:pPr>
        <w:spacing w:line="240" w:lineRule="auto"/>
        <w:rPr>
          <w:color w:val="0070C0"/>
        </w:rPr>
      </w:pPr>
      <w:r>
        <w:rPr>
          <w:color w:val="0070C0"/>
        </w:rPr>
        <w:t>La toux peut également être contrôlée par le cortex cérébral et il existe une commande volontaire pour inhiber ou activer la toux.</w:t>
      </w:r>
    </w:p>
    <w:p w14:paraId="39738C19" w14:textId="77777777" w:rsidR="00F75368" w:rsidRDefault="00F75368" w:rsidP="00F75368">
      <w:pPr>
        <w:rPr>
          <w:b/>
          <w:bCs/>
          <w:color w:val="0070C0"/>
        </w:rPr>
      </w:pPr>
    </w:p>
    <w:p w14:paraId="20D262A4" w14:textId="77777777" w:rsidR="00F75368" w:rsidRDefault="00F75368" w:rsidP="00306201">
      <w:pPr>
        <w:pStyle w:val="lgende"/>
      </w:pPr>
      <w:r>
        <w:t>Figure 1 : Mécanisme physiopathologique de la toux.</w:t>
      </w:r>
    </w:p>
    <w:p w14:paraId="421EF2F6" w14:textId="77777777" w:rsidR="00F75368" w:rsidRDefault="00F75368" w:rsidP="00306201">
      <w:pPr>
        <w:pBdr>
          <w:top w:val="nil"/>
          <w:left w:val="nil"/>
          <w:bottom w:val="nil"/>
          <w:right w:val="nil"/>
          <w:between w:val="nil"/>
        </w:pBdr>
        <w:spacing w:line="276" w:lineRule="auto"/>
        <w:jc w:val="center"/>
        <w:rPr>
          <w:rFonts w:ascii="Arial" w:eastAsia="Arial" w:hAnsi="Arial" w:cs="Arial"/>
          <w:sz w:val="18"/>
          <w:szCs w:val="18"/>
        </w:rPr>
      </w:pPr>
      <w:r>
        <w:rPr>
          <w:noProof/>
        </w:rPr>
        <w:lastRenderedPageBreak/>
        <w:drawing>
          <wp:inline distT="0" distB="0" distL="0" distR="0" wp14:anchorId="08DCBE88" wp14:editId="17861C89">
            <wp:extent cx="5341620" cy="3693795"/>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5341620" cy="3693795"/>
                    </a:xfrm>
                    <a:prstGeom prst="rect">
                      <a:avLst/>
                    </a:prstGeom>
                    <a:ln/>
                  </pic:spPr>
                </pic:pic>
              </a:graphicData>
            </a:graphic>
          </wp:inline>
        </w:drawing>
      </w:r>
    </w:p>
    <w:p w14:paraId="63928FEA" w14:textId="77777777" w:rsidR="00306201" w:rsidRDefault="00306201" w:rsidP="00306201">
      <w:pPr>
        <w:pBdr>
          <w:top w:val="nil"/>
          <w:left w:val="nil"/>
          <w:bottom w:val="nil"/>
          <w:right w:val="nil"/>
          <w:between w:val="nil"/>
        </w:pBdr>
        <w:spacing w:line="276" w:lineRule="auto"/>
        <w:jc w:val="center"/>
        <w:rPr>
          <w:rFonts w:ascii="Arial" w:eastAsia="Arial" w:hAnsi="Arial" w:cs="Arial"/>
          <w:sz w:val="18"/>
          <w:szCs w:val="18"/>
        </w:rPr>
      </w:pPr>
    </w:p>
    <w:p w14:paraId="1F00C4C2" w14:textId="2FD46021" w:rsidR="00306201" w:rsidRPr="00306201" w:rsidRDefault="00306201" w:rsidP="00306201">
      <w:pPr>
        <w:pStyle w:val="Titre2"/>
        <w:numPr>
          <w:ilvl w:val="0"/>
          <w:numId w:val="0"/>
        </w:numPr>
        <w:rPr>
          <w:sz w:val="22"/>
          <w:szCs w:val="22"/>
          <w:u w:val="single"/>
        </w:rPr>
      </w:pPr>
      <w:r w:rsidRPr="00306201">
        <w:rPr>
          <w:sz w:val="22"/>
          <w:szCs w:val="22"/>
          <w:u w:val="single"/>
        </w:rPr>
        <w:t>Partie 1 : TOUX AIGUË (TOUX ≤ 3 SEMAINES) (DE L’ADULTE</w:t>
      </w:r>
      <w:r w:rsidRPr="00306201">
        <w:rPr>
          <w:sz w:val="22"/>
          <w:szCs w:val="22"/>
        </w:rPr>
        <w:t>)</w:t>
      </w:r>
    </w:p>
    <w:p w14:paraId="7B637155" w14:textId="35692D6F" w:rsidR="00F75368" w:rsidRDefault="00F75368" w:rsidP="00F75368">
      <w:pPr>
        <w:rPr>
          <w:b/>
          <w:bCs/>
          <w:u w:val="single"/>
        </w:rPr>
      </w:pPr>
      <w:r>
        <w:rPr>
          <w:b/>
          <w:bCs/>
          <w:u w:val="single"/>
        </w:rPr>
        <w:t>Étiologies</w:t>
      </w:r>
    </w:p>
    <w:p w14:paraId="30FFBE52" w14:textId="77777777" w:rsidR="00F75368" w:rsidRDefault="00F75368" w:rsidP="00F75368">
      <w:pPr>
        <w:ind w:left="6"/>
      </w:pPr>
      <w:r>
        <w:t>Lorsqu’elle est isolée, la toux est très majoritairement secondaire à des infections respiratoires hautes d’origine virale et s’améliore spontanément. Quand elle s’accompagne d’autres symptômes, la toux peut s’intégrer dans différents tableaux cliniques (Tableau 1).</w:t>
      </w:r>
    </w:p>
    <w:p w14:paraId="5E350DC1" w14:textId="77777777" w:rsidR="00F75368" w:rsidRDefault="00F75368" w:rsidP="00F75368">
      <w:pPr>
        <w:ind w:left="6"/>
      </w:pPr>
    </w:p>
    <w:p w14:paraId="345D8745" w14:textId="77777777" w:rsidR="00F75368" w:rsidRDefault="00F75368" w:rsidP="00306201">
      <w:pPr>
        <w:pStyle w:val="lgende"/>
      </w:pPr>
      <w:r>
        <w:t>Tableau 1 : Causes principales de toux aiguës chez l’adulte.</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72"/>
      </w:tblGrid>
      <w:tr w:rsidR="00F75368" w14:paraId="468B4851" w14:textId="77777777" w:rsidTr="00306201">
        <w:tc>
          <w:tcPr>
            <w:tcW w:w="9072" w:type="dxa"/>
          </w:tcPr>
          <w:p w14:paraId="031B39F6" w14:textId="77777777" w:rsidR="00F75368" w:rsidRDefault="00F75368" w:rsidP="00F44AC4">
            <w:pPr>
              <w:spacing w:line="240" w:lineRule="auto"/>
            </w:pPr>
            <w:r>
              <w:t>Infections respiratoires hautes+++ (rhinopharyngite aiguë)</w:t>
            </w:r>
          </w:p>
        </w:tc>
      </w:tr>
      <w:tr w:rsidR="00F75368" w14:paraId="16FA98DE" w14:textId="77777777" w:rsidTr="00306201">
        <w:tc>
          <w:tcPr>
            <w:tcW w:w="9072" w:type="dxa"/>
          </w:tcPr>
          <w:p w14:paraId="68621CDF" w14:textId="77777777" w:rsidR="00F75368" w:rsidRDefault="00F75368" w:rsidP="00F44AC4">
            <w:pPr>
              <w:spacing w:line="240" w:lineRule="auto"/>
            </w:pPr>
            <w:r>
              <w:t>Infections respiratoires basses (bronchite aiguë, plus rarement pneumonie)</w:t>
            </w:r>
          </w:p>
        </w:tc>
      </w:tr>
      <w:tr w:rsidR="00F75368" w14:paraId="414EFBA7" w14:textId="77777777" w:rsidTr="00306201">
        <w:tc>
          <w:tcPr>
            <w:tcW w:w="9072" w:type="dxa"/>
          </w:tcPr>
          <w:p w14:paraId="26C727CF" w14:textId="77777777" w:rsidR="00F75368" w:rsidRDefault="00F75368" w:rsidP="00F44AC4">
            <w:pPr>
              <w:spacing w:line="240" w:lineRule="auto"/>
            </w:pPr>
            <w:r>
              <w:t>Asthme</w:t>
            </w:r>
          </w:p>
        </w:tc>
      </w:tr>
      <w:tr w:rsidR="00F75368" w14:paraId="71F365B7" w14:textId="77777777" w:rsidTr="00306201">
        <w:tc>
          <w:tcPr>
            <w:tcW w:w="9072" w:type="dxa"/>
          </w:tcPr>
          <w:p w14:paraId="0E190C23" w14:textId="77777777" w:rsidR="00F75368" w:rsidRDefault="00F75368" w:rsidP="00F44AC4">
            <w:pPr>
              <w:spacing w:line="240" w:lineRule="auto"/>
            </w:pPr>
            <w:r>
              <w:t>BPCO</w:t>
            </w:r>
          </w:p>
        </w:tc>
      </w:tr>
      <w:tr w:rsidR="00F75368" w14:paraId="7C840003" w14:textId="77777777" w:rsidTr="00306201">
        <w:tc>
          <w:tcPr>
            <w:tcW w:w="9072" w:type="dxa"/>
          </w:tcPr>
          <w:p w14:paraId="219216DE" w14:textId="77777777" w:rsidR="00F75368" w:rsidRDefault="00F75368" w:rsidP="00F44AC4">
            <w:pPr>
              <w:spacing w:line="240" w:lineRule="auto"/>
            </w:pPr>
            <w:r>
              <w:t>Rhinosinusite aiguë</w:t>
            </w:r>
          </w:p>
        </w:tc>
      </w:tr>
      <w:tr w:rsidR="00F75368" w14:paraId="245505B8" w14:textId="77777777" w:rsidTr="00306201">
        <w:tc>
          <w:tcPr>
            <w:tcW w:w="9072" w:type="dxa"/>
          </w:tcPr>
          <w:p w14:paraId="6F016A39" w14:textId="77777777" w:rsidR="00F75368" w:rsidRDefault="00F75368" w:rsidP="00F44AC4">
            <w:pPr>
              <w:spacing w:line="240" w:lineRule="auto"/>
            </w:pPr>
            <w:r>
              <w:t>RGO</w:t>
            </w:r>
          </w:p>
        </w:tc>
      </w:tr>
      <w:tr w:rsidR="00F75368" w14:paraId="7B95DF2E" w14:textId="77777777" w:rsidTr="00306201">
        <w:tc>
          <w:tcPr>
            <w:tcW w:w="9072" w:type="dxa"/>
          </w:tcPr>
          <w:p w14:paraId="6CC924CE" w14:textId="77777777" w:rsidR="00F75368" w:rsidRDefault="00F75368" w:rsidP="00F44AC4">
            <w:pPr>
              <w:spacing w:line="240" w:lineRule="auto"/>
            </w:pPr>
            <w:r>
              <w:t>Insuffisance cardiaque gauche (rare)</w:t>
            </w:r>
          </w:p>
        </w:tc>
      </w:tr>
      <w:tr w:rsidR="00F75368" w14:paraId="7296E483" w14:textId="77777777" w:rsidTr="00306201">
        <w:tc>
          <w:tcPr>
            <w:tcW w:w="9072" w:type="dxa"/>
          </w:tcPr>
          <w:p w14:paraId="3F9FDABA" w14:textId="77777777" w:rsidR="00F75368" w:rsidRDefault="00F75368" w:rsidP="00F44AC4">
            <w:pPr>
              <w:spacing w:line="240" w:lineRule="auto"/>
            </w:pPr>
            <w:r>
              <w:t>Embolie pulmonaire (rare)</w:t>
            </w:r>
          </w:p>
        </w:tc>
      </w:tr>
      <w:tr w:rsidR="00F75368" w14:paraId="4928D986" w14:textId="77777777" w:rsidTr="00306201">
        <w:tc>
          <w:tcPr>
            <w:tcW w:w="9072" w:type="dxa"/>
          </w:tcPr>
          <w:p w14:paraId="21C978B7" w14:textId="77777777" w:rsidR="00F75368" w:rsidRDefault="00F75368" w:rsidP="00F44AC4">
            <w:pPr>
              <w:spacing w:line="240" w:lineRule="auto"/>
            </w:pPr>
            <w:r>
              <w:t>Pneumothorax et pleurésies (rare)</w:t>
            </w:r>
          </w:p>
        </w:tc>
      </w:tr>
    </w:tbl>
    <w:p w14:paraId="3F2DC9BD" w14:textId="77777777" w:rsidR="00F75368" w:rsidRDefault="00F75368" w:rsidP="00F75368"/>
    <w:p w14:paraId="742B9639" w14:textId="56E112FF" w:rsidR="00F75368" w:rsidRDefault="00306201" w:rsidP="00306201">
      <w:pPr>
        <w:pStyle w:val="titredepartie"/>
      </w:pPr>
      <w:r w:rsidRPr="00306201">
        <w:t>STRATÉGIE DIAGNOSTIQUE DEVANT UNE TOUX AIGUË DE L’ADULTE</w:t>
      </w:r>
    </w:p>
    <w:p w14:paraId="472EF607" w14:textId="77777777" w:rsidR="00F75368" w:rsidRDefault="00F75368" w:rsidP="00306201">
      <w:pPr>
        <w:pStyle w:val="titredesous-partie"/>
        <w:rPr>
          <w:i/>
          <w:iCs/>
        </w:rPr>
      </w:pPr>
      <w:r>
        <w:t xml:space="preserve">Motif de consultation/prise en charge </w:t>
      </w:r>
    </w:p>
    <w:p w14:paraId="6FA144FB" w14:textId="77777777" w:rsidR="00F75368" w:rsidRDefault="00F75368" w:rsidP="00F75368">
      <w:r>
        <w:t>Toux depuis moins de 3 semaines.</w:t>
      </w:r>
    </w:p>
    <w:p w14:paraId="18E0343E" w14:textId="77777777" w:rsidR="00F75368" w:rsidRDefault="00F75368" w:rsidP="00F75368"/>
    <w:p w14:paraId="6C40E718" w14:textId="77777777" w:rsidR="00F75368" w:rsidRDefault="00F75368" w:rsidP="00306201">
      <w:pPr>
        <w:pStyle w:val="titredesous-partie"/>
      </w:pPr>
      <w:r>
        <w:lastRenderedPageBreak/>
        <w:t>Terrain et ATCD</w:t>
      </w:r>
    </w:p>
    <w:p w14:paraId="10EE62E2" w14:textId="77777777" w:rsidR="00F75368" w:rsidRDefault="00F75368" w:rsidP="00F75368">
      <w:pPr>
        <w:pBdr>
          <w:top w:val="nil"/>
          <w:left w:val="nil"/>
          <w:bottom w:val="nil"/>
          <w:right w:val="nil"/>
          <w:between w:val="nil"/>
        </w:pBdr>
        <w:spacing w:line="276" w:lineRule="auto"/>
        <w:rPr>
          <w:b/>
          <w:bCs/>
        </w:rPr>
      </w:pPr>
      <w:r>
        <w:rPr>
          <w:b/>
          <w:bCs/>
        </w:rPr>
        <w:t>Le profil du patient (mode de vie, antécédents personnels et familiaux, traitements…) va aider à rechercher d’autres maladies respiratoires.</w:t>
      </w:r>
    </w:p>
    <w:p w14:paraId="24541F97" w14:textId="77777777" w:rsidR="00F75368" w:rsidRDefault="00F75368" w:rsidP="00F75368">
      <w:pPr>
        <w:rPr>
          <w:b/>
          <w:bCs/>
        </w:rPr>
      </w:pPr>
    </w:p>
    <w:p w14:paraId="4A4CB321" w14:textId="77777777" w:rsidR="00F75368" w:rsidRDefault="00F75368" w:rsidP="00306201">
      <w:pPr>
        <w:pStyle w:val="titredesous-partie"/>
      </w:pPr>
      <w:r>
        <w:t>Histoire de la maladie</w:t>
      </w:r>
    </w:p>
    <w:p w14:paraId="7B80D991" w14:textId="77777777" w:rsidR="00F75368" w:rsidRDefault="00F75368" w:rsidP="00F75368">
      <w:pPr>
        <w:rPr>
          <w:i/>
          <w:iCs/>
        </w:rPr>
      </w:pPr>
      <w:r>
        <w:t>L’installation est récente (&lt; 3 semaines), les circonstances d’installation peuvent être recherchées (contage viral par exemple).</w:t>
      </w:r>
    </w:p>
    <w:p w14:paraId="1927950D" w14:textId="77777777" w:rsidR="00F75368" w:rsidRDefault="00F75368" w:rsidP="00F75368">
      <w:pPr>
        <w:rPr>
          <w:b/>
          <w:bCs/>
        </w:rPr>
      </w:pPr>
    </w:p>
    <w:p w14:paraId="1E8DD37D" w14:textId="77777777" w:rsidR="00F75368" w:rsidRDefault="00F75368" w:rsidP="00306201">
      <w:pPr>
        <w:pStyle w:val="titredesous-partie"/>
      </w:pPr>
      <w:r>
        <w:t xml:space="preserve">Examen clinique </w:t>
      </w:r>
    </w:p>
    <w:p w14:paraId="41F72BFD" w14:textId="77777777" w:rsidR="00F75368" w:rsidRDefault="00F75368" w:rsidP="00F75368">
      <w:pPr>
        <w:pBdr>
          <w:top w:val="nil"/>
          <w:left w:val="nil"/>
          <w:bottom w:val="nil"/>
          <w:right w:val="nil"/>
          <w:between w:val="nil"/>
        </w:pBdr>
        <w:spacing w:line="276" w:lineRule="auto"/>
      </w:pPr>
      <w:r>
        <w:t>Interrogatoire sur les caractéristiques de la toux :</w:t>
      </w:r>
    </w:p>
    <w:p w14:paraId="425F70FC" w14:textId="77777777" w:rsidR="00F75368" w:rsidRDefault="00F75368" w:rsidP="00F75368">
      <w:pPr>
        <w:pBdr>
          <w:top w:val="nil"/>
          <w:left w:val="nil"/>
          <w:bottom w:val="nil"/>
          <w:right w:val="nil"/>
          <w:between w:val="nil"/>
        </w:pBdr>
        <w:spacing w:line="276" w:lineRule="auto"/>
      </w:pPr>
      <w:r>
        <w:t>- Symptômes associés.</w:t>
      </w:r>
    </w:p>
    <w:p w14:paraId="627E58D9" w14:textId="77777777" w:rsidR="00F75368" w:rsidRDefault="00F75368" w:rsidP="00F75368">
      <w:pPr>
        <w:pBdr>
          <w:top w:val="nil"/>
          <w:left w:val="nil"/>
          <w:bottom w:val="nil"/>
          <w:right w:val="nil"/>
          <w:between w:val="nil"/>
        </w:pBdr>
        <w:spacing w:line="276" w:lineRule="auto"/>
      </w:pPr>
      <w:r>
        <w:t>- Horaires.</w:t>
      </w:r>
    </w:p>
    <w:p w14:paraId="24236CDA" w14:textId="77777777" w:rsidR="00F75368" w:rsidRDefault="00F75368" w:rsidP="00F75368">
      <w:pPr>
        <w:pBdr>
          <w:top w:val="nil"/>
          <w:left w:val="nil"/>
          <w:bottom w:val="nil"/>
          <w:right w:val="nil"/>
          <w:between w:val="nil"/>
        </w:pBdr>
        <w:spacing w:line="276" w:lineRule="auto"/>
      </w:pPr>
      <w:r>
        <w:t>- Circonstances déclenchantes.</w:t>
      </w:r>
    </w:p>
    <w:p w14:paraId="7E13AFDF" w14:textId="77777777" w:rsidR="00F75368" w:rsidRDefault="00F75368" w:rsidP="00F75368">
      <w:pPr>
        <w:pBdr>
          <w:top w:val="nil"/>
          <w:left w:val="nil"/>
          <w:bottom w:val="nil"/>
          <w:right w:val="nil"/>
          <w:between w:val="nil"/>
        </w:pBdr>
        <w:spacing w:line="276" w:lineRule="auto"/>
      </w:pPr>
    </w:p>
    <w:p w14:paraId="544F058E" w14:textId="77777777" w:rsidR="00F75368" w:rsidRDefault="00F75368" w:rsidP="00F75368">
      <w:pPr>
        <w:pBdr>
          <w:top w:val="nil"/>
          <w:left w:val="nil"/>
          <w:bottom w:val="nil"/>
          <w:right w:val="nil"/>
          <w:between w:val="nil"/>
        </w:pBdr>
        <w:spacing w:line="276" w:lineRule="auto"/>
      </w:pPr>
      <w:r>
        <w:t>Examen clinique minutieux avec :</w:t>
      </w:r>
    </w:p>
    <w:p w14:paraId="7695090D" w14:textId="77777777" w:rsidR="00F75368" w:rsidRDefault="00F75368" w:rsidP="00F75368">
      <w:pPr>
        <w:pBdr>
          <w:top w:val="nil"/>
          <w:left w:val="nil"/>
          <w:bottom w:val="nil"/>
          <w:right w:val="nil"/>
          <w:between w:val="nil"/>
        </w:pBdr>
        <w:spacing w:line="276" w:lineRule="auto"/>
      </w:pPr>
      <w:r>
        <w:t>- Inspection des fosses nasales, des conduits auditifs et de la cavité buccale impérative à la recherche de toute anomalie.</w:t>
      </w:r>
    </w:p>
    <w:p w14:paraId="4E892A36" w14:textId="77777777" w:rsidR="00F75368" w:rsidRDefault="00F75368" w:rsidP="00F75368">
      <w:pPr>
        <w:pBdr>
          <w:top w:val="nil"/>
          <w:left w:val="nil"/>
          <w:bottom w:val="nil"/>
          <w:right w:val="nil"/>
          <w:between w:val="nil"/>
        </w:pBdr>
        <w:spacing w:line="276" w:lineRule="auto"/>
      </w:pPr>
      <w:r>
        <w:t>- Auscultation cardio-pulmonaire obligatoire.</w:t>
      </w:r>
    </w:p>
    <w:p w14:paraId="7F25486F" w14:textId="77777777" w:rsidR="00F75368" w:rsidRDefault="00F75368" w:rsidP="00F75368">
      <w:pPr>
        <w:pBdr>
          <w:top w:val="nil"/>
          <w:left w:val="nil"/>
          <w:bottom w:val="nil"/>
          <w:right w:val="nil"/>
          <w:between w:val="nil"/>
        </w:pBdr>
        <w:spacing w:line="276" w:lineRule="auto"/>
        <w:rPr>
          <w:b/>
          <w:bCs/>
        </w:rPr>
      </w:pPr>
    </w:p>
    <w:p w14:paraId="5458BCF7" w14:textId="77777777" w:rsidR="00F75368" w:rsidRDefault="00F75368" w:rsidP="00306201">
      <w:pPr>
        <w:pStyle w:val="titredesous-partie"/>
      </w:pPr>
      <w:r>
        <w:t>Examens complémentaires</w:t>
      </w:r>
    </w:p>
    <w:p w14:paraId="6B562645" w14:textId="77777777" w:rsidR="00F75368" w:rsidRDefault="00F75368" w:rsidP="00F75368">
      <w:pPr>
        <w:pBdr>
          <w:top w:val="nil"/>
          <w:left w:val="nil"/>
          <w:bottom w:val="nil"/>
          <w:right w:val="nil"/>
          <w:between w:val="nil"/>
        </w:pBdr>
        <w:spacing w:line="276" w:lineRule="auto"/>
      </w:pPr>
      <w:r>
        <w:t xml:space="preserve">Dans la très grande majorité des cas, la toux aiguë ne nécessite pas d’exploration complémentaire. </w:t>
      </w:r>
    </w:p>
    <w:p w14:paraId="63071D66" w14:textId="77777777" w:rsidR="00F75368" w:rsidRDefault="00F75368" w:rsidP="00F75368">
      <w:pPr>
        <w:pBdr>
          <w:top w:val="nil"/>
          <w:left w:val="nil"/>
          <w:bottom w:val="nil"/>
          <w:right w:val="nil"/>
          <w:between w:val="nil"/>
        </w:pBdr>
        <w:spacing w:line="276" w:lineRule="auto"/>
      </w:pPr>
    </w:p>
    <w:p w14:paraId="22FFC778" w14:textId="77777777" w:rsidR="00F75368" w:rsidRDefault="00F75368" w:rsidP="00F75368">
      <w:pPr>
        <w:pBdr>
          <w:top w:val="nil"/>
          <w:left w:val="nil"/>
          <w:bottom w:val="nil"/>
          <w:right w:val="nil"/>
          <w:between w:val="nil"/>
        </w:pBdr>
        <w:spacing w:line="276" w:lineRule="auto"/>
      </w:pPr>
      <w:r>
        <w:t>Une radiographie de thorax est à réaliser en cas d’examen physique anormal, notamment de bruits anormaux à l’auscultation (crépitants…).</w:t>
      </w:r>
    </w:p>
    <w:p w14:paraId="49941245" w14:textId="77777777" w:rsidR="00F75368" w:rsidRDefault="00F75368" w:rsidP="00F75368">
      <w:pPr>
        <w:pBdr>
          <w:top w:val="nil"/>
          <w:left w:val="nil"/>
          <w:bottom w:val="nil"/>
          <w:right w:val="nil"/>
          <w:between w:val="nil"/>
        </w:pBdr>
        <w:spacing w:line="276" w:lineRule="auto"/>
      </w:pPr>
      <w:r>
        <w:t>D’autres examens peuvent se discuter en cas de suspicion de pathologie sous-jacente autre qu’une infection respiratoire haute ou qu’une bronchite virale. Ces examens sont réalisés en fonction de la pathologie suspectée.</w:t>
      </w:r>
    </w:p>
    <w:p w14:paraId="508DCC70" w14:textId="77777777" w:rsidR="00F75368" w:rsidRDefault="00F75368" w:rsidP="00F75368">
      <w:pPr>
        <w:pBdr>
          <w:top w:val="nil"/>
          <w:left w:val="nil"/>
          <w:bottom w:val="nil"/>
          <w:right w:val="nil"/>
          <w:between w:val="nil"/>
        </w:pBdr>
        <w:spacing w:line="276" w:lineRule="auto"/>
        <w:rPr>
          <w:b/>
          <w:bCs/>
        </w:rPr>
      </w:pPr>
    </w:p>
    <w:p w14:paraId="218901BE" w14:textId="77777777" w:rsidR="00306201" w:rsidRDefault="00306201" w:rsidP="00306201">
      <w:pPr>
        <w:pStyle w:val="titredepartie"/>
      </w:pPr>
      <w:r w:rsidRPr="00306201">
        <w:t>TRAITEMENTS ET PRISE EN CHARGE</w:t>
      </w:r>
    </w:p>
    <w:p w14:paraId="7F8E5F71" w14:textId="091FBC57" w:rsidR="00F75368" w:rsidRPr="00306201" w:rsidRDefault="00F75368" w:rsidP="00306201">
      <w:pPr>
        <w:rPr>
          <w:color w:val="FFFFFF"/>
        </w:rPr>
      </w:pPr>
      <w:r>
        <w:t xml:space="preserve">En dehors d’infections bactériennes avérées, une antibiothérapie n’apporte aucun bénéfice pour le traitement de la toux aiguë et doit donc être évitée. </w:t>
      </w:r>
    </w:p>
    <w:p w14:paraId="13F071A8" w14:textId="77777777" w:rsidR="00F75368" w:rsidRDefault="00F75368" w:rsidP="00F75368">
      <w:pPr>
        <w:pBdr>
          <w:top w:val="nil"/>
          <w:left w:val="nil"/>
          <w:bottom w:val="nil"/>
          <w:right w:val="nil"/>
          <w:between w:val="nil"/>
        </w:pBdr>
        <w:spacing w:line="276" w:lineRule="auto"/>
        <w:rPr>
          <w:b/>
          <w:bCs/>
        </w:rPr>
      </w:pPr>
    </w:p>
    <w:p w14:paraId="0A44FA66" w14:textId="77777777" w:rsidR="00F75368" w:rsidRDefault="00F75368" w:rsidP="00F75368">
      <w:r>
        <w:t>Il n’y a pas lieu de prescrire un traitement antitussif.</w:t>
      </w:r>
    </w:p>
    <w:p w14:paraId="1346CFA8" w14:textId="77777777" w:rsidR="00F75368" w:rsidRDefault="00F75368" w:rsidP="00F75368"/>
    <w:p w14:paraId="1E992724" w14:textId="77777777" w:rsidR="00F75368" w:rsidRDefault="00F75368" w:rsidP="00F75368">
      <w:r>
        <w:t>Les traitements antitussifs (tableau 2) ou les expectorants ont un rapport bénéfice/risque faible. Les preuves scientifiques de leur efficacité restent à démontrer et les effets secondaires sont parfois importants (anaphylaxie sévère, effets neuropsychiatriques…). La balance bénéfice/risque n’est pas en faveur de la prescription de traitements antitussifs.</w:t>
      </w:r>
    </w:p>
    <w:p w14:paraId="747F5203" w14:textId="77777777" w:rsidR="00F75368" w:rsidRDefault="00F75368" w:rsidP="00F75368">
      <w:r>
        <w:rPr>
          <w:noProof/>
        </w:rPr>
        <w:drawing>
          <wp:anchor distT="0" distB="0" distL="114300" distR="114300" simplePos="0" relativeHeight="251737088" behindDoc="0" locked="0" layoutInCell="1" hidden="0" allowOverlap="1" wp14:anchorId="0F015EEE" wp14:editId="42A39BEA">
            <wp:simplePos x="0" y="0"/>
            <wp:positionH relativeFrom="column">
              <wp:posOffset>-235747</wp:posOffset>
            </wp:positionH>
            <wp:positionV relativeFrom="paragraph">
              <wp:posOffset>161925</wp:posOffset>
            </wp:positionV>
            <wp:extent cx="135890" cy="138430"/>
            <wp:effectExtent l="0" t="0" r="0" b="0"/>
            <wp:wrapSquare wrapText="bothSides" distT="0" distB="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p>
    <w:p w14:paraId="537A374C" w14:textId="77777777" w:rsidR="00F75368" w:rsidRDefault="00F75368" w:rsidP="00F75368">
      <w:pPr>
        <w:pBdr>
          <w:top w:val="nil"/>
          <w:left w:val="nil"/>
          <w:bottom w:val="nil"/>
          <w:right w:val="nil"/>
          <w:between w:val="nil"/>
        </w:pBdr>
        <w:spacing w:line="276" w:lineRule="auto"/>
        <w:rPr>
          <w:rFonts w:ascii="Arial" w:eastAsia="Arial" w:hAnsi="Arial" w:cs="Arial"/>
          <w:color w:val="00B050"/>
          <w:sz w:val="18"/>
          <w:szCs w:val="18"/>
        </w:rPr>
      </w:pPr>
      <w:r>
        <w:rPr>
          <w:rFonts w:ascii="Arial" w:eastAsia="Arial" w:hAnsi="Arial" w:cs="Arial"/>
          <w:color w:val="00B050"/>
          <w:sz w:val="18"/>
          <w:szCs w:val="18"/>
        </w:rPr>
        <w:t>Tableau 2 : Médicaments antitussifs.</w:t>
      </w: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6658"/>
        <w:gridCol w:w="2409"/>
      </w:tblGrid>
      <w:tr w:rsidR="00F75368" w14:paraId="66B15FBB" w14:textId="77777777" w:rsidTr="00306201">
        <w:tc>
          <w:tcPr>
            <w:tcW w:w="6658" w:type="dxa"/>
            <w:shd w:val="clear" w:color="auto" w:fill="00B050"/>
          </w:tcPr>
          <w:p w14:paraId="12A84258" w14:textId="77777777" w:rsidR="00F75368" w:rsidRDefault="00F75368" w:rsidP="00F44AC4">
            <w:pPr>
              <w:pBdr>
                <w:top w:val="nil"/>
                <w:left w:val="nil"/>
                <w:bottom w:val="nil"/>
                <w:right w:val="nil"/>
                <w:between w:val="nil"/>
              </w:pBdr>
              <w:spacing w:line="276" w:lineRule="auto"/>
              <w:jc w:val="center"/>
              <w:rPr>
                <w:rFonts w:ascii="Calibri" w:eastAsia="Calibri" w:hAnsi="Calibri" w:cs="Calibri"/>
                <w:b/>
                <w:bCs/>
                <w:color w:val="FFFFFF"/>
              </w:rPr>
            </w:pPr>
            <w:r>
              <w:rPr>
                <w:rFonts w:ascii="Calibri" w:eastAsia="Calibri" w:hAnsi="Calibri" w:cs="Calibri"/>
                <w:b/>
                <w:bCs/>
                <w:color w:val="FFFFFF"/>
              </w:rPr>
              <w:t>Action centrale</w:t>
            </w:r>
          </w:p>
        </w:tc>
        <w:tc>
          <w:tcPr>
            <w:tcW w:w="2409" w:type="dxa"/>
            <w:shd w:val="clear" w:color="auto" w:fill="00B050"/>
          </w:tcPr>
          <w:p w14:paraId="5C05D460" w14:textId="77777777" w:rsidR="00F75368" w:rsidRDefault="00F75368" w:rsidP="00F44AC4">
            <w:pPr>
              <w:pBdr>
                <w:top w:val="nil"/>
                <w:left w:val="nil"/>
                <w:bottom w:val="nil"/>
                <w:right w:val="nil"/>
                <w:between w:val="nil"/>
              </w:pBdr>
              <w:spacing w:line="276" w:lineRule="auto"/>
              <w:jc w:val="center"/>
              <w:rPr>
                <w:rFonts w:ascii="Calibri" w:eastAsia="Calibri" w:hAnsi="Calibri" w:cs="Calibri"/>
                <w:b/>
                <w:bCs/>
                <w:color w:val="FFFFFF"/>
              </w:rPr>
            </w:pPr>
            <w:r>
              <w:rPr>
                <w:rFonts w:ascii="Calibri" w:eastAsia="Calibri" w:hAnsi="Calibri" w:cs="Calibri"/>
                <w:b/>
                <w:bCs/>
                <w:color w:val="FFFFFF"/>
              </w:rPr>
              <w:t>Action périphérique</w:t>
            </w:r>
          </w:p>
        </w:tc>
      </w:tr>
      <w:tr w:rsidR="00F75368" w14:paraId="3658CA10" w14:textId="77777777" w:rsidTr="00306201">
        <w:tc>
          <w:tcPr>
            <w:tcW w:w="6658" w:type="dxa"/>
          </w:tcPr>
          <w:p w14:paraId="3DB2889D" w14:textId="77777777" w:rsidR="00F75368" w:rsidRDefault="00F75368" w:rsidP="00F44AC4">
            <w:pPr>
              <w:spacing w:line="276" w:lineRule="auto"/>
              <w:rPr>
                <w:rFonts w:ascii="Calibri" w:eastAsia="Calibri" w:hAnsi="Calibri" w:cs="Calibri"/>
                <w:color w:val="00B050"/>
              </w:rPr>
            </w:pPr>
            <w:r>
              <w:rPr>
                <w:rFonts w:ascii="Calibri" w:eastAsia="Calibri" w:hAnsi="Calibri" w:cs="Calibri"/>
                <w:color w:val="00B050"/>
              </w:rPr>
              <w:lastRenderedPageBreak/>
              <w:t>- Opiacés narcotiques : codéine, pholcodine</w:t>
            </w:r>
          </w:p>
          <w:p w14:paraId="052FB64C" w14:textId="77777777" w:rsidR="00F75368" w:rsidRDefault="00F75368" w:rsidP="00F44AC4">
            <w:pPr>
              <w:spacing w:line="276" w:lineRule="auto"/>
              <w:rPr>
                <w:rFonts w:ascii="Calibri" w:eastAsia="Calibri" w:hAnsi="Calibri" w:cs="Calibri"/>
                <w:color w:val="00B050"/>
              </w:rPr>
            </w:pPr>
            <w:r>
              <w:rPr>
                <w:rFonts w:ascii="Calibri" w:eastAsia="Calibri" w:hAnsi="Calibri" w:cs="Calibri"/>
                <w:color w:val="00B050"/>
              </w:rPr>
              <w:t>- Opiacés non narcotiques : dextrométhorphane, noscapine</w:t>
            </w:r>
          </w:p>
          <w:p w14:paraId="12712B1F" w14:textId="77777777" w:rsidR="00F75368" w:rsidRDefault="00F75368" w:rsidP="00F44AC4">
            <w:pPr>
              <w:spacing w:line="276" w:lineRule="auto"/>
              <w:rPr>
                <w:rFonts w:ascii="Calibri" w:eastAsia="Calibri" w:hAnsi="Calibri" w:cs="Calibri"/>
                <w:color w:val="00B050"/>
              </w:rPr>
            </w:pPr>
            <w:r>
              <w:rPr>
                <w:rFonts w:ascii="Calibri" w:eastAsia="Calibri" w:hAnsi="Calibri" w:cs="Calibri"/>
                <w:color w:val="00B050"/>
              </w:rPr>
              <w:t>- Anti-histaminiques : alimémazine, prométhazine</w:t>
            </w:r>
          </w:p>
          <w:p w14:paraId="1A900FDE" w14:textId="77777777" w:rsidR="00F75368" w:rsidRDefault="00F75368" w:rsidP="00F44AC4">
            <w:pPr>
              <w:pBdr>
                <w:top w:val="nil"/>
                <w:left w:val="nil"/>
                <w:bottom w:val="nil"/>
                <w:right w:val="nil"/>
                <w:between w:val="nil"/>
              </w:pBdr>
              <w:spacing w:line="276" w:lineRule="auto"/>
              <w:rPr>
                <w:rFonts w:ascii="Calibri" w:eastAsia="Calibri" w:hAnsi="Calibri" w:cs="Calibri"/>
                <w:color w:val="00B050"/>
              </w:rPr>
            </w:pPr>
            <w:r>
              <w:rPr>
                <w:rFonts w:ascii="Calibri" w:eastAsia="Calibri" w:hAnsi="Calibri" w:cs="Calibri"/>
                <w:color w:val="00B050"/>
              </w:rPr>
              <w:t>- Non opiacé, non anti-histaminiques : oxéladine, pentoxyverine, clobutinol</w:t>
            </w:r>
          </w:p>
        </w:tc>
        <w:tc>
          <w:tcPr>
            <w:tcW w:w="2409" w:type="dxa"/>
          </w:tcPr>
          <w:p w14:paraId="23BD75B1" w14:textId="77777777" w:rsidR="00F75368" w:rsidRDefault="00F75368" w:rsidP="00F44AC4">
            <w:pPr>
              <w:pBdr>
                <w:top w:val="nil"/>
                <w:left w:val="nil"/>
                <w:bottom w:val="nil"/>
                <w:right w:val="nil"/>
                <w:between w:val="nil"/>
              </w:pBdr>
              <w:spacing w:line="276" w:lineRule="auto"/>
              <w:jc w:val="left"/>
              <w:rPr>
                <w:rFonts w:ascii="Calibri" w:eastAsia="Calibri" w:hAnsi="Calibri" w:cs="Calibri"/>
                <w:color w:val="00B050"/>
              </w:rPr>
            </w:pPr>
            <w:r>
              <w:rPr>
                <w:rFonts w:ascii="Calibri" w:eastAsia="Calibri" w:hAnsi="Calibri" w:cs="Calibri"/>
                <w:color w:val="00B050"/>
              </w:rPr>
              <w:t>- Chlorhydrate d’amyléine, l’aconitine, le benzoate de Na</w:t>
            </w:r>
            <w:r>
              <w:rPr>
                <w:rFonts w:ascii="Calibri" w:eastAsia="Calibri" w:hAnsi="Calibri" w:cs="Calibri"/>
                <w:color w:val="00B050"/>
                <w:vertAlign w:val="superscript"/>
              </w:rPr>
              <w:t>+</w:t>
            </w:r>
          </w:p>
        </w:tc>
      </w:tr>
    </w:tbl>
    <w:p w14:paraId="074C9B96" w14:textId="77777777" w:rsidR="00F75368" w:rsidRDefault="00F75368" w:rsidP="00F75368">
      <w:pPr>
        <w:pBdr>
          <w:top w:val="nil"/>
          <w:left w:val="nil"/>
          <w:bottom w:val="nil"/>
          <w:right w:val="nil"/>
          <w:between w:val="nil"/>
        </w:pBdr>
        <w:spacing w:line="276" w:lineRule="auto"/>
        <w:rPr>
          <w:b/>
          <w:bCs/>
        </w:rPr>
      </w:pPr>
    </w:p>
    <w:p w14:paraId="20F97FD1" w14:textId="77777777" w:rsidR="00F75368" w:rsidRDefault="00F75368" w:rsidP="00F75368">
      <w:r>
        <w:t>Si le patient est fumeur, c’est toujours une occasion de rappeler la nocivité de la cigarette et de mettre tout en œuvre pour un arrêt définitif du tabac.</w:t>
      </w:r>
    </w:p>
    <w:p w14:paraId="1EA942DB" w14:textId="77777777" w:rsidR="00F75368" w:rsidRDefault="00F75368" w:rsidP="00F75368"/>
    <w:p w14:paraId="5E767B70" w14:textId="77777777" w:rsidR="00F75368" w:rsidRDefault="00F75368" w:rsidP="00F75368">
      <w:r>
        <w:t xml:space="preserve">Il est, quoi qu’il en soit, important d’organiser un suivi à 4-6 semaines afin de s’assurer de la disparition de la toux. </w:t>
      </w:r>
    </w:p>
    <w:p w14:paraId="026A5427" w14:textId="77777777" w:rsidR="00F75368" w:rsidRDefault="00F75368" w:rsidP="00F75368">
      <w:pPr>
        <w:rPr>
          <w:b/>
          <w:bCs/>
          <w:smallCaps/>
        </w:rPr>
      </w:pPr>
    </w:p>
    <w:p w14:paraId="43D8B50C" w14:textId="59B69101" w:rsidR="00F75368" w:rsidRPr="00306201" w:rsidRDefault="00306201" w:rsidP="00F75368">
      <w:pPr>
        <w:rPr>
          <w:b/>
          <w:bCs/>
          <w:sz w:val="22"/>
          <w:szCs w:val="22"/>
          <w:u w:val="single"/>
        </w:rPr>
      </w:pPr>
      <w:r w:rsidRPr="00306201">
        <w:rPr>
          <w:b/>
          <w:bCs/>
          <w:sz w:val="22"/>
          <w:szCs w:val="22"/>
          <w:u w:val="single"/>
        </w:rPr>
        <w:t>Partie 2 : TOUX CHRONIQUE (TOUX ≥ 8 SEMAINES) DE L’ADULTE</w:t>
      </w:r>
    </w:p>
    <w:p w14:paraId="6BA65956" w14:textId="77777777" w:rsidR="00F75368" w:rsidRDefault="00F75368" w:rsidP="00F75368"/>
    <w:p w14:paraId="02D6B539" w14:textId="16863B03" w:rsidR="00F75368" w:rsidRDefault="00306201" w:rsidP="00306201">
      <w:pPr>
        <w:pStyle w:val="titredepartie"/>
      </w:pPr>
      <w:r w:rsidRPr="00306201">
        <w:t>STRATÉGIE DIAGNOSTIQUE DEVANT UNE TOUX CHRONIQUE DE L’ADULTE</w:t>
      </w:r>
    </w:p>
    <w:p w14:paraId="01F301F6" w14:textId="77777777" w:rsidR="00F75368" w:rsidRDefault="00F75368" w:rsidP="00306201">
      <w:pPr>
        <w:pStyle w:val="titredesous-partie"/>
        <w:rPr>
          <w:i/>
          <w:iCs/>
        </w:rPr>
      </w:pPr>
      <w:r>
        <w:t>MOTIF DE CONSULTATION/PRISE EN CHARGE</w:t>
      </w:r>
      <w:r>
        <w:rPr>
          <w:i/>
          <w:iCs/>
        </w:rPr>
        <w:t xml:space="preserve"> </w:t>
      </w:r>
    </w:p>
    <w:p w14:paraId="629EDAF6" w14:textId="77777777" w:rsidR="00F75368" w:rsidRDefault="00F75368" w:rsidP="00F75368">
      <w:r>
        <w:t>Toux depuis plus de 8 semaines.</w:t>
      </w:r>
    </w:p>
    <w:p w14:paraId="034300BC" w14:textId="77777777" w:rsidR="00F75368" w:rsidRDefault="00F75368" w:rsidP="00F75368"/>
    <w:p w14:paraId="3C7FD150" w14:textId="77777777" w:rsidR="00F75368" w:rsidRDefault="00F75368" w:rsidP="00306201">
      <w:pPr>
        <w:pStyle w:val="titredesous-partie"/>
      </w:pPr>
      <w:r>
        <w:t>TERRAIN ET ATCD</w:t>
      </w:r>
    </w:p>
    <w:p w14:paraId="0E8DB991" w14:textId="77777777" w:rsidR="00F75368" w:rsidRDefault="00F75368" w:rsidP="00F75368">
      <w:pPr>
        <w:pBdr>
          <w:top w:val="nil"/>
          <w:left w:val="nil"/>
          <w:bottom w:val="nil"/>
          <w:right w:val="nil"/>
          <w:between w:val="nil"/>
        </w:pBdr>
        <w:spacing w:line="276" w:lineRule="auto"/>
        <w:rPr>
          <w:b/>
          <w:bCs/>
        </w:rPr>
      </w:pPr>
      <w:r>
        <w:rPr>
          <w:b/>
          <w:bCs/>
        </w:rPr>
        <w:t>Le profil du patient (mode de vie, antécédents personnels et familiaux, traitements…) va aider à rechercher d’autres maladies respiratoires.</w:t>
      </w:r>
    </w:p>
    <w:p w14:paraId="6E14AF70" w14:textId="77777777" w:rsidR="00F75368" w:rsidRDefault="00F75368" w:rsidP="00F75368">
      <w:r>
        <w:t>La recherche d’une intoxication tabagique est nécessaire.</w:t>
      </w:r>
    </w:p>
    <w:p w14:paraId="2A9B4BA2" w14:textId="77777777" w:rsidR="00F75368" w:rsidRDefault="00F75368" w:rsidP="00F75368">
      <w:r>
        <w:t>Les traitements entrepris dans le passé et leur efficacité sont importants à noter.</w:t>
      </w:r>
    </w:p>
    <w:p w14:paraId="22B147B7" w14:textId="77777777" w:rsidR="00F75368" w:rsidRDefault="00F75368" w:rsidP="00F75368">
      <w:pPr>
        <w:rPr>
          <w:b/>
          <w:bCs/>
        </w:rPr>
      </w:pPr>
    </w:p>
    <w:p w14:paraId="0619045C" w14:textId="77777777" w:rsidR="00F75368" w:rsidRDefault="00F75368" w:rsidP="00306201">
      <w:pPr>
        <w:pStyle w:val="titredesous-partie"/>
      </w:pPr>
      <w:r>
        <w:t>HISTOIRE DE LA MALADIE</w:t>
      </w:r>
    </w:p>
    <w:p w14:paraId="08C8FED7" w14:textId="77777777" w:rsidR="00F75368" w:rsidRDefault="00F75368" w:rsidP="00F75368">
      <w:r>
        <w:t xml:space="preserve">L’installation peut être </w:t>
      </w:r>
      <w:sdt>
        <w:sdtPr>
          <w:tag w:val="goog_rdk_7"/>
          <w:id w:val="1107239349"/>
        </w:sdtPr>
        <w:sdtContent/>
      </w:sdt>
      <w:r>
        <w:t>récente (</w:t>
      </w:r>
      <w:r w:rsidRPr="00DB192A">
        <w:rPr>
          <w:u w:val="single"/>
        </w:rPr>
        <w:t>mais sur 8 semaines au moins</w:t>
      </w:r>
      <w:r>
        <w:t>), les circonstances d’installation peuvent être recherchées.</w:t>
      </w:r>
    </w:p>
    <w:p w14:paraId="21E5212D" w14:textId="77777777" w:rsidR="00F75368" w:rsidRDefault="00F75368" w:rsidP="00F75368">
      <w:pPr>
        <w:rPr>
          <w:i/>
          <w:iCs/>
        </w:rPr>
      </w:pPr>
    </w:p>
    <w:p w14:paraId="6E366F1F" w14:textId="77777777" w:rsidR="00F75368" w:rsidRDefault="00F75368" w:rsidP="00306201">
      <w:pPr>
        <w:pStyle w:val="titredesous-partie"/>
      </w:pPr>
      <w:r>
        <w:t>EXAMEN CLINIQUE</w:t>
      </w:r>
    </w:p>
    <w:p w14:paraId="3951E5CF" w14:textId="77777777" w:rsidR="00F75368" w:rsidRDefault="00F75368" w:rsidP="00306201">
      <w:pPr>
        <w:pBdr>
          <w:top w:val="nil"/>
          <w:left w:val="nil"/>
          <w:bottom w:val="nil"/>
          <w:right w:val="nil"/>
          <w:between w:val="nil"/>
        </w:pBdr>
        <w:spacing w:after="240"/>
        <w:jc w:val="left"/>
        <w:rPr>
          <w:b/>
          <w:bCs/>
        </w:rPr>
      </w:pPr>
      <w:r>
        <w:rPr>
          <w:b/>
          <w:bCs/>
          <w:u w:val="single"/>
        </w:rPr>
        <w:t>Signes fonctionnels</w:t>
      </w:r>
    </w:p>
    <w:p w14:paraId="15E9FF42" w14:textId="77777777" w:rsidR="00F75368" w:rsidRDefault="00F75368" w:rsidP="00F75368">
      <w:r>
        <w:t>L’interrogatoire est primordial pour bien caractériser la toux et le profil du patient. Les éléments sont :</w:t>
      </w:r>
    </w:p>
    <w:p w14:paraId="4CF23E46" w14:textId="77777777" w:rsidR="00F75368" w:rsidRDefault="00F75368" w:rsidP="00F75368">
      <w:pPr>
        <w:spacing w:line="276" w:lineRule="auto"/>
      </w:pPr>
      <w:r>
        <w:rPr>
          <w:b/>
          <w:bCs/>
        </w:rPr>
        <w:t>- Durée</w:t>
      </w:r>
      <w:r>
        <w:t xml:space="preserve"> pour s’assurer qu’il s’agisse bien d’une toux chronique.</w:t>
      </w:r>
    </w:p>
    <w:p w14:paraId="044BDF39" w14:textId="77777777" w:rsidR="00F75368" w:rsidRDefault="00F75368" w:rsidP="00F75368">
      <w:pPr>
        <w:spacing w:line="276" w:lineRule="auto"/>
      </w:pPr>
      <w:r>
        <w:t xml:space="preserve">- </w:t>
      </w:r>
      <w:r>
        <w:rPr>
          <w:b/>
          <w:bCs/>
        </w:rPr>
        <w:t>Sèche ou productive</w:t>
      </w:r>
      <w:r>
        <w:t>. Une toux productive oriente vers une BPCO ou une dilatation des bronches.</w:t>
      </w:r>
    </w:p>
    <w:p w14:paraId="6DBF2E60" w14:textId="77777777" w:rsidR="00F75368" w:rsidRDefault="00F75368" w:rsidP="00F75368">
      <w:pPr>
        <w:spacing w:line="276" w:lineRule="auto"/>
      </w:pPr>
      <w:r>
        <w:rPr>
          <w:b/>
          <w:bCs/>
        </w:rPr>
        <w:t>- Diurne ou nocturne</w:t>
      </w:r>
      <w:r>
        <w:t>. Une toux nocturne oriente vers un asthme ou un RGO, une toux uniquement diurne oriente vers une toux par excès de sensibilité (cf. infra).</w:t>
      </w:r>
    </w:p>
    <w:p w14:paraId="5A62FA35" w14:textId="77777777" w:rsidR="00F75368" w:rsidRDefault="00F75368" w:rsidP="00F75368">
      <w:pPr>
        <w:spacing w:line="276" w:lineRule="auto"/>
      </w:pPr>
      <w:r>
        <w:t xml:space="preserve">- </w:t>
      </w:r>
      <w:r>
        <w:rPr>
          <w:b/>
          <w:bCs/>
        </w:rPr>
        <w:t>Facteurs déclenchants</w:t>
      </w:r>
      <w:r>
        <w:t xml:space="preserve"> (odeurs, position, parfum, spray, changement de température, rire, parole)</w:t>
      </w:r>
    </w:p>
    <w:p w14:paraId="22259B4C" w14:textId="77777777" w:rsidR="00F75368" w:rsidRDefault="00F75368" w:rsidP="00F75368">
      <w:pPr>
        <w:spacing w:line="276" w:lineRule="auto"/>
      </w:pPr>
      <w:r>
        <w:rPr>
          <w:b/>
          <w:bCs/>
        </w:rPr>
        <w:t>- Signes associés</w:t>
      </w:r>
      <w:r>
        <w:t> : pyrosis orientant vers un RGO, jetage/écoulement/rhinorrhée postérieur orientant vers une rhinosinusite chronique (aussi appelé syndrome de toux d’origine des voies aériennes supérieures (STOVAS)), hemmage/dysphonie/déclenchement à la parole oriente vers une origine laryngée.</w:t>
      </w:r>
    </w:p>
    <w:p w14:paraId="17C3767F" w14:textId="77777777" w:rsidR="00F75368" w:rsidRDefault="00F75368" w:rsidP="00F75368">
      <w:pPr>
        <w:spacing w:line="276" w:lineRule="auto"/>
      </w:pPr>
      <w:r>
        <w:rPr>
          <w:b/>
          <w:bCs/>
        </w:rPr>
        <w:lastRenderedPageBreak/>
        <w:t>- Complications</w:t>
      </w:r>
      <w:r>
        <w:t xml:space="preserve"> (Tableau 3) : dominées par le handicap social important lié au fait que les patients ne peuvent plus se rendre dans des lieux publics ou chez des proches à cause de ce symptôme bruyant. Un retentissement psychologique est également présent et la toux ne doit jamais être négligée par le médecin, même en l’absence de pathologies graves.</w:t>
      </w:r>
    </w:p>
    <w:p w14:paraId="40A5AF58" w14:textId="77777777" w:rsidR="00F75368" w:rsidRDefault="00F75368" w:rsidP="00F75368">
      <w:pPr>
        <w:spacing w:line="276" w:lineRule="auto"/>
      </w:pPr>
    </w:p>
    <w:p w14:paraId="2F448834" w14:textId="77777777" w:rsidR="00F75368" w:rsidRDefault="00F75368" w:rsidP="00306201">
      <w:pPr>
        <w:pStyle w:val="lgende"/>
      </w:pPr>
      <w:r>
        <w:t>Tableau 3 : Complications de la toux chronique.</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4395"/>
        <w:gridCol w:w="4677"/>
      </w:tblGrid>
      <w:tr w:rsidR="00F75368" w:rsidRPr="001C54DE" w14:paraId="12E09B9E" w14:textId="77777777" w:rsidTr="00306201">
        <w:tc>
          <w:tcPr>
            <w:tcW w:w="4395" w:type="dxa"/>
            <w:tcBorders>
              <w:right w:val="nil"/>
            </w:tcBorders>
          </w:tcPr>
          <w:p w14:paraId="732A066F" w14:textId="77777777" w:rsidR="00F75368" w:rsidRPr="001C54DE" w:rsidRDefault="00F75368" w:rsidP="00F44AC4">
            <w:pPr>
              <w:pBdr>
                <w:top w:val="nil"/>
                <w:left w:val="nil"/>
                <w:bottom w:val="nil"/>
                <w:right w:val="nil"/>
                <w:between w:val="nil"/>
              </w:pBdr>
              <w:spacing w:line="220" w:lineRule="auto"/>
              <w:jc w:val="left"/>
              <w:rPr>
                <w:rFonts w:ascii="Calibri" w:eastAsia="Calibri" w:hAnsi="Calibri" w:cs="Calibri"/>
              </w:rPr>
            </w:pPr>
            <w:r w:rsidRPr="001C54DE">
              <w:rPr>
                <w:rFonts w:ascii="Calibri" w:eastAsia="Calibri" w:hAnsi="Calibri" w:cs="Calibri"/>
                <w:b/>
                <w:bCs/>
              </w:rPr>
              <w:t>Physiques </w:t>
            </w:r>
            <w:r w:rsidRPr="001C54DE">
              <w:rPr>
                <w:rFonts w:ascii="Calibri" w:eastAsia="Calibri" w:hAnsi="Calibri" w:cs="Calibri"/>
              </w:rPr>
              <w:t>:</w:t>
            </w:r>
          </w:p>
          <w:p w14:paraId="2E45BE78" w14:textId="77777777" w:rsidR="00F75368" w:rsidRPr="001C54DE" w:rsidRDefault="00F75368" w:rsidP="00F75368">
            <w:pPr>
              <w:numPr>
                <w:ilvl w:val="0"/>
                <w:numId w:val="42"/>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Troubles du sommeil (toux nocturne)</w:t>
            </w:r>
          </w:p>
          <w:p w14:paraId="44A8DC08" w14:textId="77777777" w:rsidR="00F75368" w:rsidRPr="001C54DE" w:rsidRDefault="00F75368" w:rsidP="00F75368">
            <w:pPr>
              <w:numPr>
                <w:ilvl w:val="0"/>
                <w:numId w:val="42"/>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Fatigue</w:t>
            </w:r>
          </w:p>
          <w:p w14:paraId="1D0E01F7" w14:textId="77777777" w:rsidR="00F75368" w:rsidRPr="001C54DE" w:rsidRDefault="00F75368" w:rsidP="00F75368">
            <w:pPr>
              <w:numPr>
                <w:ilvl w:val="0"/>
                <w:numId w:val="42"/>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Céphalées</w:t>
            </w:r>
          </w:p>
          <w:p w14:paraId="3D6E1927" w14:textId="77777777" w:rsidR="00F75368" w:rsidRPr="001C54DE" w:rsidRDefault="00F75368" w:rsidP="00F75368">
            <w:pPr>
              <w:numPr>
                <w:ilvl w:val="0"/>
                <w:numId w:val="42"/>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Fractures de côtes</w:t>
            </w:r>
          </w:p>
        </w:tc>
        <w:tc>
          <w:tcPr>
            <w:tcW w:w="4677" w:type="dxa"/>
            <w:tcBorders>
              <w:left w:val="nil"/>
            </w:tcBorders>
          </w:tcPr>
          <w:p w14:paraId="43C7BE64" w14:textId="77777777" w:rsidR="00F75368" w:rsidRPr="001C54DE" w:rsidRDefault="00F75368" w:rsidP="00F44AC4">
            <w:pPr>
              <w:pBdr>
                <w:top w:val="nil"/>
                <w:left w:val="nil"/>
                <w:bottom w:val="nil"/>
                <w:right w:val="nil"/>
                <w:between w:val="nil"/>
              </w:pBdr>
              <w:spacing w:line="220" w:lineRule="auto"/>
              <w:ind w:left="113"/>
              <w:jc w:val="left"/>
              <w:rPr>
                <w:rFonts w:ascii="Calibri" w:eastAsia="Calibri" w:hAnsi="Calibri" w:cs="Calibri"/>
              </w:rPr>
            </w:pPr>
          </w:p>
          <w:p w14:paraId="60DFD845" w14:textId="77777777" w:rsidR="00F75368" w:rsidRPr="001C54DE" w:rsidRDefault="00F75368" w:rsidP="00F75368">
            <w:pPr>
              <w:numPr>
                <w:ilvl w:val="0"/>
                <w:numId w:val="42"/>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Hernie inguinale</w:t>
            </w:r>
          </w:p>
          <w:p w14:paraId="0678B606" w14:textId="77777777" w:rsidR="00F75368" w:rsidRPr="001C54DE" w:rsidRDefault="00F75368" w:rsidP="00F75368">
            <w:pPr>
              <w:numPr>
                <w:ilvl w:val="0"/>
                <w:numId w:val="42"/>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Reflux gastro-œsophagien</w:t>
            </w:r>
          </w:p>
          <w:p w14:paraId="5FEBA752" w14:textId="77777777" w:rsidR="00F75368" w:rsidRPr="001C54DE" w:rsidRDefault="00F75368" w:rsidP="00F75368">
            <w:pPr>
              <w:numPr>
                <w:ilvl w:val="0"/>
                <w:numId w:val="42"/>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Vomissements</w:t>
            </w:r>
          </w:p>
          <w:p w14:paraId="6E7ED5E5" w14:textId="77777777" w:rsidR="00F75368" w:rsidRPr="001C54DE" w:rsidRDefault="00F75368" w:rsidP="00F75368">
            <w:pPr>
              <w:numPr>
                <w:ilvl w:val="0"/>
                <w:numId w:val="42"/>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Incontinence urinaire+++ (2/3 des femmes)</w:t>
            </w:r>
          </w:p>
        </w:tc>
      </w:tr>
      <w:tr w:rsidR="00F75368" w:rsidRPr="001C54DE" w14:paraId="2AB55049" w14:textId="77777777" w:rsidTr="00306201">
        <w:tc>
          <w:tcPr>
            <w:tcW w:w="9072" w:type="dxa"/>
            <w:gridSpan w:val="2"/>
          </w:tcPr>
          <w:p w14:paraId="4DBEC5C1" w14:textId="77777777" w:rsidR="00F75368" w:rsidRPr="001C54DE" w:rsidRDefault="00F75368" w:rsidP="00F44AC4">
            <w:pPr>
              <w:pBdr>
                <w:top w:val="nil"/>
                <w:left w:val="nil"/>
                <w:bottom w:val="nil"/>
                <w:right w:val="nil"/>
                <w:between w:val="nil"/>
              </w:pBdr>
              <w:spacing w:line="220" w:lineRule="auto"/>
              <w:jc w:val="left"/>
              <w:rPr>
                <w:rFonts w:ascii="Calibri" w:eastAsia="Calibri" w:hAnsi="Calibri" w:cs="Calibri"/>
                <w:b/>
                <w:bCs/>
              </w:rPr>
            </w:pPr>
            <w:r w:rsidRPr="001C54DE">
              <w:rPr>
                <w:rFonts w:ascii="Calibri" w:eastAsia="Calibri" w:hAnsi="Calibri" w:cs="Calibri"/>
                <w:b/>
                <w:bCs/>
              </w:rPr>
              <w:t>Sociales+++</w:t>
            </w:r>
          </w:p>
        </w:tc>
      </w:tr>
      <w:tr w:rsidR="00F75368" w:rsidRPr="001C54DE" w14:paraId="5EF1980F" w14:textId="77777777" w:rsidTr="00306201">
        <w:tc>
          <w:tcPr>
            <w:tcW w:w="9072" w:type="dxa"/>
            <w:gridSpan w:val="2"/>
          </w:tcPr>
          <w:p w14:paraId="08D5CBD3" w14:textId="77777777" w:rsidR="00F75368" w:rsidRPr="001C54DE" w:rsidRDefault="00F75368" w:rsidP="00F44AC4">
            <w:pPr>
              <w:pBdr>
                <w:top w:val="nil"/>
                <w:left w:val="nil"/>
                <w:bottom w:val="nil"/>
                <w:right w:val="nil"/>
                <w:between w:val="nil"/>
              </w:pBdr>
              <w:spacing w:line="220" w:lineRule="auto"/>
              <w:jc w:val="left"/>
              <w:rPr>
                <w:rFonts w:ascii="Calibri" w:eastAsia="Calibri" w:hAnsi="Calibri" w:cs="Calibri"/>
              </w:rPr>
            </w:pPr>
            <w:r w:rsidRPr="001C54DE">
              <w:rPr>
                <w:rFonts w:ascii="Calibri" w:eastAsia="Calibri" w:hAnsi="Calibri" w:cs="Calibri"/>
                <w:b/>
                <w:bCs/>
              </w:rPr>
              <w:t>Psychologiques+++</w:t>
            </w:r>
            <w:r w:rsidRPr="001C54DE">
              <w:rPr>
                <w:rFonts w:ascii="Calibri" w:eastAsia="Calibri" w:hAnsi="Calibri" w:cs="Calibri"/>
              </w:rPr>
              <w:t> :</w:t>
            </w:r>
          </w:p>
          <w:p w14:paraId="0CF92630" w14:textId="77777777" w:rsidR="00F75368" w:rsidRPr="001C54DE" w:rsidRDefault="00F75368" w:rsidP="00F75368">
            <w:pPr>
              <w:numPr>
                <w:ilvl w:val="0"/>
                <w:numId w:val="43"/>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Dépression</w:t>
            </w:r>
          </w:p>
          <w:p w14:paraId="4D3AAC52" w14:textId="77777777" w:rsidR="00F75368" w:rsidRPr="001C54DE" w:rsidRDefault="00F75368" w:rsidP="00F75368">
            <w:pPr>
              <w:numPr>
                <w:ilvl w:val="0"/>
                <w:numId w:val="43"/>
              </w:numPr>
              <w:pBdr>
                <w:top w:val="nil"/>
                <w:left w:val="nil"/>
                <w:bottom w:val="nil"/>
                <w:right w:val="nil"/>
                <w:between w:val="nil"/>
              </w:pBdr>
              <w:spacing w:line="220" w:lineRule="auto"/>
              <w:ind w:left="113" w:hanging="113"/>
              <w:jc w:val="left"/>
              <w:rPr>
                <w:rFonts w:ascii="Calibri" w:eastAsia="Calibri" w:hAnsi="Calibri" w:cs="Calibri"/>
              </w:rPr>
            </w:pPr>
            <w:r w:rsidRPr="001C54DE">
              <w:rPr>
                <w:rFonts w:ascii="Calibri" w:eastAsia="Calibri" w:hAnsi="Calibri" w:cs="Calibri"/>
              </w:rPr>
              <w:t>Anxiété</w:t>
            </w:r>
          </w:p>
        </w:tc>
      </w:tr>
    </w:tbl>
    <w:p w14:paraId="75636238" w14:textId="77777777" w:rsidR="00F75368" w:rsidRDefault="00F75368" w:rsidP="00F75368"/>
    <w:p w14:paraId="00BBF855" w14:textId="77777777" w:rsidR="00F75368" w:rsidRDefault="00F75368" w:rsidP="00306201">
      <w:pPr>
        <w:pBdr>
          <w:top w:val="nil"/>
          <w:left w:val="nil"/>
          <w:bottom w:val="nil"/>
          <w:right w:val="nil"/>
          <w:between w:val="nil"/>
        </w:pBdr>
        <w:spacing w:after="240"/>
        <w:jc w:val="left"/>
        <w:rPr>
          <w:b/>
          <w:bCs/>
          <w:u w:val="single"/>
        </w:rPr>
      </w:pPr>
      <w:r>
        <w:rPr>
          <w:b/>
          <w:bCs/>
          <w:u w:val="single"/>
        </w:rPr>
        <w:t>Signes physiques</w:t>
      </w:r>
    </w:p>
    <w:p w14:paraId="46327D44" w14:textId="77777777" w:rsidR="00F75368" w:rsidRDefault="00F75368" w:rsidP="00F75368">
      <w:pPr>
        <w:ind w:left="6"/>
      </w:pPr>
      <w:r>
        <w:t>Un examen physique minutieux avec une auscultation cardio-pulmonaire est indispensable notamment à la recherche de crépitants secs pouvant orienter vers une pneumonie interstitielle diffuse.</w:t>
      </w:r>
    </w:p>
    <w:p w14:paraId="19FC6FE0" w14:textId="77777777" w:rsidR="00F75368" w:rsidRDefault="00F75368" w:rsidP="00F75368">
      <w:pPr>
        <w:ind w:left="6"/>
      </w:pPr>
    </w:p>
    <w:p w14:paraId="045C9EF9" w14:textId="77777777" w:rsidR="00F75368" w:rsidRDefault="00F75368" w:rsidP="00306201">
      <w:pPr>
        <w:pStyle w:val="titredesous-partie"/>
      </w:pPr>
      <w:r>
        <w:t>EXAMENS COMPLÉMENTAIRES</w:t>
      </w:r>
    </w:p>
    <w:p w14:paraId="704B6B94" w14:textId="77777777" w:rsidR="00F75368" w:rsidRDefault="00F75368" w:rsidP="00F75368">
      <w:pPr>
        <w:ind w:left="6"/>
      </w:pPr>
      <w:r>
        <w:rPr>
          <w:b/>
          <w:bCs/>
        </w:rPr>
        <w:t>Une radiographie de thorax et une spirométrie sont systématiques dans un contexte de toux chronique</w:t>
      </w:r>
      <w:r>
        <w:t>.</w:t>
      </w:r>
    </w:p>
    <w:p w14:paraId="186B04A7" w14:textId="77777777" w:rsidR="00F75368" w:rsidRDefault="00F75368" w:rsidP="00F75368">
      <w:pPr>
        <w:ind w:left="6"/>
      </w:pPr>
    </w:p>
    <w:p w14:paraId="5C9E461F" w14:textId="77777777" w:rsidR="00F75368" w:rsidRDefault="00F75368" w:rsidP="00F75368">
      <w:pPr>
        <w:ind w:left="6"/>
      </w:pPr>
      <w:r>
        <w:rPr>
          <w:u w:val="single"/>
        </w:rPr>
        <w:t>Pas d’indication systématique</w:t>
      </w:r>
      <w:r>
        <w:t xml:space="preserve"> à faire de </w:t>
      </w:r>
      <w:r>
        <w:rPr>
          <w:u w:val="single"/>
        </w:rPr>
        <w:t>scanner thoracique</w:t>
      </w:r>
      <w:r>
        <w:t xml:space="preserve"> dans un contexte d’examen clinique normal, de radiographie de thorax normale et d’absence de facteurs de risque de cancer bronchique.</w:t>
      </w:r>
    </w:p>
    <w:p w14:paraId="3EF4E9BB" w14:textId="77777777" w:rsidR="00F75368" w:rsidRDefault="00F75368" w:rsidP="00F75368"/>
    <w:p w14:paraId="54B775F0" w14:textId="77777777" w:rsidR="00F75368" w:rsidRDefault="00F75368" w:rsidP="00306201">
      <w:pPr>
        <w:pBdr>
          <w:top w:val="nil"/>
          <w:left w:val="nil"/>
          <w:bottom w:val="nil"/>
          <w:right w:val="nil"/>
          <w:between w:val="nil"/>
        </w:pBdr>
        <w:spacing w:after="240"/>
        <w:jc w:val="left"/>
        <w:rPr>
          <w:b/>
          <w:bCs/>
          <w:u w:val="single"/>
        </w:rPr>
      </w:pPr>
      <w:r>
        <w:rPr>
          <w:b/>
          <w:bCs/>
          <w:u w:val="single"/>
        </w:rPr>
        <w:t xml:space="preserve">Étiologies </w:t>
      </w:r>
    </w:p>
    <w:p w14:paraId="1D344B36" w14:textId="58C9B0F2" w:rsidR="00F75368" w:rsidRDefault="00F75368" w:rsidP="00F75368">
      <w:pPr>
        <w:pBdr>
          <w:top w:val="nil"/>
          <w:left w:val="nil"/>
          <w:bottom w:val="nil"/>
          <w:right w:val="nil"/>
          <w:between w:val="nil"/>
        </w:pBdr>
        <w:spacing w:line="276" w:lineRule="auto"/>
      </w:pPr>
      <w:r>
        <w:t>Les étiologies de la toux chronique de l’adulte se décomposent en causes fréquentes à rechercher en 1</w:t>
      </w:r>
      <w:r>
        <w:rPr>
          <w:vertAlign w:val="superscript"/>
        </w:rPr>
        <w:t>re</w:t>
      </w:r>
      <w:r>
        <w:t xml:space="preserve"> intention et en causes plus rares à rechercher en 2</w:t>
      </w:r>
      <w:r>
        <w:rPr>
          <w:vertAlign w:val="superscript"/>
        </w:rPr>
        <w:t>e</w:t>
      </w:r>
      <w:r>
        <w:t xml:space="preserve"> intention en fonction des signes associés et du terrain (Tableau 4). L’interrogatoire est majeur+++.</w:t>
      </w:r>
    </w:p>
    <w:p w14:paraId="7A3613FB" w14:textId="77777777" w:rsidR="00F75368" w:rsidRDefault="00F75368" w:rsidP="00F75368">
      <w:pPr>
        <w:pBdr>
          <w:top w:val="nil"/>
          <w:left w:val="nil"/>
          <w:bottom w:val="nil"/>
          <w:right w:val="nil"/>
          <w:between w:val="nil"/>
        </w:pBdr>
        <w:spacing w:line="276" w:lineRule="auto"/>
        <w:rPr>
          <w:b/>
          <w:bCs/>
        </w:rPr>
      </w:pPr>
    </w:p>
    <w:p w14:paraId="07A97B53" w14:textId="6D4A4666" w:rsidR="00F75368" w:rsidRDefault="00F75368" w:rsidP="00306201">
      <w:pPr>
        <w:pStyle w:val="lgende"/>
      </w:pPr>
      <w:r>
        <w:t xml:space="preserve">Tableau 4 : Étiologies des toux chroniques de </w:t>
      </w:r>
      <w:r w:rsidR="00306201" w:rsidRPr="00306201">
        <w:t>l’adulte.</w:t>
      </w: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2093"/>
        <w:gridCol w:w="6974"/>
      </w:tblGrid>
      <w:tr w:rsidR="00F75368" w14:paraId="7AFE14C7" w14:textId="77777777" w:rsidTr="00306201">
        <w:tc>
          <w:tcPr>
            <w:tcW w:w="2093" w:type="dxa"/>
            <w:shd w:val="clear" w:color="auto" w:fill="D1D1D1" w:themeFill="background2" w:themeFillShade="E6"/>
            <w:vAlign w:val="center"/>
          </w:tcPr>
          <w:p w14:paraId="0BECCB70" w14:textId="77777777" w:rsidR="00F75368" w:rsidRPr="00306201" w:rsidRDefault="00F75368" w:rsidP="00F44AC4">
            <w:pPr>
              <w:spacing w:line="240" w:lineRule="auto"/>
              <w:jc w:val="center"/>
              <w:rPr>
                <w:rFonts w:ascii="Calibri" w:eastAsia="Calibri" w:hAnsi="Calibri" w:cs="Calibri"/>
                <w:b/>
                <w:bCs/>
                <w:color w:val="000000" w:themeColor="text1"/>
              </w:rPr>
            </w:pPr>
            <w:r w:rsidRPr="00306201">
              <w:rPr>
                <w:rFonts w:ascii="Calibri" w:eastAsia="Calibri" w:hAnsi="Calibri" w:cs="Calibri"/>
                <w:b/>
                <w:bCs/>
                <w:color w:val="000000" w:themeColor="text1"/>
              </w:rPr>
              <w:t>Toux primitives</w:t>
            </w:r>
          </w:p>
        </w:tc>
        <w:tc>
          <w:tcPr>
            <w:tcW w:w="6974" w:type="dxa"/>
          </w:tcPr>
          <w:p w14:paraId="16454894" w14:textId="77777777" w:rsidR="00F75368" w:rsidRDefault="00F75368" w:rsidP="00F44AC4">
            <w:pPr>
              <w:spacing w:line="240" w:lineRule="auto"/>
              <w:rPr>
                <w:rFonts w:ascii="Calibri" w:eastAsia="Calibri" w:hAnsi="Calibri" w:cs="Calibri"/>
              </w:rPr>
            </w:pPr>
            <w:r>
              <w:rPr>
                <w:rFonts w:ascii="Calibri" w:eastAsia="Calibri" w:hAnsi="Calibri" w:cs="Calibri"/>
              </w:rPr>
              <w:t>Syndrome de toux par excès de sensibilité</w:t>
            </w:r>
          </w:p>
        </w:tc>
      </w:tr>
      <w:tr w:rsidR="00F75368" w14:paraId="6E0E148B" w14:textId="77777777" w:rsidTr="00306201">
        <w:tc>
          <w:tcPr>
            <w:tcW w:w="2093" w:type="dxa"/>
            <w:shd w:val="clear" w:color="auto" w:fill="D1D1D1" w:themeFill="background2" w:themeFillShade="E6"/>
            <w:vAlign w:val="center"/>
          </w:tcPr>
          <w:p w14:paraId="00700D49" w14:textId="77777777" w:rsidR="00F75368" w:rsidRPr="00306201" w:rsidRDefault="00F75368" w:rsidP="00F44AC4">
            <w:pPr>
              <w:spacing w:line="240" w:lineRule="auto"/>
              <w:jc w:val="center"/>
              <w:rPr>
                <w:rFonts w:ascii="Calibri" w:eastAsia="Calibri" w:hAnsi="Calibri" w:cs="Calibri"/>
                <w:b/>
                <w:bCs/>
                <w:color w:val="000000" w:themeColor="text1"/>
              </w:rPr>
            </w:pPr>
            <w:r w:rsidRPr="00306201">
              <w:rPr>
                <w:rFonts w:ascii="Calibri" w:eastAsia="Calibri" w:hAnsi="Calibri" w:cs="Calibri"/>
                <w:b/>
                <w:bCs/>
                <w:color w:val="000000" w:themeColor="text1"/>
              </w:rPr>
              <w:t>Toux secondaires</w:t>
            </w:r>
          </w:p>
        </w:tc>
        <w:tc>
          <w:tcPr>
            <w:tcW w:w="6974" w:type="dxa"/>
          </w:tcPr>
          <w:p w14:paraId="65BA47B7" w14:textId="77777777" w:rsidR="00F75368" w:rsidRDefault="00F75368" w:rsidP="00F44AC4">
            <w:pPr>
              <w:spacing w:line="240" w:lineRule="auto"/>
              <w:rPr>
                <w:rFonts w:ascii="Calibri" w:eastAsia="Calibri" w:hAnsi="Calibri" w:cs="Calibri"/>
              </w:rPr>
            </w:pPr>
            <w:r>
              <w:rPr>
                <w:rFonts w:ascii="Calibri" w:eastAsia="Calibri" w:hAnsi="Calibri" w:cs="Calibri"/>
                <w:u w:val="single"/>
              </w:rPr>
              <w:t>Étiologies fréquentes</w:t>
            </w:r>
            <w:r>
              <w:rPr>
                <w:rFonts w:ascii="Calibri" w:eastAsia="Calibri" w:hAnsi="Calibri" w:cs="Calibri"/>
              </w:rPr>
              <w:t> :</w:t>
            </w:r>
          </w:p>
          <w:p w14:paraId="365E190A"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Syndrome de toux des voies aériennes supérieures (atteintes rhinosinusiennes).</w:t>
            </w:r>
          </w:p>
          <w:p w14:paraId="52F3669B"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Asthme.</w:t>
            </w:r>
          </w:p>
          <w:p w14:paraId="5EB41735"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Reflux gastro-</w:t>
            </w:r>
            <w:r>
              <w:rPr>
                <w:rFonts w:ascii="Calibri" w:eastAsia="Calibri" w:hAnsi="Calibri" w:cs="Calibri"/>
                <w:sz w:val="18"/>
                <w:szCs w:val="18"/>
              </w:rPr>
              <w:t>œ</w:t>
            </w:r>
            <w:r>
              <w:rPr>
                <w:rFonts w:ascii="Calibri" w:eastAsia="Calibri" w:hAnsi="Calibri" w:cs="Calibri"/>
              </w:rPr>
              <w:t>sophagien acide ou non-acide.</w:t>
            </w:r>
          </w:p>
          <w:p w14:paraId="3DEB305C"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Médicaments (inhibiteurs de l’enzyme de conversion, gliptine).</w:t>
            </w:r>
          </w:p>
          <w:p w14:paraId="02AB06AD"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Broncho-pneumopathie chronique obstructive (BPCO).</w:t>
            </w:r>
          </w:p>
          <w:p w14:paraId="762BD8BC"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Bronchite à éosinophiles non-asthmatique.</w:t>
            </w:r>
          </w:p>
          <w:p w14:paraId="0B26A5DB" w14:textId="77777777" w:rsidR="00F75368" w:rsidRDefault="00F75368" w:rsidP="00F44AC4">
            <w:pPr>
              <w:pBdr>
                <w:top w:val="nil"/>
                <w:left w:val="nil"/>
                <w:bottom w:val="nil"/>
                <w:right w:val="nil"/>
                <w:between w:val="nil"/>
              </w:pBdr>
              <w:ind w:left="720"/>
              <w:rPr>
                <w:rFonts w:ascii="Calibri" w:eastAsia="Calibri" w:hAnsi="Calibri" w:cs="Calibri"/>
              </w:rPr>
            </w:pPr>
          </w:p>
          <w:p w14:paraId="64B568D8" w14:textId="77777777" w:rsidR="00F75368" w:rsidRDefault="00F75368" w:rsidP="00F44AC4">
            <w:pPr>
              <w:spacing w:line="240" w:lineRule="auto"/>
              <w:rPr>
                <w:rFonts w:ascii="Calibri" w:eastAsia="Calibri" w:hAnsi="Calibri" w:cs="Calibri"/>
              </w:rPr>
            </w:pPr>
            <w:r>
              <w:rPr>
                <w:rFonts w:ascii="Calibri" w:eastAsia="Calibri" w:hAnsi="Calibri" w:cs="Calibri"/>
                <w:u w:val="single"/>
              </w:rPr>
              <w:t>Étiologies moins fréquentes</w:t>
            </w:r>
            <w:r>
              <w:rPr>
                <w:rFonts w:ascii="Calibri" w:eastAsia="Calibri" w:hAnsi="Calibri" w:cs="Calibri"/>
              </w:rPr>
              <w:t> :</w:t>
            </w:r>
          </w:p>
          <w:p w14:paraId="1E841FB5"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Fibrose pulmonaire idiopathique.</w:t>
            </w:r>
          </w:p>
          <w:p w14:paraId="4DC1122F"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Pneumonie interstitielle diffuse.</w:t>
            </w:r>
          </w:p>
          <w:p w14:paraId="02E36E18"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Sarcoïdose.</w:t>
            </w:r>
          </w:p>
          <w:p w14:paraId="6A033A1A" w14:textId="77777777" w:rsidR="00F75368" w:rsidRDefault="00F75368" w:rsidP="00F44AC4">
            <w:pPr>
              <w:spacing w:line="240" w:lineRule="auto"/>
              <w:jc w:val="left"/>
              <w:rPr>
                <w:rFonts w:ascii="Calibri" w:eastAsia="Calibri" w:hAnsi="Calibri" w:cs="Calibri"/>
              </w:rPr>
            </w:pPr>
            <w:r>
              <w:rPr>
                <w:rFonts w:ascii="Calibri" w:eastAsia="Calibri" w:hAnsi="Calibri" w:cs="Calibri"/>
              </w:rPr>
              <w:lastRenderedPageBreak/>
              <w:t>- Cancer bronchique.</w:t>
            </w:r>
          </w:p>
          <w:p w14:paraId="18D8D7CF"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Dilatation des bronches.</w:t>
            </w:r>
          </w:p>
          <w:p w14:paraId="51DBDAF1"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Syndrome d’apnée du sommeil.</w:t>
            </w:r>
          </w:p>
          <w:p w14:paraId="7A6B38F9"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Causes cardiaques (insuffisance cardiaque gauche).</w:t>
            </w:r>
          </w:p>
          <w:p w14:paraId="7E759819"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Causes neurologiques, troubles de la déglutition.</w:t>
            </w:r>
          </w:p>
          <w:p w14:paraId="0058E9CD" w14:textId="77777777" w:rsidR="00F75368" w:rsidRDefault="00F75368" w:rsidP="00F44AC4">
            <w:pPr>
              <w:spacing w:line="240" w:lineRule="auto"/>
              <w:jc w:val="left"/>
              <w:rPr>
                <w:rFonts w:ascii="Calibri" w:eastAsia="Calibri" w:hAnsi="Calibri" w:cs="Calibri"/>
              </w:rPr>
            </w:pPr>
            <w:r>
              <w:rPr>
                <w:rFonts w:ascii="Calibri" w:eastAsia="Calibri" w:hAnsi="Calibri" w:cs="Calibri"/>
              </w:rPr>
              <w:t>- Toux psychogène (contexte psychiatrique souvent associé).</w:t>
            </w:r>
          </w:p>
        </w:tc>
      </w:tr>
    </w:tbl>
    <w:p w14:paraId="2D3705BF" w14:textId="77777777" w:rsidR="00F75368" w:rsidRDefault="00F75368" w:rsidP="00F75368">
      <w:pPr>
        <w:pBdr>
          <w:top w:val="nil"/>
          <w:left w:val="nil"/>
          <w:bottom w:val="nil"/>
          <w:right w:val="nil"/>
          <w:between w:val="nil"/>
        </w:pBdr>
        <w:spacing w:line="276" w:lineRule="auto"/>
        <w:rPr>
          <w:b/>
          <w:bCs/>
        </w:rPr>
      </w:pPr>
    </w:p>
    <w:p w14:paraId="791B4AE9" w14:textId="526BFF2C" w:rsidR="00306201" w:rsidRDefault="00306201" w:rsidP="00306201">
      <w:pPr>
        <w:pStyle w:val="titredepartie"/>
        <w:rPr>
          <w:color w:val="000000"/>
        </w:rPr>
      </w:pPr>
      <w:r w:rsidRPr="00306201">
        <w:t>TRAITEMENTS ET PRISE EN CHARGE (FIGURE 2)</w:t>
      </w:r>
    </w:p>
    <w:p w14:paraId="7671593F" w14:textId="77777777" w:rsidR="00F75368" w:rsidRDefault="00F75368" w:rsidP="00F75368">
      <w:pPr>
        <w:numPr>
          <w:ilvl w:val="0"/>
          <w:numId w:val="45"/>
        </w:numPr>
        <w:spacing w:line="240" w:lineRule="auto"/>
        <w:ind w:left="284" w:hanging="284"/>
      </w:pPr>
      <w:r>
        <w:t>Rechercher les éléments</w:t>
      </w:r>
      <w:r>
        <w:rPr>
          <w:b/>
          <w:bCs/>
        </w:rPr>
        <w:t xml:space="preserve"> d’orientation diagnostique ou </w:t>
      </w:r>
      <w:r>
        <w:t xml:space="preserve">des signes de </w:t>
      </w:r>
      <w:r>
        <w:rPr>
          <w:b/>
          <w:bCs/>
        </w:rPr>
        <w:t>gravité</w:t>
      </w:r>
      <w:r>
        <w:t xml:space="preserve"> (Tableau 5). En cas de suspicion de cancer bronchique, un scanner thoracique doit être pratiqué.</w:t>
      </w:r>
    </w:p>
    <w:p w14:paraId="7579B6CD" w14:textId="77777777" w:rsidR="00F75368" w:rsidRDefault="00F75368" w:rsidP="00F75368">
      <w:pPr>
        <w:pBdr>
          <w:top w:val="nil"/>
          <w:left w:val="nil"/>
          <w:bottom w:val="nil"/>
          <w:right w:val="nil"/>
          <w:between w:val="nil"/>
        </w:pBdr>
        <w:spacing w:line="276" w:lineRule="auto"/>
        <w:rPr>
          <w:b/>
          <w:bCs/>
        </w:rPr>
      </w:pPr>
    </w:p>
    <w:p w14:paraId="5966CC7C" w14:textId="77777777" w:rsidR="00F75368" w:rsidRDefault="00F75368" w:rsidP="00306201">
      <w:pPr>
        <w:pStyle w:val="lgende"/>
      </w:pPr>
      <w:r>
        <w:t>Tableau 5 : Signes de gravité de la toux.</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72"/>
      </w:tblGrid>
      <w:tr w:rsidR="00F75368" w14:paraId="3093244B" w14:textId="77777777" w:rsidTr="00306201">
        <w:trPr>
          <w:trHeight w:val="673"/>
        </w:trPr>
        <w:tc>
          <w:tcPr>
            <w:tcW w:w="9072" w:type="dxa"/>
          </w:tcPr>
          <w:p w14:paraId="57BF8E2E" w14:textId="77777777" w:rsidR="00F75368" w:rsidRDefault="00F75368" w:rsidP="00F44AC4">
            <w:pPr>
              <w:spacing w:line="240" w:lineRule="auto"/>
              <w:rPr>
                <w:rFonts w:ascii="Calibri" w:eastAsia="Calibri" w:hAnsi="Calibri" w:cs="Calibri"/>
              </w:rPr>
            </w:pPr>
            <w:r>
              <w:rPr>
                <w:rFonts w:ascii="Calibri" w:eastAsia="Calibri" w:hAnsi="Calibri" w:cs="Calibri"/>
              </w:rPr>
              <w:t>- Altération de l’état général.</w:t>
            </w:r>
          </w:p>
          <w:p w14:paraId="6ABE7272" w14:textId="77777777" w:rsidR="00F75368" w:rsidRDefault="00F75368" w:rsidP="00F44AC4">
            <w:pPr>
              <w:spacing w:line="240" w:lineRule="auto"/>
              <w:rPr>
                <w:rFonts w:ascii="Calibri" w:eastAsia="Calibri" w:hAnsi="Calibri" w:cs="Calibri"/>
              </w:rPr>
            </w:pPr>
            <w:r>
              <w:rPr>
                <w:rFonts w:ascii="Calibri" w:eastAsia="Calibri" w:hAnsi="Calibri" w:cs="Calibri"/>
              </w:rPr>
              <w:t>- Dyspnée d’effort.</w:t>
            </w:r>
          </w:p>
          <w:p w14:paraId="2739634C" w14:textId="77777777" w:rsidR="00F75368" w:rsidRDefault="00F75368" w:rsidP="00F44AC4">
            <w:pPr>
              <w:spacing w:line="240" w:lineRule="auto"/>
              <w:rPr>
                <w:rFonts w:ascii="Calibri" w:eastAsia="Calibri" w:hAnsi="Calibri" w:cs="Calibri"/>
              </w:rPr>
            </w:pPr>
            <w:r>
              <w:rPr>
                <w:rFonts w:ascii="Calibri" w:eastAsia="Calibri" w:hAnsi="Calibri" w:cs="Calibri"/>
              </w:rPr>
              <w:t>- Hémoptysie.</w:t>
            </w:r>
          </w:p>
          <w:p w14:paraId="5FA312F4" w14:textId="77777777" w:rsidR="00F75368" w:rsidRDefault="00F75368" w:rsidP="00F44AC4">
            <w:pPr>
              <w:spacing w:line="240" w:lineRule="auto"/>
              <w:rPr>
                <w:rFonts w:ascii="Calibri" w:eastAsia="Calibri" w:hAnsi="Calibri" w:cs="Calibri"/>
              </w:rPr>
            </w:pPr>
            <w:r>
              <w:rPr>
                <w:rFonts w:ascii="Calibri" w:eastAsia="Calibri" w:hAnsi="Calibri" w:cs="Calibri"/>
              </w:rPr>
              <w:t>- Syndrome infectieux.</w:t>
            </w:r>
          </w:p>
          <w:p w14:paraId="0E1B0B43" w14:textId="77777777" w:rsidR="00F75368" w:rsidRDefault="00F75368" w:rsidP="00F44AC4">
            <w:pPr>
              <w:spacing w:line="240" w:lineRule="auto"/>
              <w:rPr>
                <w:rFonts w:ascii="Calibri" w:eastAsia="Calibri" w:hAnsi="Calibri" w:cs="Calibri"/>
              </w:rPr>
            </w:pPr>
            <w:r>
              <w:rPr>
                <w:rFonts w:ascii="Calibri" w:eastAsia="Calibri" w:hAnsi="Calibri" w:cs="Calibri"/>
              </w:rPr>
              <w:t>- Apparition ou modification de la toux chez un fumeur.</w:t>
            </w:r>
          </w:p>
          <w:p w14:paraId="3E8BBD0A" w14:textId="77777777" w:rsidR="00F75368" w:rsidRDefault="00F75368" w:rsidP="00F44AC4">
            <w:pPr>
              <w:spacing w:line="240" w:lineRule="auto"/>
              <w:rPr>
                <w:rFonts w:ascii="Calibri" w:eastAsia="Calibri" w:hAnsi="Calibri" w:cs="Calibri"/>
              </w:rPr>
            </w:pPr>
            <w:r>
              <w:rPr>
                <w:rFonts w:ascii="Calibri" w:eastAsia="Calibri" w:hAnsi="Calibri" w:cs="Calibri"/>
              </w:rPr>
              <w:t>- Dysphonie, dysphagie, fausses routes.</w:t>
            </w:r>
          </w:p>
          <w:p w14:paraId="11E00F36" w14:textId="77777777" w:rsidR="00F75368" w:rsidRDefault="00F75368" w:rsidP="00F44AC4">
            <w:pPr>
              <w:spacing w:line="240" w:lineRule="auto"/>
              <w:rPr>
                <w:rFonts w:ascii="Calibri" w:eastAsia="Calibri" w:hAnsi="Calibri" w:cs="Calibri"/>
              </w:rPr>
            </w:pPr>
            <w:r>
              <w:rPr>
                <w:rFonts w:ascii="Calibri" w:eastAsia="Calibri" w:hAnsi="Calibri" w:cs="Calibri"/>
              </w:rPr>
              <w:t>- Adénopathie(s) cervicale(s) suspecte(s).</w:t>
            </w:r>
          </w:p>
          <w:p w14:paraId="5BB457A4" w14:textId="77777777" w:rsidR="00F75368" w:rsidRDefault="00F75368" w:rsidP="00F44AC4">
            <w:pPr>
              <w:spacing w:line="240" w:lineRule="auto"/>
              <w:rPr>
                <w:rFonts w:ascii="Calibri" w:eastAsia="Calibri" w:hAnsi="Calibri" w:cs="Calibri"/>
              </w:rPr>
            </w:pPr>
            <w:r>
              <w:rPr>
                <w:rFonts w:ascii="Calibri" w:eastAsia="Calibri" w:hAnsi="Calibri" w:cs="Calibri"/>
              </w:rPr>
              <w:t>- Anomalies de l’examen clinique cardiopulmonaire.</w:t>
            </w:r>
          </w:p>
        </w:tc>
      </w:tr>
    </w:tbl>
    <w:p w14:paraId="17E41270" w14:textId="77777777" w:rsidR="00F75368" w:rsidRDefault="00F75368" w:rsidP="00F75368">
      <w:pPr>
        <w:spacing w:line="240" w:lineRule="auto"/>
        <w:ind w:left="720"/>
      </w:pPr>
    </w:p>
    <w:p w14:paraId="23A40737" w14:textId="77777777" w:rsidR="00F75368" w:rsidRDefault="00F75368" w:rsidP="00F75368">
      <w:pPr>
        <w:spacing w:line="240" w:lineRule="auto"/>
        <w:ind w:left="284"/>
      </w:pPr>
      <w:r>
        <w:t>En présence de signes de gravité de la toux, des examens complémentaires s’imposent d’emblée en plus des EFR et de la radiographie du thorax.</w:t>
      </w:r>
    </w:p>
    <w:p w14:paraId="66B5891E" w14:textId="77777777" w:rsidR="00F75368" w:rsidRDefault="00F75368" w:rsidP="00F75368">
      <w:pPr>
        <w:spacing w:line="240" w:lineRule="auto"/>
        <w:ind w:left="284"/>
      </w:pPr>
      <w:r>
        <w:t>Toute suspicion de cancer bronchique doit conduire à la réalisation d’un scanner thoracique.</w:t>
      </w:r>
    </w:p>
    <w:p w14:paraId="5D5A3051" w14:textId="77777777" w:rsidR="00F75368" w:rsidRDefault="00F75368" w:rsidP="00F75368">
      <w:pPr>
        <w:spacing w:line="240" w:lineRule="auto"/>
        <w:ind w:left="720"/>
      </w:pPr>
    </w:p>
    <w:p w14:paraId="67FC8D42" w14:textId="77777777" w:rsidR="00F75368" w:rsidRDefault="00F75368" w:rsidP="00F75368">
      <w:pPr>
        <w:numPr>
          <w:ilvl w:val="0"/>
          <w:numId w:val="45"/>
        </w:numPr>
        <w:spacing w:line="240" w:lineRule="auto"/>
        <w:ind w:left="284" w:hanging="284"/>
      </w:pPr>
      <w:r>
        <w:t>Rechercher et traiter les complications.</w:t>
      </w:r>
    </w:p>
    <w:p w14:paraId="5EC40427" w14:textId="77777777" w:rsidR="00F75368" w:rsidRDefault="00F75368" w:rsidP="00F75368">
      <w:pPr>
        <w:spacing w:line="240" w:lineRule="auto"/>
        <w:ind w:left="284" w:hanging="284"/>
      </w:pPr>
    </w:p>
    <w:p w14:paraId="20E02A94" w14:textId="77777777" w:rsidR="00F75368" w:rsidRDefault="00F75368" w:rsidP="00F75368">
      <w:pPr>
        <w:numPr>
          <w:ilvl w:val="0"/>
          <w:numId w:val="45"/>
        </w:numPr>
        <w:spacing w:line="240" w:lineRule="auto"/>
        <w:ind w:left="284" w:hanging="284"/>
      </w:pPr>
      <w:r>
        <w:t>Évaluer objectivement la sévérité de la toux avec une échelle visuelle analogique (EVA) comme dans la douleur.</w:t>
      </w:r>
    </w:p>
    <w:p w14:paraId="52CE4482" w14:textId="77777777" w:rsidR="00F75368" w:rsidRDefault="00F75368" w:rsidP="00F75368">
      <w:pPr>
        <w:spacing w:line="240" w:lineRule="auto"/>
        <w:ind w:left="284" w:hanging="284"/>
      </w:pPr>
    </w:p>
    <w:p w14:paraId="4E2719C6" w14:textId="77777777" w:rsidR="00F75368" w:rsidRDefault="00F75368" w:rsidP="00F75368">
      <w:pPr>
        <w:numPr>
          <w:ilvl w:val="0"/>
          <w:numId w:val="45"/>
        </w:numPr>
        <w:spacing w:line="240" w:lineRule="auto"/>
        <w:ind w:left="284" w:hanging="284"/>
      </w:pPr>
      <w:r>
        <w:t>Faire arrêter les traitements tussigènes (IEC, sartans, gliptines) ainsi que le tabac également pendant 4 semaines. On prévient le fumeur qu’il existe une période réfractaire variable selon les individus avec possiblement une aggravation transitoire de la toux à l’arrêt du tabac.</w:t>
      </w:r>
    </w:p>
    <w:p w14:paraId="4D14A602" w14:textId="77777777" w:rsidR="00F75368" w:rsidRDefault="00F75368" w:rsidP="00F75368">
      <w:pPr>
        <w:pBdr>
          <w:top w:val="nil"/>
          <w:left w:val="nil"/>
          <w:bottom w:val="nil"/>
          <w:right w:val="nil"/>
          <w:between w:val="nil"/>
        </w:pBdr>
        <w:ind w:left="284" w:hanging="284"/>
      </w:pPr>
    </w:p>
    <w:p w14:paraId="2C3175D7" w14:textId="77777777" w:rsidR="00F75368" w:rsidRDefault="00F75368" w:rsidP="00F75368">
      <w:pPr>
        <w:numPr>
          <w:ilvl w:val="0"/>
          <w:numId w:val="45"/>
        </w:numPr>
        <w:spacing w:line="240" w:lineRule="auto"/>
        <w:ind w:left="284" w:hanging="284"/>
      </w:pPr>
      <w:r>
        <w:t>Définir les caractéristiques cliniques de la toux et rechercher une cause fréquente de toux (Asthme, RGO, STOVAS). En présence d’arguments pour une pathologie fréquente et compatible, un traitement spécifique est mis en place.</w:t>
      </w:r>
    </w:p>
    <w:p w14:paraId="00828E27" w14:textId="77777777" w:rsidR="00F75368" w:rsidRDefault="00F75368" w:rsidP="00F75368">
      <w:pPr>
        <w:spacing w:line="240" w:lineRule="auto"/>
        <w:ind w:left="284" w:hanging="284"/>
      </w:pPr>
    </w:p>
    <w:p w14:paraId="2B9427DD" w14:textId="77777777" w:rsidR="00F75368" w:rsidRDefault="00F75368" w:rsidP="00F75368">
      <w:pPr>
        <w:numPr>
          <w:ilvl w:val="0"/>
          <w:numId w:val="45"/>
        </w:numPr>
        <w:spacing w:line="240" w:lineRule="auto"/>
        <w:ind w:left="284" w:hanging="284"/>
      </w:pPr>
      <w:r>
        <w:t>Si persistance de la toux malgré une prise en charge adaptée ou absence de causes évidentes de toux, des explorations supplémentaires peuvent être nécessaires en fonction du profil de la toux. Aucun examen n’est systématique et leur réalisation dépend du contexte clinique et des caractéristiques de la toux. Il est difficile ici de détailler l’ensemble de la prise en charge. Le tableau 6 présente des situations fréquentes de toux chronique.</w:t>
      </w:r>
    </w:p>
    <w:p w14:paraId="6DCA1DE1" w14:textId="77777777" w:rsidR="00F75368" w:rsidRDefault="00F75368" w:rsidP="00F75368">
      <w:pPr>
        <w:spacing w:line="240" w:lineRule="auto"/>
      </w:pPr>
    </w:p>
    <w:p w14:paraId="7DE928D9" w14:textId="77777777" w:rsidR="00F75368" w:rsidRDefault="00F75368" w:rsidP="00306201">
      <w:pPr>
        <w:pStyle w:val="lgende"/>
      </w:pPr>
      <w:r>
        <w:t>Tableau 6 : Exemples de situations de toux chronique avec bilan étiologique à discuter (liste non exhaustive).</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3261"/>
        <w:gridCol w:w="5811"/>
      </w:tblGrid>
      <w:tr w:rsidR="00F75368" w:rsidRPr="00907A92" w14:paraId="2BEA2403" w14:textId="77777777" w:rsidTr="00907A92">
        <w:tc>
          <w:tcPr>
            <w:tcW w:w="3261" w:type="dxa"/>
            <w:shd w:val="clear" w:color="auto" w:fill="D1D1D1" w:themeFill="background2" w:themeFillShade="E6"/>
            <w:vAlign w:val="center"/>
          </w:tcPr>
          <w:p w14:paraId="74D108D6" w14:textId="77777777" w:rsidR="00F75368" w:rsidRPr="00907A92" w:rsidRDefault="00F75368" w:rsidP="00F44AC4">
            <w:pPr>
              <w:spacing w:line="240" w:lineRule="auto"/>
              <w:jc w:val="left"/>
              <w:rPr>
                <w:rFonts w:ascii="Calibri" w:eastAsia="Calibri" w:hAnsi="Calibri" w:cs="Calibri"/>
              </w:rPr>
            </w:pPr>
            <w:r w:rsidRPr="00907A92">
              <w:rPr>
                <w:rFonts w:ascii="Calibri" w:eastAsia="Calibri" w:hAnsi="Calibri" w:cs="Calibri"/>
              </w:rPr>
              <w:t>Toux post-prandiale</w:t>
            </w:r>
          </w:p>
        </w:tc>
        <w:tc>
          <w:tcPr>
            <w:tcW w:w="5811" w:type="dxa"/>
            <w:shd w:val="clear" w:color="auto" w:fill="D1D1D1" w:themeFill="background2" w:themeFillShade="E6"/>
            <w:vAlign w:val="center"/>
          </w:tcPr>
          <w:p w14:paraId="124CEB43" w14:textId="77777777" w:rsidR="00F75368" w:rsidRPr="00907A92" w:rsidRDefault="00F75368" w:rsidP="00907A92">
            <w:pPr>
              <w:rPr>
                <w:rFonts w:ascii="Calibri" w:hAnsi="Calibri" w:cs="Calibri"/>
              </w:rPr>
            </w:pPr>
            <w:r w:rsidRPr="00907A92">
              <w:rPr>
                <w:rFonts w:ascii="Calibri" w:hAnsi="Calibri" w:cs="Calibri"/>
              </w:rPr>
              <w:t>Avis gastro-entérologique, pHmétrie des 24 h, manométrie œsophagienne</w:t>
            </w:r>
          </w:p>
        </w:tc>
      </w:tr>
      <w:tr w:rsidR="00F75368" w:rsidRPr="00907A92" w14:paraId="61242725" w14:textId="77777777" w:rsidTr="00907A92">
        <w:tc>
          <w:tcPr>
            <w:tcW w:w="3261" w:type="dxa"/>
            <w:vAlign w:val="center"/>
          </w:tcPr>
          <w:p w14:paraId="5074432F" w14:textId="77777777" w:rsidR="00F75368" w:rsidRPr="00907A92" w:rsidRDefault="00F75368" w:rsidP="00F44AC4">
            <w:pPr>
              <w:spacing w:line="240" w:lineRule="auto"/>
              <w:jc w:val="left"/>
              <w:rPr>
                <w:rFonts w:ascii="Calibri" w:eastAsia="Calibri" w:hAnsi="Calibri" w:cs="Calibri"/>
              </w:rPr>
            </w:pPr>
            <w:r w:rsidRPr="00907A92">
              <w:rPr>
                <w:rFonts w:ascii="Calibri" w:eastAsia="Calibri" w:hAnsi="Calibri" w:cs="Calibri"/>
              </w:rPr>
              <w:t>Toux en présence de signes de RGO sans efficacité des IPP</w:t>
            </w:r>
          </w:p>
        </w:tc>
        <w:tc>
          <w:tcPr>
            <w:tcW w:w="5811" w:type="dxa"/>
            <w:vAlign w:val="center"/>
          </w:tcPr>
          <w:p w14:paraId="17422F7A" w14:textId="77777777" w:rsidR="00F75368" w:rsidRPr="00907A92" w:rsidRDefault="00F75368" w:rsidP="00907A92">
            <w:pPr>
              <w:rPr>
                <w:rFonts w:ascii="Calibri" w:hAnsi="Calibri" w:cs="Calibri"/>
              </w:rPr>
            </w:pPr>
            <w:r w:rsidRPr="00907A92">
              <w:rPr>
                <w:rFonts w:ascii="Calibri" w:hAnsi="Calibri" w:cs="Calibri"/>
              </w:rPr>
              <w:t>Avis gastro-entérologique, pHmétrie des 24 h, manométrie œsophagienne</w:t>
            </w:r>
          </w:p>
        </w:tc>
      </w:tr>
      <w:tr w:rsidR="00F75368" w:rsidRPr="00907A92" w14:paraId="5976B77B" w14:textId="77777777" w:rsidTr="00907A92">
        <w:trPr>
          <w:trHeight w:val="326"/>
        </w:trPr>
        <w:tc>
          <w:tcPr>
            <w:tcW w:w="3261" w:type="dxa"/>
            <w:shd w:val="clear" w:color="auto" w:fill="D1D1D1" w:themeFill="background2" w:themeFillShade="E6"/>
            <w:vAlign w:val="center"/>
          </w:tcPr>
          <w:p w14:paraId="42FEAFC0" w14:textId="77777777" w:rsidR="00F75368" w:rsidRPr="00907A92" w:rsidRDefault="00F75368" w:rsidP="00F44AC4">
            <w:pPr>
              <w:spacing w:line="240" w:lineRule="auto"/>
              <w:jc w:val="left"/>
              <w:rPr>
                <w:rFonts w:ascii="Calibri" w:eastAsia="Calibri" w:hAnsi="Calibri" w:cs="Calibri"/>
              </w:rPr>
            </w:pPr>
            <w:r w:rsidRPr="00907A92">
              <w:rPr>
                <w:rFonts w:ascii="Calibri" w:eastAsia="Calibri" w:hAnsi="Calibri" w:cs="Calibri"/>
              </w:rPr>
              <w:lastRenderedPageBreak/>
              <w:t>Toux productive sans efficacité des traitements inhalés</w:t>
            </w:r>
          </w:p>
        </w:tc>
        <w:tc>
          <w:tcPr>
            <w:tcW w:w="5811" w:type="dxa"/>
            <w:shd w:val="clear" w:color="auto" w:fill="D1D1D1" w:themeFill="background2" w:themeFillShade="E6"/>
            <w:vAlign w:val="center"/>
          </w:tcPr>
          <w:p w14:paraId="3FA93583" w14:textId="77777777" w:rsidR="00F75368" w:rsidRPr="00907A92" w:rsidRDefault="00F75368" w:rsidP="00907A92">
            <w:pPr>
              <w:rPr>
                <w:rFonts w:ascii="Calibri" w:hAnsi="Calibri" w:cs="Calibri"/>
              </w:rPr>
            </w:pPr>
            <w:r w:rsidRPr="00907A92">
              <w:rPr>
                <w:rFonts w:ascii="Calibri" w:hAnsi="Calibri" w:cs="Calibri"/>
              </w:rPr>
              <w:t>Avis pneumologique, TDM thoracique, ECBC, endoscopie bronchique</w:t>
            </w:r>
          </w:p>
        </w:tc>
      </w:tr>
      <w:tr w:rsidR="00F75368" w:rsidRPr="00907A92" w14:paraId="75B22C5D" w14:textId="77777777" w:rsidTr="00907A92">
        <w:tc>
          <w:tcPr>
            <w:tcW w:w="3261" w:type="dxa"/>
            <w:vAlign w:val="center"/>
          </w:tcPr>
          <w:p w14:paraId="3A69E22B" w14:textId="77777777" w:rsidR="00F75368" w:rsidRPr="00907A92" w:rsidRDefault="00F75368" w:rsidP="00F44AC4">
            <w:pPr>
              <w:spacing w:line="240" w:lineRule="auto"/>
              <w:jc w:val="left"/>
              <w:rPr>
                <w:rFonts w:ascii="Calibri" w:eastAsia="Calibri" w:hAnsi="Calibri" w:cs="Calibri"/>
              </w:rPr>
            </w:pPr>
            <w:r w:rsidRPr="00907A92">
              <w:rPr>
                <w:rFonts w:ascii="Calibri" w:eastAsia="Calibri" w:hAnsi="Calibri" w:cs="Calibri"/>
              </w:rPr>
              <w:t>Toux avec symptômes rhinosinusiens sans efficacité des traitements topiques</w:t>
            </w:r>
          </w:p>
        </w:tc>
        <w:tc>
          <w:tcPr>
            <w:tcW w:w="5811" w:type="dxa"/>
            <w:vAlign w:val="center"/>
          </w:tcPr>
          <w:p w14:paraId="0B166876" w14:textId="77777777" w:rsidR="00F75368" w:rsidRPr="00907A92" w:rsidRDefault="00F75368" w:rsidP="00907A92">
            <w:pPr>
              <w:rPr>
                <w:rFonts w:ascii="Calibri" w:hAnsi="Calibri" w:cs="Calibri"/>
              </w:rPr>
            </w:pPr>
            <w:r w:rsidRPr="00907A92">
              <w:rPr>
                <w:rFonts w:ascii="Calibri" w:hAnsi="Calibri" w:cs="Calibri"/>
              </w:rPr>
              <w:t>Avis ORL avec naso-fibroscopie, tomodensitométrie des sinus</w:t>
            </w:r>
          </w:p>
        </w:tc>
      </w:tr>
    </w:tbl>
    <w:p w14:paraId="4F5CE026" w14:textId="77777777" w:rsidR="00F75368" w:rsidRDefault="00F75368" w:rsidP="00F75368">
      <w:pPr>
        <w:spacing w:line="240" w:lineRule="auto"/>
      </w:pPr>
    </w:p>
    <w:p w14:paraId="390FEF17" w14:textId="77777777" w:rsidR="00F75368" w:rsidRDefault="00F75368" w:rsidP="00F75368">
      <w:pPr>
        <w:numPr>
          <w:ilvl w:val="0"/>
          <w:numId w:val="45"/>
        </w:numPr>
        <w:spacing w:line="240" w:lineRule="auto"/>
        <w:ind w:left="284" w:hanging="284"/>
        <w:rPr>
          <w:b/>
          <w:bCs/>
        </w:rPr>
      </w:pPr>
      <w:r>
        <w:t xml:space="preserve">Si à l’issue de cette prise en charge, aucune cause n’est retrouvée ou aucun traitement n’a amélioré les causes potentielles de toux, on parle alors de </w:t>
      </w:r>
      <w:r>
        <w:rPr>
          <w:b/>
          <w:bCs/>
        </w:rPr>
        <w:t>toux chronique réfractaire ou inexpliquée (TOCRI).</w:t>
      </w:r>
    </w:p>
    <w:p w14:paraId="335424AA" w14:textId="77777777" w:rsidR="00F75368" w:rsidRDefault="00F75368" w:rsidP="00F75368">
      <w:pPr>
        <w:jc w:val="left"/>
        <w:rPr>
          <w:b/>
          <w:bCs/>
        </w:rPr>
      </w:pPr>
    </w:p>
    <w:p w14:paraId="3E0F6965" w14:textId="77777777" w:rsidR="00F75368" w:rsidRDefault="00F75368" w:rsidP="00306201">
      <w:pPr>
        <w:pStyle w:val="lgende"/>
      </w:pPr>
      <w:r>
        <w:t>Figure 2 : Arbre décisionnel de prise en charge de 1</w:t>
      </w:r>
      <w:r>
        <w:rPr>
          <w:vertAlign w:val="superscript"/>
        </w:rPr>
        <w:t>re</w:t>
      </w:r>
      <w:r>
        <w:t xml:space="preserve"> intention de la toux chronique.</w:t>
      </w:r>
    </w:p>
    <w:p w14:paraId="704B2726" w14:textId="77777777" w:rsidR="00F75368" w:rsidRDefault="00F75368" w:rsidP="00F75368">
      <w:pPr>
        <w:pBdr>
          <w:top w:val="nil"/>
          <w:left w:val="nil"/>
          <w:bottom w:val="nil"/>
          <w:right w:val="nil"/>
          <w:between w:val="nil"/>
        </w:pBdr>
        <w:spacing w:line="276" w:lineRule="auto"/>
        <w:rPr>
          <w:b/>
          <w:bCs/>
        </w:rPr>
      </w:pPr>
      <w:r>
        <w:rPr>
          <w:b/>
          <w:bCs/>
          <w:noProof/>
        </w:rPr>
        <w:drawing>
          <wp:inline distT="0" distB="0" distL="0" distR="0" wp14:anchorId="19A1367A" wp14:editId="58B3B153">
            <wp:extent cx="6066766" cy="5860726"/>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6066766" cy="5860726"/>
                    </a:xfrm>
                    <a:prstGeom prst="rect">
                      <a:avLst/>
                    </a:prstGeom>
                    <a:ln/>
                  </pic:spPr>
                </pic:pic>
              </a:graphicData>
            </a:graphic>
          </wp:inline>
        </w:drawing>
      </w:r>
    </w:p>
    <w:p w14:paraId="0E29C662" w14:textId="77777777" w:rsidR="00F75368" w:rsidRDefault="00F75368" w:rsidP="00F75368">
      <w:pPr>
        <w:rPr>
          <w:u w:val="single"/>
        </w:rPr>
      </w:pPr>
    </w:p>
    <w:p w14:paraId="73AC4E87" w14:textId="77777777" w:rsidR="00F75368" w:rsidRDefault="00F75368" w:rsidP="00306201">
      <w:pPr>
        <w:pBdr>
          <w:top w:val="nil"/>
          <w:left w:val="nil"/>
          <w:bottom w:val="nil"/>
          <w:right w:val="nil"/>
          <w:between w:val="nil"/>
        </w:pBdr>
        <w:spacing w:after="240"/>
        <w:jc w:val="left"/>
        <w:rPr>
          <w:b/>
          <w:bCs/>
          <w:u w:val="single"/>
        </w:rPr>
      </w:pPr>
      <w:r>
        <w:rPr>
          <w:b/>
          <w:bCs/>
          <w:u w:val="single"/>
        </w:rPr>
        <w:lastRenderedPageBreak/>
        <w:t>Traitements</w:t>
      </w:r>
    </w:p>
    <w:p w14:paraId="344D8256" w14:textId="77777777" w:rsidR="00F75368" w:rsidRDefault="00F75368" w:rsidP="00F75368">
      <w:pPr>
        <w:numPr>
          <w:ilvl w:val="0"/>
          <w:numId w:val="44"/>
        </w:numPr>
        <w:pBdr>
          <w:top w:val="nil"/>
          <w:left w:val="nil"/>
          <w:bottom w:val="nil"/>
          <w:right w:val="nil"/>
          <w:between w:val="nil"/>
        </w:pBdr>
        <w:spacing w:line="276" w:lineRule="auto"/>
      </w:pPr>
      <w:r>
        <w:t xml:space="preserve">Le traitement symptomatique de la toux chronique n’a aucune place en pratique et on privilégie la recherche du ou des facteur(s) étiologique(s). </w:t>
      </w:r>
    </w:p>
    <w:p w14:paraId="1C8DE94C" w14:textId="77777777" w:rsidR="00F75368" w:rsidRDefault="00F75368" w:rsidP="00F75368">
      <w:pPr>
        <w:pBdr>
          <w:top w:val="nil"/>
          <w:left w:val="nil"/>
          <w:bottom w:val="nil"/>
          <w:right w:val="nil"/>
          <w:between w:val="nil"/>
        </w:pBdr>
        <w:spacing w:line="276" w:lineRule="auto"/>
      </w:pPr>
      <w:r>
        <w:t>Les traitements antitussifs (tableau 2) ne sont pas recommandés ni par la société européenne de pneumologie ni par la société de pneumologie de langue française.</w:t>
      </w:r>
    </w:p>
    <w:p w14:paraId="0B3BCA1A" w14:textId="77777777" w:rsidR="00F75368" w:rsidRDefault="00F75368" w:rsidP="00F75368">
      <w:pPr>
        <w:rPr>
          <w:u w:val="single"/>
        </w:rPr>
      </w:pPr>
    </w:p>
    <w:p w14:paraId="0FC4F17C" w14:textId="3796C836" w:rsidR="00F75368" w:rsidRDefault="00306201" w:rsidP="00F75368">
      <w:pPr>
        <w:numPr>
          <w:ilvl w:val="0"/>
          <w:numId w:val="44"/>
        </w:numPr>
        <w:pBdr>
          <w:top w:val="nil"/>
          <w:left w:val="nil"/>
          <w:bottom w:val="nil"/>
          <w:right w:val="nil"/>
          <w:between w:val="nil"/>
        </w:pBdr>
        <w:spacing w:after="240"/>
        <w:jc w:val="left"/>
        <w:rPr>
          <w:b/>
          <w:bCs/>
          <w:color w:val="0070C0"/>
        </w:rPr>
      </w:pPr>
      <w:r>
        <w:rPr>
          <w:noProof/>
        </w:rPr>
        <w:drawing>
          <wp:anchor distT="0" distB="0" distL="114300" distR="114300" simplePos="0" relativeHeight="251739136" behindDoc="0" locked="0" layoutInCell="1" hidden="0" allowOverlap="1" wp14:anchorId="3636764C" wp14:editId="67E95E03">
            <wp:simplePos x="0" y="0"/>
            <wp:positionH relativeFrom="column">
              <wp:posOffset>-272887</wp:posOffset>
            </wp:positionH>
            <wp:positionV relativeFrom="paragraph">
              <wp:posOffset>298450</wp:posOffset>
            </wp:positionV>
            <wp:extent cx="153670" cy="137160"/>
            <wp:effectExtent l="0" t="0" r="0" b="0"/>
            <wp:wrapSquare wrapText="bothSides" distT="0" distB="0" distL="114300" distR="1143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75368">
        <w:rPr>
          <w:b/>
          <w:bCs/>
          <w:color w:val="0070C0"/>
        </w:rPr>
        <w:t>Prise en charge thérapeutique des étiologies fréquentes (tableau 7)</w:t>
      </w:r>
    </w:p>
    <w:p w14:paraId="1170D1B4" w14:textId="5A0CC963" w:rsidR="00F75368" w:rsidRPr="00306201" w:rsidRDefault="00F75368" w:rsidP="00306201">
      <w:pPr>
        <w:pStyle w:val="lgende"/>
        <w:rPr>
          <w:color w:val="0070C0"/>
        </w:rPr>
      </w:pPr>
      <w:r w:rsidRPr="00306201">
        <w:rPr>
          <w:color w:val="0070C0"/>
        </w:rPr>
        <w:t>Tableau 7 : Prise en charge thérapeutique des étiologies fréquentes de toux.</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2268"/>
        <w:gridCol w:w="6804"/>
      </w:tblGrid>
      <w:tr w:rsidR="00F75368" w14:paraId="71701CE0" w14:textId="77777777" w:rsidTr="003C3137">
        <w:tc>
          <w:tcPr>
            <w:tcW w:w="2268" w:type="dxa"/>
            <w:shd w:val="clear" w:color="auto" w:fill="D1D1D1" w:themeFill="background2" w:themeFillShade="E6"/>
            <w:vAlign w:val="center"/>
          </w:tcPr>
          <w:p w14:paraId="3029ADF3" w14:textId="77777777" w:rsidR="00F75368" w:rsidRDefault="00F75368" w:rsidP="00F44AC4">
            <w:pPr>
              <w:pBdr>
                <w:top w:val="nil"/>
                <w:left w:val="nil"/>
                <w:bottom w:val="nil"/>
                <w:right w:val="nil"/>
                <w:between w:val="nil"/>
              </w:pBdr>
              <w:spacing w:line="276" w:lineRule="auto"/>
              <w:jc w:val="center"/>
              <w:rPr>
                <w:b/>
                <w:bCs/>
                <w:color w:val="0070C0"/>
              </w:rPr>
            </w:pPr>
            <w:r>
              <w:rPr>
                <w:b/>
                <w:bCs/>
                <w:color w:val="0070C0"/>
              </w:rPr>
              <w:t>Rhinosinusite chronique ou STOVAS</w:t>
            </w:r>
          </w:p>
        </w:tc>
        <w:tc>
          <w:tcPr>
            <w:tcW w:w="6804" w:type="dxa"/>
          </w:tcPr>
          <w:p w14:paraId="4A0308A9" w14:textId="77777777" w:rsidR="00F75368" w:rsidRDefault="00F75368" w:rsidP="00F44AC4">
            <w:pPr>
              <w:pBdr>
                <w:top w:val="nil"/>
                <w:left w:val="nil"/>
                <w:bottom w:val="nil"/>
                <w:right w:val="nil"/>
                <w:between w:val="nil"/>
              </w:pBdr>
              <w:spacing w:line="240" w:lineRule="auto"/>
              <w:jc w:val="left"/>
              <w:rPr>
                <w:color w:val="0070C0"/>
              </w:rPr>
            </w:pPr>
            <w:r>
              <w:rPr>
                <w:color w:val="0070C0"/>
              </w:rPr>
              <w:t>Lavage du nez, corticothérapie nasale, éviction facteurs favorisants, éducation thérapeutique</w:t>
            </w:r>
          </w:p>
        </w:tc>
      </w:tr>
      <w:tr w:rsidR="00F75368" w14:paraId="3ED07A88" w14:textId="77777777" w:rsidTr="003C3137">
        <w:tc>
          <w:tcPr>
            <w:tcW w:w="2268" w:type="dxa"/>
            <w:shd w:val="clear" w:color="auto" w:fill="D1D1D1" w:themeFill="background2" w:themeFillShade="E6"/>
            <w:vAlign w:val="center"/>
          </w:tcPr>
          <w:p w14:paraId="7510A346" w14:textId="77777777" w:rsidR="00F75368" w:rsidRDefault="00F75368" w:rsidP="00F44AC4">
            <w:pPr>
              <w:pBdr>
                <w:top w:val="nil"/>
                <w:left w:val="nil"/>
                <w:bottom w:val="nil"/>
                <w:right w:val="nil"/>
                <w:between w:val="nil"/>
              </w:pBdr>
              <w:spacing w:line="276" w:lineRule="auto"/>
              <w:jc w:val="center"/>
              <w:rPr>
                <w:b/>
                <w:bCs/>
              </w:rPr>
            </w:pPr>
            <w:r>
              <w:rPr>
                <w:b/>
                <w:bCs/>
              </w:rPr>
              <w:t>Asthme</w:t>
            </w:r>
          </w:p>
        </w:tc>
        <w:tc>
          <w:tcPr>
            <w:tcW w:w="6804" w:type="dxa"/>
          </w:tcPr>
          <w:p w14:paraId="1A54B5D5" w14:textId="77777777" w:rsidR="00F75368" w:rsidRDefault="00F75368" w:rsidP="00F44AC4">
            <w:pPr>
              <w:pBdr>
                <w:top w:val="nil"/>
                <w:left w:val="nil"/>
                <w:bottom w:val="nil"/>
                <w:right w:val="nil"/>
                <w:between w:val="nil"/>
              </w:pBdr>
              <w:spacing w:line="240" w:lineRule="auto"/>
              <w:jc w:val="left"/>
            </w:pPr>
            <w:r>
              <w:t>Voir item 184</w:t>
            </w:r>
          </w:p>
        </w:tc>
      </w:tr>
      <w:tr w:rsidR="00F75368" w14:paraId="36C2BB10" w14:textId="77777777" w:rsidTr="003C3137">
        <w:tc>
          <w:tcPr>
            <w:tcW w:w="2268" w:type="dxa"/>
            <w:shd w:val="clear" w:color="auto" w:fill="D1D1D1" w:themeFill="background2" w:themeFillShade="E6"/>
            <w:vAlign w:val="center"/>
          </w:tcPr>
          <w:p w14:paraId="5EF97830" w14:textId="77777777" w:rsidR="00F75368" w:rsidRDefault="00F75368" w:rsidP="00F44AC4">
            <w:pPr>
              <w:pBdr>
                <w:top w:val="nil"/>
                <w:left w:val="nil"/>
                <w:bottom w:val="nil"/>
                <w:right w:val="nil"/>
                <w:between w:val="nil"/>
              </w:pBdr>
              <w:spacing w:line="276" w:lineRule="auto"/>
              <w:jc w:val="center"/>
              <w:rPr>
                <w:b/>
                <w:bCs/>
                <w:color w:val="0070C0"/>
              </w:rPr>
            </w:pPr>
            <w:r>
              <w:rPr>
                <w:b/>
                <w:bCs/>
                <w:color w:val="0070C0"/>
              </w:rPr>
              <w:t>RGO</w:t>
            </w:r>
          </w:p>
        </w:tc>
        <w:tc>
          <w:tcPr>
            <w:tcW w:w="6804" w:type="dxa"/>
          </w:tcPr>
          <w:p w14:paraId="2384BFE7" w14:textId="77777777" w:rsidR="00F75368" w:rsidRDefault="00F75368" w:rsidP="00F44AC4">
            <w:pPr>
              <w:pBdr>
                <w:top w:val="nil"/>
                <w:left w:val="nil"/>
                <w:bottom w:val="nil"/>
                <w:right w:val="nil"/>
                <w:between w:val="nil"/>
              </w:pBdr>
              <w:spacing w:line="276" w:lineRule="auto"/>
              <w:rPr>
                <w:b/>
                <w:bCs/>
                <w:color w:val="0070C0"/>
              </w:rPr>
            </w:pPr>
            <w:r>
              <w:rPr>
                <w:b/>
                <w:bCs/>
                <w:color w:val="0070C0"/>
              </w:rPr>
              <w:t xml:space="preserve">IPP pour au moins 8 semaines, règles hygiéno-diététiques+++. </w:t>
            </w:r>
            <w:r>
              <w:rPr>
                <w:color w:val="0070C0"/>
              </w:rPr>
              <w:t>Dans la toux chronique, les IPP ne se justifient que s’il existe des signes de RGO (pyrosis et/ou régurgitation acide)</w:t>
            </w:r>
          </w:p>
        </w:tc>
      </w:tr>
    </w:tbl>
    <w:p w14:paraId="678F2CDA" w14:textId="77777777" w:rsidR="00F75368" w:rsidRDefault="00F75368" w:rsidP="00F75368">
      <w:pPr>
        <w:pBdr>
          <w:top w:val="nil"/>
          <w:left w:val="nil"/>
          <w:bottom w:val="nil"/>
          <w:right w:val="nil"/>
          <w:between w:val="nil"/>
        </w:pBdr>
        <w:spacing w:line="276" w:lineRule="auto"/>
        <w:rPr>
          <w:rFonts w:ascii="Arial" w:eastAsia="Arial" w:hAnsi="Arial" w:cs="Arial"/>
          <w:i/>
          <w:iCs/>
          <w:color w:val="0070C0"/>
          <w:sz w:val="18"/>
          <w:szCs w:val="18"/>
        </w:rPr>
      </w:pPr>
      <w:r>
        <w:rPr>
          <w:rFonts w:ascii="Arial" w:eastAsia="Arial" w:hAnsi="Arial" w:cs="Arial"/>
          <w:i/>
          <w:iCs/>
          <w:color w:val="0070C0"/>
          <w:sz w:val="18"/>
          <w:szCs w:val="18"/>
        </w:rPr>
        <w:t>*IPP : inhibiteur de pompe à protons</w:t>
      </w:r>
    </w:p>
    <w:p w14:paraId="7AB89171" w14:textId="77777777" w:rsidR="00F75368" w:rsidRDefault="00F75368" w:rsidP="00F75368">
      <w:pPr>
        <w:pBdr>
          <w:top w:val="nil"/>
          <w:left w:val="nil"/>
          <w:bottom w:val="nil"/>
          <w:right w:val="nil"/>
          <w:between w:val="nil"/>
        </w:pBdr>
        <w:spacing w:line="276" w:lineRule="auto"/>
        <w:rPr>
          <w:b/>
          <w:bCs/>
          <w:color w:val="0070C0"/>
        </w:rPr>
      </w:pPr>
    </w:p>
    <w:p w14:paraId="15B08B9F" w14:textId="77777777" w:rsidR="00F75368" w:rsidRDefault="00F75368" w:rsidP="00F75368">
      <w:pPr>
        <w:numPr>
          <w:ilvl w:val="0"/>
          <w:numId w:val="44"/>
        </w:numPr>
        <w:pBdr>
          <w:top w:val="nil"/>
          <w:left w:val="nil"/>
          <w:bottom w:val="nil"/>
          <w:right w:val="nil"/>
          <w:between w:val="nil"/>
        </w:pBdr>
        <w:tabs>
          <w:tab w:val="left" w:pos="709"/>
        </w:tabs>
        <w:spacing w:after="240"/>
        <w:jc w:val="left"/>
        <w:rPr>
          <w:b/>
          <w:bCs/>
          <w:color w:val="0070C0"/>
        </w:rPr>
      </w:pPr>
      <w:r>
        <w:rPr>
          <w:b/>
          <w:bCs/>
          <w:color w:val="0070C0"/>
        </w:rPr>
        <w:t>Prise en charge thérapeutique des Toux Chronique Réfractaire ou Inexpliquée (TOCRI)</w:t>
      </w:r>
    </w:p>
    <w:p w14:paraId="30E91812" w14:textId="77777777" w:rsidR="00F75368" w:rsidRDefault="00F75368" w:rsidP="00F75368">
      <w:pPr>
        <w:pBdr>
          <w:top w:val="nil"/>
          <w:left w:val="nil"/>
          <w:bottom w:val="nil"/>
          <w:right w:val="nil"/>
          <w:between w:val="nil"/>
        </w:pBdr>
        <w:spacing w:line="240" w:lineRule="auto"/>
        <w:rPr>
          <w:b/>
          <w:bCs/>
          <w:color w:val="0070C0"/>
        </w:rPr>
      </w:pPr>
      <w:r>
        <w:rPr>
          <w:b/>
          <w:bCs/>
          <w:color w:val="0070C0"/>
        </w:rPr>
        <w:t>Les TOCRI posent de réels problèmes diagnostiques et thérapeutiques et sont source d’impasse pour les patients et les médecins.</w:t>
      </w:r>
    </w:p>
    <w:p w14:paraId="794D450D" w14:textId="77777777" w:rsidR="00F75368" w:rsidRDefault="00F75368" w:rsidP="00F75368">
      <w:pPr>
        <w:pBdr>
          <w:top w:val="nil"/>
          <w:left w:val="nil"/>
          <w:bottom w:val="nil"/>
          <w:right w:val="nil"/>
          <w:between w:val="nil"/>
        </w:pBdr>
        <w:spacing w:line="240" w:lineRule="auto"/>
        <w:rPr>
          <w:b/>
          <w:bCs/>
          <w:color w:val="0070C0"/>
        </w:rPr>
      </w:pPr>
    </w:p>
    <w:p w14:paraId="245EEDC0" w14:textId="77777777" w:rsidR="00F75368" w:rsidRDefault="00F75368" w:rsidP="00F75368">
      <w:pPr>
        <w:spacing w:line="240" w:lineRule="auto"/>
        <w:rPr>
          <w:color w:val="0070C0"/>
        </w:rPr>
      </w:pPr>
      <w:r>
        <w:rPr>
          <w:color w:val="0070C0"/>
        </w:rPr>
        <w:t>Afin d’expliquer les TOCRI, le concept du syndrome de «</w:t>
      </w:r>
      <w:r>
        <w:rPr>
          <w:rFonts w:ascii="Arial" w:eastAsia="Arial" w:hAnsi="Arial" w:cs="Arial"/>
          <w:color w:val="0070C0"/>
        </w:rPr>
        <w:t> </w:t>
      </w:r>
      <w:r>
        <w:rPr>
          <w:color w:val="0070C0"/>
        </w:rPr>
        <w:t>toux par excès de sensibilité</w:t>
      </w:r>
      <w:r>
        <w:rPr>
          <w:rFonts w:ascii="Arial" w:eastAsia="Arial" w:hAnsi="Arial" w:cs="Arial"/>
          <w:color w:val="0070C0"/>
        </w:rPr>
        <w:t> </w:t>
      </w:r>
      <w:r>
        <w:rPr>
          <w:color w:val="0070C0"/>
        </w:rPr>
        <w:t>» a été introduit récemment. Il existerait une activation du réflexe de toux liée à une sensibilité augmentée des voies neurologiques de la toux. La toux est alors déclenchée pour des stimuli peu tussigènes (hypertussie) ou un déclenchement de la toux pour des stimuli non-tussigènes (allotussie). La physiopathologie serait similaire à celle de la douleur neuropathique. Sur le plan clinique, le diagnostic est fait sur l’interrogatoire (Tableau 8).</w:t>
      </w:r>
    </w:p>
    <w:p w14:paraId="68D3931F" w14:textId="77777777" w:rsidR="00F75368" w:rsidRPr="00FB180E" w:rsidRDefault="00F75368" w:rsidP="00F75368">
      <w:pPr>
        <w:spacing w:line="240" w:lineRule="auto"/>
        <w:rPr>
          <w:color w:val="0070C0"/>
        </w:rPr>
      </w:pPr>
    </w:p>
    <w:p w14:paraId="17C00B31" w14:textId="77777777" w:rsidR="00F75368" w:rsidRPr="00FB180E" w:rsidRDefault="00F75368" w:rsidP="00FB180E">
      <w:pPr>
        <w:pStyle w:val="lgende"/>
        <w:rPr>
          <w:i/>
          <w:iCs/>
          <w:color w:val="0070C0"/>
        </w:rPr>
      </w:pPr>
      <w:r w:rsidRPr="00FB180E">
        <w:rPr>
          <w:color w:val="0070C0"/>
        </w:rPr>
        <w:t>Tableau 8 : Caractéristiques de la toux par excès de sensibilité.</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72"/>
      </w:tblGrid>
      <w:tr w:rsidR="00F75368" w14:paraId="3393B60B" w14:textId="77777777" w:rsidTr="00FB180E">
        <w:tc>
          <w:tcPr>
            <w:tcW w:w="9072" w:type="dxa"/>
          </w:tcPr>
          <w:p w14:paraId="3D7A251A" w14:textId="77777777" w:rsidR="00F75368" w:rsidRDefault="00F75368" w:rsidP="00F44AC4">
            <w:pPr>
              <w:spacing w:line="240" w:lineRule="auto"/>
              <w:rPr>
                <w:rFonts w:ascii="Calibri" w:eastAsia="Calibri" w:hAnsi="Calibri" w:cs="Calibri"/>
                <w:color w:val="0070C0"/>
              </w:rPr>
            </w:pPr>
            <w:r>
              <w:rPr>
                <w:rFonts w:ascii="Calibri" w:eastAsia="Calibri" w:hAnsi="Calibri" w:cs="Calibri"/>
                <w:color w:val="0070C0"/>
              </w:rPr>
              <w:t>1. Irritation des voies aériennes supérieures (larynx, pharynx), paresthésies des voies aériennes supérieures.</w:t>
            </w:r>
          </w:p>
          <w:p w14:paraId="11EE292B" w14:textId="77777777" w:rsidR="00F75368" w:rsidRDefault="00F75368" w:rsidP="00F44AC4">
            <w:pPr>
              <w:spacing w:line="240" w:lineRule="auto"/>
              <w:rPr>
                <w:rFonts w:ascii="Calibri" w:eastAsia="Calibri" w:hAnsi="Calibri" w:cs="Calibri"/>
                <w:color w:val="0070C0"/>
              </w:rPr>
            </w:pPr>
            <w:r>
              <w:rPr>
                <w:rFonts w:ascii="Calibri" w:eastAsia="Calibri" w:hAnsi="Calibri" w:cs="Calibri"/>
                <w:color w:val="0070C0"/>
              </w:rPr>
              <w:t>2. Toux déclenchée par des stimuli non tussigènes (allotussie) : parole, rire.</w:t>
            </w:r>
          </w:p>
          <w:p w14:paraId="78AE1E79" w14:textId="77777777" w:rsidR="00F75368" w:rsidRDefault="00F75368" w:rsidP="00F44AC4">
            <w:pPr>
              <w:spacing w:line="240" w:lineRule="auto"/>
              <w:rPr>
                <w:rFonts w:ascii="Calibri" w:eastAsia="Calibri" w:hAnsi="Calibri" w:cs="Calibri"/>
                <w:color w:val="0070C0"/>
              </w:rPr>
            </w:pPr>
            <w:r>
              <w:rPr>
                <w:rFonts w:ascii="Calibri" w:eastAsia="Calibri" w:hAnsi="Calibri" w:cs="Calibri"/>
                <w:color w:val="0070C0"/>
              </w:rPr>
              <w:t>3. Augmentation de la sensibilité de la toux à des stimuli inhalés (hypertussie).</w:t>
            </w:r>
          </w:p>
          <w:p w14:paraId="4AD40F94" w14:textId="77777777" w:rsidR="00F75368" w:rsidRDefault="00F75368" w:rsidP="00F44AC4">
            <w:pPr>
              <w:spacing w:line="240" w:lineRule="auto"/>
              <w:rPr>
                <w:rFonts w:ascii="Calibri" w:eastAsia="Calibri" w:hAnsi="Calibri" w:cs="Calibri"/>
                <w:color w:val="0070C0"/>
              </w:rPr>
            </w:pPr>
            <w:r>
              <w:rPr>
                <w:rFonts w:ascii="Calibri" w:eastAsia="Calibri" w:hAnsi="Calibri" w:cs="Calibri"/>
                <w:color w:val="0070C0"/>
              </w:rPr>
              <w:t>4. Toux paroxystique difficile à contrôler.</w:t>
            </w:r>
          </w:p>
          <w:p w14:paraId="446671EA" w14:textId="77777777" w:rsidR="00F75368" w:rsidRDefault="00F75368" w:rsidP="00F44AC4">
            <w:pPr>
              <w:spacing w:line="240" w:lineRule="auto"/>
              <w:rPr>
                <w:rFonts w:ascii="Calibri" w:eastAsia="Calibri" w:hAnsi="Calibri" w:cs="Calibri"/>
                <w:color w:val="0070C0"/>
              </w:rPr>
            </w:pPr>
            <w:r>
              <w:rPr>
                <w:rFonts w:ascii="Calibri" w:eastAsia="Calibri" w:hAnsi="Calibri" w:cs="Calibri"/>
                <w:color w:val="0070C0"/>
              </w:rPr>
              <w:t xml:space="preserve">5. Éléments déclencheurs : </w:t>
            </w:r>
          </w:p>
          <w:p w14:paraId="292CECFC" w14:textId="77777777" w:rsidR="00F75368" w:rsidRDefault="00F75368" w:rsidP="00F44AC4">
            <w:pPr>
              <w:rPr>
                <w:rFonts w:ascii="Calibri" w:eastAsia="Calibri" w:hAnsi="Calibri" w:cs="Calibri"/>
                <w:color w:val="0070C0"/>
              </w:rPr>
            </w:pPr>
            <w:r>
              <w:rPr>
                <w:rFonts w:ascii="Calibri" w:eastAsia="Calibri" w:hAnsi="Calibri" w:cs="Calibri"/>
                <w:color w:val="0070C0"/>
              </w:rPr>
              <w:t>- Chant, parole, rire, respiration profonde : activation mécanique.</w:t>
            </w:r>
          </w:p>
          <w:p w14:paraId="3B8C4442" w14:textId="77777777" w:rsidR="00F75368" w:rsidRDefault="00F75368" w:rsidP="00F44AC4">
            <w:pPr>
              <w:rPr>
                <w:rFonts w:ascii="Calibri" w:eastAsia="Calibri" w:hAnsi="Calibri" w:cs="Calibri"/>
                <w:color w:val="0070C0"/>
              </w:rPr>
            </w:pPr>
            <w:r>
              <w:rPr>
                <w:rFonts w:ascii="Calibri" w:eastAsia="Calibri" w:hAnsi="Calibri" w:cs="Calibri"/>
                <w:color w:val="0070C0"/>
              </w:rPr>
              <w:t>- Changement de température, air froid : thermoactivation.</w:t>
            </w:r>
          </w:p>
          <w:p w14:paraId="0F23611C" w14:textId="77777777" w:rsidR="00F75368" w:rsidRDefault="00F75368" w:rsidP="00F44AC4">
            <w:pPr>
              <w:rPr>
                <w:rFonts w:ascii="Calibri" w:eastAsia="Calibri" w:hAnsi="Calibri" w:cs="Calibri"/>
                <w:color w:val="0070C0"/>
              </w:rPr>
            </w:pPr>
            <w:r>
              <w:rPr>
                <w:rFonts w:ascii="Calibri" w:eastAsia="Calibri" w:hAnsi="Calibri" w:cs="Calibri"/>
                <w:color w:val="0070C0"/>
              </w:rPr>
              <w:t>- Aérosols, parfum, odeurs : chimioactivation.</w:t>
            </w:r>
          </w:p>
          <w:p w14:paraId="5B512D70" w14:textId="77777777" w:rsidR="00F75368" w:rsidRDefault="00F75368" w:rsidP="00F44AC4">
            <w:pPr>
              <w:rPr>
                <w:rFonts w:ascii="Calibri" w:eastAsia="Calibri" w:hAnsi="Calibri" w:cs="Calibri"/>
                <w:color w:val="0070C0"/>
              </w:rPr>
            </w:pPr>
            <w:r>
              <w:rPr>
                <w:rFonts w:ascii="Calibri" w:eastAsia="Calibri" w:hAnsi="Calibri" w:cs="Calibri"/>
                <w:color w:val="0070C0"/>
              </w:rPr>
              <w:t>- Décubitus dorsal.</w:t>
            </w:r>
          </w:p>
          <w:p w14:paraId="5448F95A" w14:textId="77777777" w:rsidR="00F75368" w:rsidRDefault="00F75368" w:rsidP="00F44AC4">
            <w:pPr>
              <w:rPr>
                <w:rFonts w:ascii="Calibri" w:eastAsia="Calibri" w:hAnsi="Calibri" w:cs="Calibri"/>
                <w:color w:val="0070C0"/>
              </w:rPr>
            </w:pPr>
            <w:r>
              <w:rPr>
                <w:rFonts w:ascii="Calibri" w:eastAsia="Calibri" w:hAnsi="Calibri" w:cs="Calibri"/>
                <w:color w:val="0070C0"/>
              </w:rPr>
              <w:t>- Repas.</w:t>
            </w:r>
          </w:p>
          <w:p w14:paraId="0E92DF78" w14:textId="77777777" w:rsidR="00F75368" w:rsidRDefault="00F75368" w:rsidP="00F44AC4">
            <w:pPr>
              <w:rPr>
                <w:rFonts w:ascii="Calibri" w:eastAsia="Calibri" w:hAnsi="Calibri" w:cs="Calibri"/>
                <w:color w:val="0070C0"/>
              </w:rPr>
            </w:pPr>
            <w:r>
              <w:rPr>
                <w:rFonts w:ascii="Calibri" w:eastAsia="Calibri" w:hAnsi="Calibri" w:cs="Calibri"/>
                <w:color w:val="0070C0"/>
              </w:rPr>
              <w:t>- Exercice.</w:t>
            </w:r>
          </w:p>
        </w:tc>
      </w:tr>
    </w:tbl>
    <w:p w14:paraId="44BB875B" w14:textId="77777777" w:rsidR="00F75368" w:rsidRDefault="00F75368" w:rsidP="00F75368">
      <w:pPr>
        <w:spacing w:line="240" w:lineRule="auto"/>
        <w:rPr>
          <w:i/>
          <w:iCs/>
        </w:rPr>
      </w:pPr>
    </w:p>
    <w:p w14:paraId="69449336" w14:textId="77777777" w:rsidR="00F75368" w:rsidRDefault="00F75368" w:rsidP="00F75368">
      <w:pPr>
        <w:pBdr>
          <w:top w:val="nil"/>
          <w:left w:val="nil"/>
          <w:bottom w:val="nil"/>
          <w:right w:val="nil"/>
          <w:between w:val="nil"/>
        </w:pBdr>
        <w:spacing w:line="276" w:lineRule="auto"/>
        <w:rPr>
          <w:color w:val="0070C0"/>
        </w:rPr>
      </w:pPr>
      <w:r>
        <w:rPr>
          <w:color w:val="0070C0"/>
        </w:rPr>
        <w:t>Les traitements reposent sur les antagonistes de P2X3 (géfapixant), l’amitriptyline, les anti-épileptiques (prégabaline ou gabapentine) et la morphine à faible dose.</w:t>
      </w:r>
    </w:p>
    <w:p w14:paraId="06D060B4" w14:textId="77777777" w:rsidR="00F75368" w:rsidRDefault="00F75368" w:rsidP="00F75368">
      <w:pPr>
        <w:pBdr>
          <w:top w:val="nil"/>
          <w:left w:val="nil"/>
          <w:bottom w:val="nil"/>
          <w:right w:val="nil"/>
          <w:between w:val="nil"/>
        </w:pBdr>
        <w:spacing w:line="276" w:lineRule="auto"/>
        <w:rPr>
          <w:i/>
          <w:iCs/>
        </w:rPr>
      </w:pPr>
    </w:p>
    <w:p w14:paraId="031A83F4" w14:textId="77777777" w:rsidR="00F75368" w:rsidRDefault="00F75368" w:rsidP="00F75368">
      <w:pPr>
        <w:pBdr>
          <w:top w:val="nil"/>
          <w:left w:val="nil"/>
          <w:bottom w:val="nil"/>
          <w:right w:val="nil"/>
          <w:between w:val="nil"/>
        </w:pBdr>
        <w:spacing w:line="276" w:lineRule="auto"/>
        <w:rPr>
          <w:i/>
          <w:iCs/>
        </w:rPr>
      </w:pPr>
    </w:p>
    <w:p w14:paraId="2B44E1B6" w14:textId="77777777" w:rsidR="00F75368" w:rsidRDefault="00F75368" w:rsidP="00F75368">
      <w:pPr>
        <w:pBdr>
          <w:top w:val="nil"/>
          <w:left w:val="nil"/>
          <w:bottom w:val="nil"/>
          <w:right w:val="nil"/>
          <w:between w:val="nil"/>
        </w:pBdr>
        <w:spacing w:line="276" w:lineRule="auto"/>
        <w:jc w:val="center"/>
        <w:rPr>
          <w:color w:val="FF0000"/>
        </w:rPr>
      </w:pPr>
    </w:p>
    <w:p w14:paraId="0C93D432" w14:textId="77777777" w:rsidR="00F75368" w:rsidRDefault="00F75368" w:rsidP="00F75368">
      <w:pPr>
        <w:jc w:val="left"/>
        <w:rPr>
          <w:b/>
          <w:bCs/>
          <w:color w:val="0070C0"/>
        </w:rPr>
      </w:pPr>
      <w:r>
        <w:lastRenderedPageBreak/>
        <w:br w:type="page"/>
      </w:r>
    </w:p>
    <w:p w14:paraId="1E403AD0" w14:textId="77777777" w:rsidR="00F75368" w:rsidRDefault="00F75368" w:rsidP="00F75368">
      <w:pPr>
        <w:rPr>
          <w:b/>
          <w:bCs/>
          <w:color w:val="0070C0"/>
        </w:rPr>
      </w:pPr>
      <w:r>
        <w:rPr>
          <w:b/>
          <w:bCs/>
          <w:color w:val="0070C0"/>
        </w:rPr>
        <w:lastRenderedPageBreak/>
        <w:t>QUESTIONS TOMBABLES</w:t>
      </w:r>
    </w:p>
    <w:p w14:paraId="211CFD54" w14:textId="77777777" w:rsidR="00F75368" w:rsidRDefault="00F75368" w:rsidP="00F75368">
      <w:pPr>
        <w:rPr>
          <w:b/>
          <w:bCs/>
          <w:color w:val="0070C0"/>
        </w:rPr>
      </w:pPr>
    </w:p>
    <w:p w14:paraId="702F4918" w14:textId="77777777" w:rsidR="00F75368" w:rsidRDefault="00F75368" w:rsidP="00F75368">
      <w:pPr>
        <w:numPr>
          <w:ilvl w:val="0"/>
          <w:numId w:val="49"/>
        </w:numPr>
        <w:pBdr>
          <w:top w:val="nil"/>
          <w:left w:val="nil"/>
          <w:bottom w:val="nil"/>
          <w:right w:val="nil"/>
          <w:between w:val="nil"/>
        </w:pBdr>
        <w:spacing w:line="240" w:lineRule="auto"/>
        <w:jc w:val="left"/>
      </w:pPr>
      <w:r>
        <w:rPr>
          <w:b/>
          <w:bCs/>
        </w:rPr>
        <w:t>QRM</w:t>
      </w:r>
    </w:p>
    <w:p w14:paraId="611405CB" w14:textId="77777777" w:rsidR="00F75368" w:rsidRDefault="00F75368" w:rsidP="00F75368">
      <w:r>
        <w:t>On parle de «</w:t>
      </w:r>
      <w:r>
        <w:rPr>
          <w:rFonts w:ascii="Arial" w:eastAsia="Arial" w:hAnsi="Arial" w:cs="Arial"/>
        </w:rPr>
        <w:t> </w:t>
      </w:r>
      <w:r>
        <w:t>toux chronique</w:t>
      </w:r>
      <w:r>
        <w:rPr>
          <w:rFonts w:ascii="Arial" w:eastAsia="Arial" w:hAnsi="Arial" w:cs="Arial"/>
        </w:rPr>
        <w:t> </w:t>
      </w:r>
      <w:r>
        <w:t>» : cochez la(les) réponse(s) exact(s)</w:t>
      </w:r>
    </w:p>
    <w:p w14:paraId="582F221F" w14:textId="77777777" w:rsidR="00F75368" w:rsidRDefault="00F75368" w:rsidP="00F75368">
      <w:pPr>
        <w:numPr>
          <w:ilvl w:val="0"/>
          <w:numId w:val="46"/>
        </w:numPr>
        <w:pBdr>
          <w:top w:val="nil"/>
          <w:left w:val="nil"/>
          <w:bottom w:val="nil"/>
          <w:right w:val="nil"/>
          <w:between w:val="nil"/>
        </w:pBdr>
        <w:spacing w:line="220" w:lineRule="auto"/>
        <w:ind w:left="714" w:hanging="357"/>
        <w:jc w:val="left"/>
      </w:pPr>
      <w:r>
        <w:t xml:space="preserve">Quand la durée de la toux excède 3 semaines </w:t>
      </w:r>
    </w:p>
    <w:p w14:paraId="233CF640" w14:textId="77777777" w:rsidR="00F75368" w:rsidRDefault="00F75368" w:rsidP="00F75368">
      <w:pPr>
        <w:numPr>
          <w:ilvl w:val="0"/>
          <w:numId w:val="46"/>
        </w:numPr>
        <w:pBdr>
          <w:top w:val="nil"/>
          <w:left w:val="nil"/>
          <w:bottom w:val="nil"/>
          <w:right w:val="nil"/>
          <w:between w:val="nil"/>
        </w:pBdr>
        <w:spacing w:line="220" w:lineRule="auto"/>
        <w:ind w:left="714" w:hanging="357"/>
        <w:jc w:val="left"/>
      </w:pPr>
      <w:r>
        <w:t>Quand la durée de la toux excède 6 semaines</w:t>
      </w:r>
    </w:p>
    <w:p w14:paraId="74BFB9CE" w14:textId="77777777" w:rsidR="00F75368" w:rsidRDefault="00F75368" w:rsidP="00F75368">
      <w:pPr>
        <w:numPr>
          <w:ilvl w:val="0"/>
          <w:numId w:val="46"/>
        </w:numPr>
        <w:pBdr>
          <w:top w:val="nil"/>
          <w:left w:val="nil"/>
          <w:bottom w:val="nil"/>
          <w:right w:val="nil"/>
          <w:between w:val="nil"/>
        </w:pBdr>
        <w:spacing w:line="220" w:lineRule="auto"/>
        <w:ind w:left="714" w:hanging="357"/>
        <w:jc w:val="left"/>
      </w:pPr>
      <w:r>
        <w:t>Quand la durée de la toux excède 8 semaines</w:t>
      </w:r>
    </w:p>
    <w:p w14:paraId="7A481BC1" w14:textId="77777777" w:rsidR="00F75368" w:rsidRDefault="00F75368" w:rsidP="00F75368">
      <w:pPr>
        <w:numPr>
          <w:ilvl w:val="0"/>
          <w:numId w:val="46"/>
        </w:numPr>
        <w:pBdr>
          <w:top w:val="nil"/>
          <w:left w:val="nil"/>
          <w:bottom w:val="nil"/>
          <w:right w:val="nil"/>
          <w:between w:val="nil"/>
        </w:pBdr>
        <w:spacing w:line="220" w:lineRule="auto"/>
        <w:ind w:left="714" w:hanging="357"/>
        <w:jc w:val="left"/>
      </w:pPr>
      <w:r>
        <w:t>Uniquement si la toux est accompagnée d’une expectoration</w:t>
      </w:r>
    </w:p>
    <w:p w14:paraId="3B5DA822" w14:textId="77777777" w:rsidR="00F75368" w:rsidRDefault="00F75368" w:rsidP="00F75368">
      <w:pPr>
        <w:numPr>
          <w:ilvl w:val="0"/>
          <w:numId w:val="46"/>
        </w:numPr>
        <w:pBdr>
          <w:top w:val="nil"/>
          <w:left w:val="nil"/>
          <w:bottom w:val="nil"/>
          <w:right w:val="nil"/>
          <w:between w:val="nil"/>
        </w:pBdr>
        <w:spacing w:line="220" w:lineRule="auto"/>
        <w:ind w:left="714" w:hanging="357"/>
        <w:jc w:val="left"/>
      </w:pPr>
      <w:r>
        <w:t xml:space="preserve">Uniquement si la toux est accompagnée d’un hemmage </w:t>
      </w:r>
    </w:p>
    <w:p w14:paraId="13080548" w14:textId="77777777" w:rsidR="00F75368" w:rsidRDefault="00F75368" w:rsidP="00F75368">
      <w:pPr>
        <w:pBdr>
          <w:top w:val="nil"/>
          <w:left w:val="nil"/>
          <w:bottom w:val="nil"/>
          <w:right w:val="nil"/>
          <w:between w:val="nil"/>
        </w:pBdr>
        <w:spacing w:line="220" w:lineRule="auto"/>
        <w:ind w:left="714"/>
        <w:jc w:val="left"/>
      </w:pPr>
    </w:p>
    <w:p w14:paraId="35BF6855" w14:textId="77777777" w:rsidR="00F75368" w:rsidRDefault="00F75368" w:rsidP="00F75368">
      <w:pPr>
        <w:numPr>
          <w:ilvl w:val="0"/>
          <w:numId w:val="49"/>
        </w:numPr>
        <w:pBdr>
          <w:top w:val="nil"/>
          <w:left w:val="nil"/>
          <w:bottom w:val="nil"/>
          <w:right w:val="nil"/>
          <w:between w:val="nil"/>
        </w:pBdr>
        <w:spacing w:line="240" w:lineRule="auto"/>
        <w:jc w:val="left"/>
      </w:pPr>
      <w:r>
        <w:rPr>
          <w:b/>
          <w:bCs/>
        </w:rPr>
        <w:t>QRU</w:t>
      </w:r>
    </w:p>
    <w:p w14:paraId="0B12622B" w14:textId="77777777" w:rsidR="00F75368" w:rsidRDefault="00F75368" w:rsidP="00F75368">
      <w:r>
        <w:t>Les pathologies ci-dessous peuvent être la cause d’une toux aiguë sauf trois lesquelles</w:t>
      </w:r>
      <w:r>
        <w:rPr>
          <w:rFonts w:ascii="Arial" w:eastAsia="Arial" w:hAnsi="Arial" w:cs="Arial"/>
        </w:rPr>
        <w:t> </w:t>
      </w:r>
      <w:r>
        <w:t>?</w:t>
      </w:r>
    </w:p>
    <w:p w14:paraId="5B4CC491"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Rhinopharyngite aiguë</w:t>
      </w:r>
    </w:p>
    <w:p w14:paraId="2B1DCA51"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Bronchite aiguë</w:t>
      </w:r>
    </w:p>
    <w:p w14:paraId="30E73E86"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BPCO</w:t>
      </w:r>
    </w:p>
    <w:p w14:paraId="32565DE4"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 xml:space="preserve">Reflux gastro-œsophagien </w:t>
      </w:r>
    </w:p>
    <w:p w14:paraId="365CCB0C"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Asthme</w:t>
      </w:r>
    </w:p>
    <w:p w14:paraId="20E64F52"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Cholécystite aiguë</w:t>
      </w:r>
    </w:p>
    <w:p w14:paraId="3E7DCCF6"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Pneumonie</w:t>
      </w:r>
    </w:p>
    <w:p w14:paraId="7B2CE0D7"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Hépatite virale aiguë</w:t>
      </w:r>
    </w:p>
    <w:p w14:paraId="03BA9264" w14:textId="77777777" w:rsidR="00F75368" w:rsidRDefault="00F75368" w:rsidP="00F75368">
      <w:pPr>
        <w:numPr>
          <w:ilvl w:val="0"/>
          <w:numId w:val="47"/>
        </w:numPr>
        <w:pBdr>
          <w:top w:val="nil"/>
          <w:left w:val="nil"/>
          <w:bottom w:val="nil"/>
          <w:right w:val="nil"/>
          <w:between w:val="nil"/>
        </w:pBdr>
        <w:spacing w:line="220" w:lineRule="auto"/>
        <w:ind w:left="714" w:hanging="357"/>
        <w:jc w:val="left"/>
      </w:pPr>
      <w:r>
        <w:t>Ulcère gastrique</w:t>
      </w:r>
    </w:p>
    <w:p w14:paraId="278ECA97" w14:textId="77777777" w:rsidR="00F75368" w:rsidRDefault="00F75368" w:rsidP="00F75368">
      <w:pPr>
        <w:pBdr>
          <w:top w:val="nil"/>
          <w:left w:val="nil"/>
          <w:bottom w:val="nil"/>
          <w:right w:val="nil"/>
          <w:between w:val="nil"/>
        </w:pBdr>
        <w:spacing w:line="220" w:lineRule="auto"/>
        <w:ind w:left="714"/>
        <w:jc w:val="left"/>
      </w:pPr>
    </w:p>
    <w:p w14:paraId="2BFEC88A" w14:textId="77777777" w:rsidR="00F75368" w:rsidRDefault="00F75368" w:rsidP="00F75368">
      <w:pPr>
        <w:numPr>
          <w:ilvl w:val="0"/>
          <w:numId w:val="49"/>
        </w:numPr>
        <w:pBdr>
          <w:top w:val="nil"/>
          <w:left w:val="nil"/>
          <w:bottom w:val="nil"/>
          <w:right w:val="nil"/>
          <w:between w:val="nil"/>
        </w:pBdr>
        <w:spacing w:line="240" w:lineRule="auto"/>
        <w:jc w:val="left"/>
      </w:pPr>
      <w:r>
        <w:rPr>
          <w:b/>
          <w:bCs/>
        </w:rPr>
        <w:t>QRU</w:t>
      </w:r>
    </w:p>
    <w:p w14:paraId="68602D1F" w14:textId="77777777" w:rsidR="00F75368" w:rsidRDefault="00F75368" w:rsidP="00F75368">
      <w:bookmarkStart w:id="2" w:name="_heading=h.t0cxtl70yaf9" w:colFirst="0" w:colLast="0"/>
      <w:bookmarkEnd w:id="2"/>
      <w:r>
        <w:t>Toutes les pathologies/situations listées ci-dessous peuvent être à l’origine d’une toux chronique sauf une, laquelle</w:t>
      </w:r>
      <w:r>
        <w:rPr>
          <w:rFonts w:ascii="Arial" w:eastAsia="Arial" w:hAnsi="Arial" w:cs="Arial"/>
        </w:rPr>
        <w:t> </w:t>
      </w:r>
      <w:r>
        <w:t>?</w:t>
      </w:r>
    </w:p>
    <w:p w14:paraId="4CAFFA0B" w14:textId="77777777" w:rsidR="00F75368" w:rsidRDefault="00F75368" w:rsidP="00F75368">
      <w:pPr>
        <w:numPr>
          <w:ilvl w:val="0"/>
          <w:numId w:val="48"/>
        </w:numPr>
        <w:pBdr>
          <w:top w:val="nil"/>
          <w:left w:val="nil"/>
          <w:bottom w:val="nil"/>
          <w:right w:val="nil"/>
          <w:between w:val="nil"/>
        </w:pBdr>
        <w:spacing w:line="220" w:lineRule="auto"/>
        <w:ind w:left="714" w:hanging="357"/>
        <w:jc w:val="left"/>
      </w:pPr>
      <w:r>
        <w:t xml:space="preserve">Reflux gastro-œsophagien </w:t>
      </w:r>
    </w:p>
    <w:p w14:paraId="16185489" w14:textId="77777777" w:rsidR="00F75368" w:rsidRDefault="00F75368" w:rsidP="00F75368">
      <w:pPr>
        <w:numPr>
          <w:ilvl w:val="0"/>
          <w:numId w:val="48"/>
        </w:numPr>
        <w:pBdr>
          <w:top w:val="nil"/>
          <w:left w:val="nil"/>
          <w:bottom w:val="nil"/>
          <w:right w:val="nil"/>
          <w:between w:val="nil"/>
        </w:pBdr>
        <w:spacing w:line="220" w:lineRule="auto"/>
        <w:ind w:left="714" w:hanging="357"/>
        <w:jc w:val="left"/>
      </w:pPr>
      <w:r>
        <w:t>Prise de gliptine</w:t>
      </w:r>
    </w:p>
    <w:p w14:paraId="3E6FCBC2" w14:textId="77777777" w:rsidR="00F75368" w:rsidRDefault="00F75368" w:rsidP="00F75368">
      <w:pPr>
        <w:numPr>
          <w:ilvl w:val="0"/>
          <w:numId w:val="48"/>
        </w:numPr>
        <w:pBdr>
          <w:top w:val="nil"/>
          <w:left w:val="nil"/>
          <w:bottom w:val="nil"/>
          <w:right w:val="nil"/>
          <w:between w:val="nil"/>
        </w:pBdr>
        <w:spacing w:line="220" w:lineRule="auto"/>
        <w:ind w:left="714" w:hanging="357"/>
        <w:jc w:val="left"/>
      </w:pPr>
      <w:r>
        <w:t xml:space="preserve">Prise de laxatifs </w:t>
      </w:r>
    </w:p>
    <w:p w14:paraId="61E8AFF6" w14:textId="77777777" w:rsidR="00F75368" w:rsidRDefault="00F75368" w:rsidP="00F75368">
      <w:pPr>
        <w:numPr>
          <w:ilvl w:val="0"/>
          <w:numId w:val="48"/>
        </w:numPr>
        <w:pBdr>
          <w:top w:val="nil"/>
          <w:left w:val="nil"/>
          <w:bottom w:val="nil"/>
          <w:right w:val="nil"/>
          <w:between w:val="nil"/>
        </w:pBdr>
        <w:spacing w:line="220" w:lineRule="auto"/>
        <w:ind w:left="714" w:hanging="357"/>
        <w:jc w:val="left"/>
      </w:pPr>
      <w:r>
        <w:t>Sinusite chronique</w:t>
      </w:r>
    </w:p>
    <w:p w14:paraId="36B34C15" w14:textId="77777777" w:rsidR="00F75368" w:rsidRDefault="00F75368" w:rsidP="00F75368">
      <w:pPr>
        <w:numPr>
          <w:ilvl w:val="0"/>
          <w:numId w:val="48"/>
        </w:numPr>
        <w:pBdr>
          <w:top w:val="nil"/>
          <w:left w:val="nil"/>
          <w:bottom w:val="nil"/>
          <w:right w:val="nil"/>
          <w:between w:val="nil"/>
        </w:pBdr>
        <w:spacing w:line="220" w:lineRule="auto"/>
        <w:ind w:left="714" w:hanging="357"/>
        <w:jc w:val="left"/>
      </w:pPr>
      <w:r>
        <w:t>BPCO</w:t>
      </w:r>
    </w:p>
    <w:p w14:paraId="177A81B2" w14:textId="77777777" w:rsidR="00F75368" w:rsidRDefault="00F75368" w:rsidP="00F75368">
      <w:pPr>
        <w:keepNext/>
        <w:pBdr>
          <w:top w:val="nil"/>
          <w:left w:val="nil"/>
          <w:bottom w:val="nil"/>
          <w:right w:val="nil"/>
          <w:between w:val="nil"/>
        </w:pBdr>
        <w:tabs>
          <w:tab w:val="left" w:pos="284"/>
        </w:tabs>
        <w:spacing w:before="60" w:after="60" w:line="240" w:lineRule="auto"/>
        <w:rPr>
          <w:b/>
          <w:bCs/>
          <w:color w:val="0F4761"/>
          <w:sz w:val="28"/>
          <w:szCs w:val="28"/>
        </w:rPr>
      </w:pPr>
      <w:r>
        <w:br w:type="page"/>
      </w:r>
    </w:p>
    <w:p w14:paraId="51CE48C1" w14:textId="77777777" w:rsidR="00F75368" w:rsidRDefault="00F75368" w:rsidP="00F75368">
      <w:pPr>
        <w:rPr>
          <w:b/>
          <w:bCs/>
          <w:smallCaps/>
          <w:color w:val="0070C0"/>
        </w:rPr>
      </w:pPr>
      <w:r>
        <w:rPr>
          <w:b/>
          <w:bCs/>
          <w:smallCaps/>
          <w:color w:val="0070C0"/>
        </w:rPr>
        <w:lastRenderedPageBreak/>
        <w:t>RÉPONSES</w:t>
      </w:r>
    </w:p>
    <w:p w14:paraId="71C9EBB4" w14:textId="77777777" w:rsidR="00F75368" w:rsidRDefault="00F75368" w:rsidP="00F75368">
      <w:pPr>
        <w:jc w:val="center"/>
        <w:rPr>
          <w:b/>
          <w:bCs/>
        </w:rPr>
      </w:pPr>
    </w:p>
    <w:p w14:paraId="6A643F31" w14:textId="77777777" w:rsidR="00F75368" w:rsidRDefault="00F75368" w:rsidP="00F75368">
      <w:pPr>
        <w:numPr>
          <w:ilvl w:val="0"/>
          <w:numId w:val="41"/>
        </w:numPr>
        <w:pBdr>
          <w:top w:val="nil"/>
          <w:left w:val="nil"/>
          <w:bottom w:val="nil"/>
          <w:right w:val="nil"/>
          <w:between w:val="nil"/>
        </w:pBdr>
        <w:spacing w:before="80" w:line="240" w:lineRule="auto"/>
        <w:jc w:val="left"/>
      </w:pPr>
      <w:r>
        <w:rPr>
          <w:b/>
          <w:bCs/>
        </w:rPr>
        <w:t>QRM</w:t>
      </w:r>
    </w:p>
    <w:p w14:paraId="22D91CBC" w14:textId="77777777" w:rsidR="00F75368" w:rsidRDefault="00F75368" w:rsidP="00F75368">
      <w:r>
        <w:t>Réponse : C</w:t>
      </w:r>
    </w:p>
    <w:p w14:paraId="53E117C9" w14:textId="77777777" w:rsidR="00F75368" w:rsidRDefault="00F75368" w:rsidP="00F75368">
      <w:r>
        <w:t xml:space="preserve">Commentaire : </w:t>
      </w:r>
    </w:p>
    <w:p w14:paraId="7E301B48" w14:textId="47BA5F26" w:rsidR="00F75368" w:rsidRDefault="00F75368" w:rsidP="00F75368">
      <w:r>
        <w:t>La toux chronique dure plus de 8 semaines et va donc nécessiter une prise en charge spécifique</w:t>
      </w:r>
      <w:r>
        <w:rPr>
          <w:rFonts w:ascii="Arial" w:eastAsia="Arial" w:hAnsi="Arial" w:cs="Arial"/>
        </w:rPr>
        <w:t> </w:t>
      </w:r>
      <w:r>
        <w:t>; la toux chronique peut être une toux sèche</w:t>
      </w:r>
      <w:r>
        <w:rPr>
          <w:rFonts w:ascii="Arial" w:eastAsia="Arial" w:hAnsi="Arial" w:cs="Arial"/>
        </w:rPr>
        <w:t> </w:t>
      </w:r>
      <w:r>
        <w:t>; le hemmage, ou raclement de gorge peut être confondu avec la toux.</w:t>
      </w:r>
    </w:p>
    <w:p w14:paraId="54365861" w14:textId="77777777" w:rsidR="00F75368" w:rsidRDefault="00F75368" w:rsidP="00F75368"/>
    <w:p w14:paraId="169381D5" w14:textId="77777777" w:rsidR="00F75368" w:rsidRDefault="00F75368" w:rsidP="00F75368">
      <w:pPr>
        <w:numPr>
          <w:ilvl w:val="0"/>
          <w:numId w:val="41"/>
        </w:numPr>
        <w:pBdr>
          <w:top w:val="nil"/>
          <w:left w:val="nil"/>
          <w:bottom w:val="nil"/>
          <w:right w:val="nil"/>
          <w:between w:val="nil"/>
        </w:pBdr>
        <w:spacing w:before="80" w:line="240" w:lineRule="auto"/>
        <w:jc w:val="left"/>
      </w:pPr>
      <w:r>
        <w:rPr>
          <w:b/>
          <w:bCs/>
        </w:rPr>
        <w:t>QRU</w:t>
      </w:r>
    </w:p>
    <w:p w14:paraId="33E898C7" w14:textId="77777777" w:rsidR="00F75368" w:rsidRDefault="00F75368" w:rsidP="00F75368">
      <w:r>
        <w:t>Réponse : FHI</w:t>
      </w:r>
    </w:p>
    <w:p w14:paraId="6D433E4F" w14:textId="77777777" w:rsidR="00F75368" w:rsidRDefault="00F75368" w:rsidP="00F75368"/>
    <w:p w14:paraId="7D39E04F" w14:textId="77777777" w:rsidR="00F75368" w:rsidRDefault="00F75368" w:rsidP="00F75368">
      <w:pPr>
        <w:numPr>
          <w:ilvl w:val="0"/>
          <w:numId w:val="41"/>
        </w:numPr>
        <w:pBdr>
          <w:top w:val="nil"/>
          <w:left w:val="nil"/>
          <w:bottom w:val="nil"/>
          <w:right w:val="nil"/>
          <w:between w:val="nil"/>
        </w:pBdr>
        <w:spacing w:before="80" w:line="240" w:lineRule="auto"/>
        <w:jc w:val="left"/>
      </w:pPr>
      <w:r>
        <w:rPr>
          <w:b/>
          <w:bCs/>
        </w:rPr>
        <w:t>QRU</w:t>
      </w:r>
    </w:p>
    <w:p w14:paraId="305F249F" w14:textId="77777777" w:rsidR="00F75368" w:rsidRDefault="00F75368" w:rsidP="00F75368">
      <w:r>
        <w:t>Réponse : C</w:t>
      </w:r>
    </w:p>
    <w:p w14:paraId="15B96620" w14:textId="77777777" w:rsidR="00F75368" w:rsidRDefault="00F75368" w:rsidP="00F75368"/>
    <w:sectPr w:rsidR="00F75368" w:rsidSect="00876EF8">
      <w:headerReference w:type="even" r:id="rId14"/>
      <w:headerReference w:type="default" r:id="rId15"/>
      <w:footerReference w:type="even" r:id="rId16"/>
      <w:footerReference w:type="default" r:id="rId17"/>
      <w:headerReference w:type="first" r:id="rId18"/>
      <w:footerReference w:type="first" r:id="rId19"/>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E25125" w14:textId="77777777" w:rsidR="005230E8" w:rsidRDefault="005230E8" w:rsidP="008C15DC">
      <w:pPr>
        <w:spacing w:line="240" w:lineRule="auto"/>
      </w:pPr>
      <w:r>
        <w:separator/>
      </w:r>
    </w:p>
  </w:endnote>
  <w:endnote w:type="continuationSeparator" w:id="0">
    <w:p w14:paraId="4564DCC1" w14:textId="77777777" w:rsidR="005230E8" w:rsidRDefault="005230E8" w:rsidP="008C15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99607E" w14:textId="77777777" w:rsidR="008C15DC" w:rsidRDefault="008C15D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889E65" w14:textId="77777777" w:rsidR="008C15DC" w:rsidRDefault="008C15D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F7229D" w14:textId="77777777" w:rsidR="008C15DC" w:rsidRDefault="008C15D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326897" w14:textId="77777777" w:rsidR="005230E8" w:rsidRDefault="005230E8" w:rsidP="008C15DC">
      <w:pPr>
        <w:spacing w:line="240" w:lineRule="auto"/>
      </w:pPr>
      <w:r>
        <w:separator/>
      </w:r>
    </w:p>
  </w:footnote>
  <w:footnote w:type="continuationSeparator" w:id="0">
    <w:p w14:paraId="029E3210" w14:textId="77777777" w:rsidR="005230E8" w:rsidRDefault="005230E8" w:rsidP="008C15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3CCD1D" w14:textId="77777777" w:rsidR="008C15DC" w:rsidRDefault="008C15D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7008E9" w14:textId="77777777" w:rsidR="008C15DC" w:rsidRPr="00F201C7" w:rsidRDefault="008C15DC" w:rsidP="008C15DC">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20701D86" w14:textId="77777777" w:rsidR="008C15DC" w:rsidRDefault="008C15DC">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137C44" w14:textId="77777777" w:rsidR="008C15DC" w:rsidRDefault="008C15D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280EE0"/>
    <w:multiLevelType w:val="multilevel"/>
    <w:tmpl w:val="A2CCEF3E"/>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541F98"/>
    <w:multiLevelType w:val="multilevel"/>
    <w:tmpl w:val="9B1278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065072"/>
    <w:multiLevelType w:val="multilevel"/>
    <w:tmpl w:val="BD52A796"/>
    <w:lvl w:ilvl="0">
      <w:start w:val="1"/>
      <w:numFmt w:val="decimal"/>
      <w:lvlText w:val="%1"/>
      <w:lvlJc w:val="left"/>
      <w:pPr>
        <w:ind w:left="450" w:hanging="450"/>
      </w:pPr>
    </w:lvl>
    <w:lvl w:ilvl="1">
      <w:start w:val="1"/>
      <w:numFmt w:val="decimal"/>
      <w:lvlText w:val="%2."/>
      <w:lvlJc w:val="left"/>
      <w:pPr>
        <w:ind w:left="720" w:hanging="720"/>
      </w:pPr>
      <w:rPr>
        <w:rFonts w:ascii="Trebuchet MS" w:eastAsia="Trebuchet MS" w:hAnsi="Trebuchet MS" w:cs="Trebuchet MS"/>
        <w:color w:val="FFFFFF"/>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A592F90"/>
    <w:multiLevelType w:val="multilevel"/>
    <w:tmpl w:val="BDC017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D4666F5"/>
    <w:multiLevelType w:val="multilevel"/>
    <w:tmpl w:val="4790D24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62EA6"/>
    <w:multiLevelType w:val="multilevel"/>
    <w:tmpl w:val="A82E90EC"/>
    <w:lvl w:ilvl="0">
      <w:start w:val="1"/>
      <w:numFmt w:val="decimal"/>
      <w:lvlText w:val="%1."/>
      <w:lvlJc w:val="left"/>
      <w:pPr>
        <w:ind w:left="0" w:firstLine="0"/>
      </w:pPr>
      <w:rPr>
        <w:rFonts w:ascii="Trebuchet MS" w:eastAsia="Trebuchet MS" w:hAnsi="Trebuchet MS" w:cs="Trebuchet MS"/>
        <w:b w:val="0"/>
        <w:bCs w:val="0"/>
        <w:i w:val="0"/>
        <w:iCs w:val="0"/>
        <w:smallCaps w:val="0"/>
        <w:strike w:val="0"/>
        <w:color w:val="000000"/>
        <w:u w:val="none"/>
        <w:vertAlign w:val="baseline"/>
      </w:rPr>
    </w:lvl>
    <w:lvl w:ilvl="1">
      <w:start w:val="1"/>
      <w:numFmt w:val="decimal"/>
      <w:lvlText w:val="%1.%2"/>
      <w:lvlJc w:val="left"/>
      <w:pPr>
        <w:ind w:left="705" w:hanging="705"/>
      </w:pPr>
    </w:lvl>
    <w:lvl w:ilvl="2">
      <w:start w:val="2"/>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15923C43"/>
    <w:multiLevelType w:val="multilevel"/>
    <w:tmpl w:val="0DBC47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6C3672D"/>
    <w:multiLevelType w:val="multilevel"/>
    <w:tmpl w:val="1042363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7952EC"/>
    <w:multiLevelType w:val="multilevel"/>
    <w:tmpl w:val="B9C423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7A07BB"/>
    <w:multiLevelType w:val="multilevel"/>
    <w:tmpl w:val="31DE6C6C"/>
    <w:lvl w:ilvl="0">
      <w:start w:val="1"/>
      <w:numFmt w:val="bullet"/>
      <w:lvlText w:val=""/>
      <w:lvlJc w:val="left"/>
      <w:pPr>
        <w:ind w:left="1080" w:hanging="360"/>
      </w:pPr>
      <w:rPr>
        <w:rFonts w:ascii="Wingdings 2" w:hAnsi="Wingdings 2"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284A47B0"/>
    <w:multiLevelType w:val="multilevel"/>
    <w:tmpl w:val="03AAF24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B85DAC"/>
    <w:multiLevelType w:val="multilevel"/>
    <w:tmpl w:val="9A2630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720" w:hanging="360"/>
      </w:pPr>
      <w:rPr>
        <w:rFonts w:ascii="Wingdings 2" w:hAnsi="Wingdings 2"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05A1E6D"/>
    <w:multiLevelType w:val="multilevel"/>
    <w:tmpl w:val="B3484630"/>
    <w:lvl w:ilvl="0">
      <w:start w:val="1"/>
      <w:numFmt w:val="bullet"/>
      <w:lvlText w:val=""/>
      <w:lvlJc w:val="left"/>
      <w:pPr>
        <w:ind w:left="1080" w:hanging="360"/>
      </w:pPr>
      <w:rPr>
        <w:rFonts w:ascii="Wingdings 2" w:hAnsi="Wingdings 2"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32314055"/>
    <w:multiLevelType w:val="multilevel"/>
    <w:tmpl w:val="D7EAA9AC"/>
    <w:lvl w:ilvl="0">
      <w:start w:val="1"/>
      <w:numFmt w:val="bullet"/>
      <w:lvlText w:val=""/>
      <w:lvlJc w:val="left"/>
      <w:pPr>
        <w:ind w:left="720" w:hanging="360"/>
      </w:pPr>
      <w:rPr>
        <w:rFonts w:ascii="Wingdings 2" w:hAnsi="Wingdings 2" w:hint="default"/>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4CB1F8F"/>
    <w:multiLevelType w:val="multilevel"/>
    <w:tmpl w:val="B0C85B1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4EA3627"/>
    <w:multiLevelType w:val="multilevel"/>
    <w:tmpl w:val="7AC6A4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357A4EAB"/>
    <w:multiLevelType w:val="multilevel"/>
    <w:tmpl w:val="9978384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B8B7C08"/>
    <w:multiLevelType w:val="multilevel"/>
    <w:tmpl w:val="358E15A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E323C90"/>
    <w:multiLevelType w:val="multilevel"/>
    <w:tmpl w:val="1C24F6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2421877"/>
    <w:multiLevelType w:val="multilevel"/>
    <w:tmpl w:val="7222E2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8E0717E"/>
    <w:multiLevelType w:val="multilevel"/>
    <w:tmpl w:val="A090428E"/>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A5C7F4B"/>
    <w:multiLevelType w:val="hybridMultilevel"/>
    <w:tmpl w:val="DE68DC4A"/>
    <w:lvl w:ilvl="0" w:tplc="496E8962">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23" w15:restartNumberingAfterBreak="0">
    <w:nsid w:val="515201C8"/>
    <w:multiLevelType w:val="multilevel"/>
    <w:tmpl w:val="F1C48A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2AA025A"/>
    <w:multiLevelType w:val="multilevel"/>
    <w:tmpl w:val="DF94D4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496429C"/>
    <w:multiLevelType w:val="multilevel"/>
    <w:tmpl w:val="564CF9E0"/>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68E3DEE"/>
    <w:multiLevelType w:val="multilevel"/>
    <w:tmpl w:val="2AE4DC40"/>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27" w15:restartNumberingAfterBreak="0">
    <w:nsid w:val="5A47284A"/>
    <w:multiLevelType w:val="multilevel"/>
    <w:tmpl w:val="8D1CE5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DE02528"/>
    <w:multiLevelType w:val="multilevel"/>
    <w:tmpl w:val="5FACAF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097BA2"/>
    <w:multiLevelType w:val="multilevel"/>
    <w:tmpl w:val="9B2A1DA6"/>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15C630C"/>
    <w:multiLevelType w:val="multilevel"/>
    <w:tmpl w:val="37C85E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0A146F"/>
    <w:multiLevelType w:val="multilevel"/>
    <w:tmpl w:val="1488F3FA"/>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32" w15:restartNumberingAfterBreak="0">
    <w:nsid w:val="6490256D"/>
    <w:multiLevelType w:val="multilevel"/>
    <w:tmpl w:val="E392FD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73E70A8"/>
    <w:multiLevelType w:val="multilevel"/>
    <w:tmpl w:val="5E82399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5D76F5"/>
    <w:multiLevelType w:val="multilevel"/>
    <w:tmpl w:val="C71C13E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436211"/>
    <w:multiLevelType w:val="multilevel"/>
    <w:tmpl w:val="DFD6B4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720" w:hanging="360"/>
      </w:pPr>
      <w:rPr>
        <w:rFonts w:ascii="Wingdings 2" w:hAnsi="Wingdings 2"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E32503E"/>
    <w:multiLevelType w:val="multilevel"/>
    <w:tmpl w:val="38C64B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F07228A"/>
    <w:multiLevelType w:val="multilevel"/>
    <w:tmpl w:val="70362F1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0343C97"/>
    <w:multiLevelType w:val="multilevel"/>
    <w:tmpl w:val="229644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0C21AB6"/>
    <w:multiLevelType w:val="hybridMultilevel"/>
    <w:tmpl w:val="42A4EF6E"/>
    <w:lvl w:ilvl="0" w:tplc="7B3AFBB6">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40" w15:restartNumberingAfterBreak="0">
    <w:nsid w:val="72B548A6"/>
    <w:multiLevelType w:val="multilevel"/>
    <w:tmpl w:val="AC04A7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44120EB"/>
    <w:multiLevelType w:val="multilevel"/>
    <w:tmpl w:val="2264B4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50109C8"/>
    <w:multiLevelType w:val="multilevel"/>
    <w:tmpl w:val="00DEBF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69213F6"/>
    <w:multiLevelType w:val="multilevel"/>
    <w:tmpl w:val="F65A7034"/>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B2D47B6"/>
    <w:multiLevelType w:val="multilevel"/>
    <w:tmpl w:val="A22619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7EC77F63"/>
    <w:multiLevelType w:val="multilevel"/>
    <w:tmpl w:val="8FF412FE"/>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F692767"/>
    <w:multiLevelType w:val="hybridMultilevel"/>
    <w:tmpl w:val="FA649AEC"/>
    <w:lvl w:ilvl="0" w:tplc="F4006332">
      <w:start w:val="1"/>
      <w:numFmt w:val="decimal"/>
      <w:pStyle w:val="pointscls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0"/>
  </w:num>
  <w:num w:numId="2" w16cid:durableId="1579822130">
    <w:abstractNumId w:val="12"/>
  </w:num>
  <w:num w:numId="3" w16cid:durableId="2103211215">
    <w:abstractNumId w:val="46"/>
  </w:num>
  <w:num w:numId="4" w16cid:durableId="2093507064">
    <w:abstractNumId w:val="32"/>
  </w:num>
  <w:num w:numId="5" w16cid:durableId="277297964">
    <w:abstractNumId w:val="29"/>
  </w:num>
  <w:num w:numId="6" w16cid:durableId="2095124442">
    <w:abstractNumId w:val="11"/>
  </w:num>
  <w:num w:numId="7" w16cid:durableId="677581044">
    <w:abstractNumId w:val="38"/>
  </w:num>
  <w:num w:numId="8" w16cid:durableId="631709697">
    <w:abstractNumId w:val="40"/>
  </w:num>
  <w:num w:numId="9" w16cid:durableId="140003476">
    <w:abstractNumId w:val="35"/>
  </w:num>
  <w:num w:numId="10" w16cid:durableId="1384406487">
    <w:abstractNumId w:val="14"/>
  </w:num>
  <w:num w:numId="11" w16cid:durableId="197084859">
    <w:abstractNumId w:val="22"/>
  </w:num>
  <w:num w:numId="12" w16cid:durableId="1581209488">
    <w:abstractNumId w:val="30"/>
  </w:num>
  <w:num w:numId="13" w16cid:durableId="1692564564">
    <w:abstractNumId w:val="6"/>
  </w:num>
  <w:num w:numId="14" w16cid:durableId="343822613">
    <w:abstractNumId w:val="1"/>
  </w:num>
  <w:num w:numId="15" w16cid:durableId="808479257">
    <w:abstractNumId w:val="20"/>
  </w:num>
  <w:num w:numId="16" w16cid:durableId="302200075">
    <w:abstractNumId w:val="34"/>
  </w:num>
  <w:num w:numId="17" w16cid:durableId="254631106">
    <w:abstractNumId w:val="37"/>
  </w:num>
  <w:num w:numId="18" w16cid:durableId="1989898923">
    <w:abstractNumId w:val="17"/>
  </w:num>
  <w:num w:numId="19" w16cid:durableId="1744986926">
    <w:abstractNumId w:val="27"/>
  </w:num>
  <w:num w:numId="20" w16cid:durableId="452406031">
    <w:abstractNumId w:val="26"/>
  </w:num>
  <w:num w:numId="21" w16cid:durableId="101003439">
    <w:abstractNumId w:val="19"/>
  </w:num>
  <w:num w:numId="22" w16cid:durableId="1794322839">
    <w:abstractNumId w:val="39"/>
  </w:num>
  <w:num w:numId="23" w16cid:durableId="1074477064">
    <w:abstractNumId w:val="5"/>
  </w:num>
  <w:num w:numId="24" w16cid:durableId="1158228632">
    <w:abstractNumId w:val="16"/>
  </w:num>
  <w:num w:numId="25" w16cid:durableId="257494242">
    <w:abstractNumId w:val="45"/>
  </w:num>
  <w:num w:numId="26" w16cid:durableId="1480152965">
    <w:abstractNumId w:val="9"/>
  </w:num>
  <w:num w:numId="27" w16cid:durableId="1557661168">
    <w:abstractNumId w:val="13"/>
  </w:num>
  <w:num w:numId="28" w16cid:durableId="378359426">
    <w:abstractNumId w:val="23"/>
  </w:num>
  <w:num w:numId="29" w16cid:durableId="931863548">
    <w:abstractNumId w:val="28"/>
  </w:num>
  <w:num w:numId="30" w16cid:durableId="722676435">
    <w:abstractNumId w:val="2"/>
  </w:num>
  <w:num w:numId="31" w16cid:durableId="428934503">
    <w:abstractNumId w:val="31"/>
  </w:num>
  <w:num w:numId="32" w16cid:durableId="973144273">
    <w:abstractNumId w:val="41"/>
  </w:num>
  <w:num w:numId="33" w16cid:durableId="748767837">
    <w:abstractNumId w:val="10"/>
  </w:num>
  <w:num w:numId="34" w16cid:durableId="689257957">
    <w:abstractNumId w:val="33"/>
  </w:num>
  <w:num w:numId="35" w16cid:durableId="1429036681">
    <w:abstractNumId w:val="42"/>
  </w:num>
  <w:num w:numId="36" w16cid:durableId="1999310609">
    <w:abstractNumId w:val="3"/>
  </w:num>
  <w:num w:numId="37" w16cid:durableId="648704253">
    <w:abstractNumId w:val="4"/>
  </w:num>
  <w:num w:numId="38" w16cid:durableId="1091658290">
    <w:abstractNumId w:val="36"/>
  </w:num>
  <w:num w:numId="39" w16cid:durableId="307633988">
    <w:abstractNumId w:val="12"/>
    <w:lvlOverride w:ilvl="0">
      <w:startOverride w:val="1"/>
    </w:lvlOverride>
  </w:num>
  <w:num w:numId="40" w16cid:durableId="1781535406">
    <w:abstractNumId w:val="12"/>
    <w:lvlOverride w:ilvl="0">
      <w:startOverride w:val="1"/>
    </w:lvlOverride>
  </w:num>
  <w:num w:numId="41" w16cid:durableId="1620793936">
    <w:abstractNumId w:val="44"/>
  </w:num>
  <w:num w:numId="42" w16cid:durableId="1513761806">
    <w:abstractNumId w:val="18"/>
  </w:num>
  <w:num w:numId="43" w16cid:durableId="783617840">
    <w:abstractNumId w:val="43"/>
  </w:num>
  <w:num w:numId="44" w16cid:durableId="311327552">
    <w:abstractNumId w:val="8"/>
  </w:num>
  <w:num w:numId="45" w16cid:durableId="1139229571">
    <w:abstractNumId w:val="25"/>
  </w:num>
  <w:num w:numId="46" w16cid:durableId="1384520150">
    <w:abstractNumId w:val="15"/>
  </w:num>
  <w:num w:numId="47" w16cid:durableId="72237680">
    <w:abstractNumId w:val="24"/>
  </w:num>
  <w:num w:numId="48" w16cid:durableId="367880836">
    <w:abstractNumId w:val="7"/>
  </w:num>
  <w:num w:numId="49" w16cid:durableId="1404836814">
    <w:abstractNumId w:val="21"/>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240AB"/>
    <w:rsid w:val="00083536"/>
    <w:rsid w:val="0010541F"/>
    <w:rsid w:val="001C54DE"/>
    <w:rsid w:val="001D386C"/>
    <w:rsid w:val="00236555"/>
    <w:rsid w:val="002C7C57"/>
    <w:rsid w:val="00306201"/>
    <w:rsid w:val="00362251"/>
    <w:rsid w:val="00375B9C"/>
    <w:rsid w:val="003C3137"/>
    <w:rsid w:val="003E5332"/>
    <w:rsid w:val="00454A58"/>
    <w:rsid w:val="005230E8"/>
    <w:rsid w:val="005645B3"/>
    <w:rsid w:val="005B6A3A"/>
    <w:rsid w:val="00614CBE"/>
    <w:rsid w:val="00665E5D"/>
    <w:rsid w:val="00696E6A"/>
    <w:rsid w:val="006E0985"/>
    <w:rsid w:val="00711BBF"/>
    <w:rsid w:val="0082796C"/>
    <w:rsid w:val="00876EF8"/>
    <w:rsid w:val="0088205E"/>
    <w:rsid w:val="008B41F0"/>
    <w:rsid w:val="008C15DC"/>
    <w:rsid w:val="008D0B6D"/>
    <w:rsid w:val="00907A92"/>
    <w:rsid w:val="00930986"/>
    <w:rsid w:val="00963F94"/>
    <w:rsid w:val="00995C77"/>
    <w:rsid w:val="00A65C23"/>
    <w:rsid w:val="00AC56AB"/>
    <w:rsid w:val="00AF2941"/>
    <w:rsid w:val="00BC5580"/>
    <w:rsid w:val="00C2589B"/>
    <w:rsid w:val="00C65E3C"/>
    <w:rsid w:val="00D12181"/>
    <w:rsid w:val="00D4011F"/>
    <w:rsid w:val="00D55DF5"/>
    <w:rsid w:val="00E22E24"/>
    <w:rsid w:val="00E420F7"/>
    <w:rsid w:val="00E54D0A"/>
    <w:rsid w:val="00E84981"/>
    <w:rsid w:val="00EC1890"/>
    <w:rsid w:val="00EE0D03"/>
    <w:rsid w:val="00F0419D"/>
    <w:rsid w:val="00F75368"/>
    <w:rsid w:val="00F90151"/>
    <w:rsid w:val="00FB18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Normal"/>
    <w:next w:val="Normal"/>
    <w:link w:val="Titre4Car"/>
    <w:uiPriority w:val="9"/>
    <w:semiHidden/>
    <w:unhideWhenUsed/>
    <w:qFormat/>
    <w:rsid w:val="00876E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semiHidden/>
    <w:rsid w:val="00876EF8"/>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930986"/>
    <w:pPr>
      <w:numPr>
        <w:numId w:val="3"/>
      </w:numPr>
      <w:pBdr>
        <w:top w:val="single" w:sz="4" w:space="1" w:color="2E74B5"/>
        <w:left w:val="single" w:sz="4" w:space="4" w:color="2E74B5"/>
        <w:bottom w:val="single" w:sz="4" w:space="0" w:color="2E74B5"/>
        <w:right w:val="single" w:sz="4" w:space="4" w:color="2E74B5"/>
        <w:between w:val="nil"/>
      </w:pBdr>
      <w:spacing w:before="40" w:line="240" w:lineRule="auto"/>
      <w:ind w:left="426" w:right="141" w:hanging="284"/>
    </w:pPr>
    <w:rPr>
      <w:sz w:val="18"/>
      <w:szCs w:val="18"/>
    </w:rPr>
  </w:style>
  <w:style w:type="character" w:customStyle="1" w:styleId="pointscls1Car">
    <w:name w:val="points clés 1 Car"/>
    <w:basedOn w:val="Policepardfaut"/>
    <w:link w:val="pointscls1"/>
    <w:rsid w:val="00930986"/>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paragraph" w:styleId="En-tte">
    <w:name w:val="header"/>
    <w:aliases w:val="Car"/>
    <w:basedOn w:val="Normal"/>
    <w:link w:val="En-tteCar"/>
    <w:unhideWhenUsed/>
    <w:rsid w:val="008C15DC"/>
    <w:pPr>
      <w:tabs>
        <w:tab w:val="center" w:pos="4536"/>
        <w:tab w:val="right" w:pos="9072"/>
      </w:tabs>
      <w:spacing w:line="240" w:lineRule="auto"/>
    </w:pPr>
  </w:style>
  <w:style w:type="character" w:customStyle="1" w:styleId="En-tteCar">
    <w:name w:val="En-tête Car"/>
    <w:aliases w:val="Car Car"/>
    <w:basedOn w:val="Policepardfaut"/>
    <w:link w:val="En-tte"/>
    <w:rsid w:val="008C15DC"/>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8C15DC"/>
    <w:pPr>
      <w:tabs>
        <w:tab w:val="center" w:pos="4536"/>
        <w:tab w:val="right" w:pos="9072"/>
      </w:tabs>
      <w:spacing w:line="240" w:lineRule="auto"/>
    </w:pPr>
  </w:style>
  <w:style w:type="character" w:customStyle="1" w:styleId="PieddepageCar">
    <w:name w:val="Pied de page Car"/>
    <w:basedOn w:val="Policepardfaut"/>
    <w:link w:val="Pieddepage"/>
    <w:uiPriority w:val="99"/>
    <w:rsid w:val="008C15DC"/>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13</Pages>
  <Words>2918</Words>
  <Characters>15676</Characters>
  <Application>Microsoft Office Word</Application>
  <DocSecurity>0</DocSecurity>
  <Lines>461</Lines>
  <Paragraphs>286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31</cp:revision>
  <dcterms:created xsi:type="dcterms:W3CDTF">2026-06-02T14:47:00Z</dcterms:created>
  <dcterms:modified xsi:type="dcterms:W3CDTF">2026-09-10T15:20:00Z</dcterms:modified>
</cp:coreProperties>
</file>