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7077CBC1" w:rsidR="00E84981" w:rsidRPr="004E63D4" w:rsidRDefault="006B62B0" w:rsidP="00346B18">
      <w:pPr>
        <w:spacing w:line="276" w:lineRule="auto"/>
        <w:rPr>
          <w:color w:val="2E74B5"/>
          <w:sz w:val="44"/>
          <w:szCs w:val="44"/>
        </w:rPr>
      </w:pPr>
      <w:bookmarkStart w:id="0" w:name="_heading=h.mnhhupgxm5g5" w:colFirst="0" w:colLast="0"/>
      <w:bookmarkEnd w:id="0"/>
      <w:r w:rsidRPr="00357D58">
        <w:rPr>
          <w:noProof/>
        </w:rPr>
        <w:drawing>
          <wp:anchor distT="0" distB="0" distL="114300" distR="114300" simplePos="0" relativeHeight="251791360" behindDoc="0" locked="0" layoutInCell="1" allowOverlap="1" wp14:anchorId="3ED0A10D" wp14:editId="3526BD36">
            <wp:simplePos x="0" y="0"/>
            <wp:positionH relativeFrom="column">
              <wp:posOffset>-704995</wp:posOffset>
            </wp:positionH>
            <wp:positionV relativeFrom="paragraph">
              <wp:posOffset>-851579</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63D4" w:rsidRPr="004E63D4">
        <w:rPr>
          <w:noProof/>
          <w:sz w:val="28"/>
          <w:szCs w:val="28"/>
        </w:rPr>
        <w:drawing>
          <wp:anchor distT="0" distB="0" distL="114300" distR="114300" simplePos="0" relativeHeight="251772928" behindDoc="0" locked="0" layoutInCell="1" hidden="0" allowOverlap="1" wp14:anchorId="54DD53B7" wp14:editId="557DD0B1">
            <wp:simplePos x="0" y="0"/>
            <wp:positionH relativeFrom="margin">
              <wp:align>right</wp:align>
            </wp:positionH>
            <wp:positionV relativeFrom="paragraph">
              <wp:posOffset>304</wp:posOffset>
            </wp:positionV>
            <wp:extent cx="1638000" cy="1440000"/>
            <wp:effectExtent l="0" t="0" r="635" b="8255"/>
            <wp:wrapSquare wrapText="bothSides" distT="0" distB="0" distL="114300" distR="114300"/>
            <wp:docPr id="11081756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1638000" cy="1440000"/>
                    </a:xfrm>
                    <a:prstGeom prst="rect">
                      <a:avLst/>
                    </a:prstGeom>
                    <a:ln/>
                  </pic:spPr>
                </pic:pic>
              </a:graphicData>
            </a:graphic>
          </wp:anchor>
        </w:drawing>
      </w:r>
    </w:p>
    <w:p w14:paraId="58CCE89C" w14:textId="449E4D92" w:rsidR="00876EF8" w:rsidRDefault="00E84981" w:rsidP="00346B18">
      <w:pPr>
        <w:pStyle w:val="Titre1"/>
        <w:spacing w:line="276" w:lineRule="auto"/>
      </w:pPr>
      <w:bookmarkStart w:id="1" w:name="_heading=h.nresijhn2w65" w:colFirst="0" w:colLast="0"/>
      <w:bookmarkEnd w:id="1"/>
      <w:r w:rsidRPr="00E84981">
        <w:t>Item </w:t>
      </w:r>
      <w:r w:rsidR="004E63D4">
        <w:t>186 - Hypersensibilités et allergies respiratoires</w:t>
      </w:r>
    </w:p>
    <w:p w14:paraId="1D7886DB" w14:textId="77777777" w:rsidR="00E84981" w:rsidRDefault="00E84981" w:rsidP="00346B18">
      <w:pPr>
        <w:spacing w:line="276" w:lineRule="auto"/>
      </w:pPr>
    </w:p>
    <w:p w14:paraId="7EA476A7" w14:textId="77777777" w:rsidR="00235D5A" w:rsidRPr="004E63D4" w:rsidRDefault="00235D5A" w:rsidP="00346B18">
      <w:pPr>
        <w:spacing w:line="240" w:lineRule="auto"/>
        <w:rPr>
          <w:sz w:val="36"/>
          <w:szCs w:val="36"/>
        </w:rPr>
      </w:pPr>
    </w:p>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38"/>
        <w:gridCol w:w="1996"/>
        <w:gridCol w:w="6378"/>
      </w:tblGrid>
      <w:tr w:rsidR="004E63D4" w14:paraId="7F8994A3" w14:textId="77777777" w:rsidTr="00ED33FD">
        <w:trPr>
          <w:trHeight w:val="201"/>
        </w:trPr>
        <w:tc>
          <w:tcPr>
            <w:tcW w:w="638" w:type="dxa"/>
            <w:shd w:val="clear" w:color="auto" w:fill="D1D1D1" w:themeFill="background2" w:themeFillShade="E6"/>
            <w:vAlign w:val="center"/>
          </w:tcPr>
          <w:p w14:paraId="6379240A" w14:textId="77777777" w:rsidR="004E63D4" w:rsidRPr="00ED33FD" w:rsidRDefault="004E63D4" w:rsidP="00346B18">
            <w:pPr>
              <w:spacing w:line="240" w:lineRule="auto"/>
              <w:jc w:val="center"/>
              <w:rPr>
                <w:rFonts w:ascii="Calibri" w:eastAsia="Calibri" w:hAnsi="Calibri" w:cs="Calibri"/>
                <w:b/>
                <w:bCs/>
                <w:color w:val="000000" w:themeColor="text1"/>
              </w:rPr>
            </w:pPr>
            <w:r w:rsidRPr="00ED33FD">
              <w:rPr>
                <w:rFonts w:ascii="Calibri" w:eastAsia="Calibri" w:hAnsi="Calibri" w:cs="Calibri"/>
                <w:b/>
                <w:bCs/>
                <w:color w:val="000000" w:themeColor="text1"/>
              </w:rPr>
              <w:t>Rang</w:t>
            </w:r>
          </w:p>
        </w:tc>
        <w:tc>
          <w:tcPr>
            <w:tcW w:w="1996" w:type="dxa"/>
            <w:shd w:val="clear" w:color="auto" w:fill="D1D1D1" w:themeFill="background2" w:themeFillShade="E6"/>
            <w:vAlign w:val="center"/>
          </w:tcPr>
          <w:p w14:paraId="39688440" w14:textId="77777777" w:rsidR="004E63D4" w:rsidRPr="00ED33FD" w:rsidRDefault="004E63D4" w:rsidP="00346B18">
            <w:pPr>
              <w:spacing w:line="240" w:lineRule="auto"/>
              <w:jc w:val="center"/>
              <w:rPr>
                <w:rFonts w:ascii="Calibri" w:eastAsia="Calibri" w:hAnsi="Calibri" w:cs="Calibri"/>
                <w:b/>
                <w:bCs/>
                <w:color w:val="000000" w:themeColor="text1"/>
              </w:rPr>
            </w:pPr>
            <w:r w:rsidRPr="00ED33FD">
              <w:rPr>
                <w:rFonts w:ascii="Calibri" w:eastAsia="Calibri" w:hAnsi="Calibri" w:cs="Calibri"/>
                <w:b/>
                <w:bCs/>
                <w:color w:val="000000" w:themeColor="text1"/>
              </w:rPr>
              <w:t>Rubrique</w:t>
            </w:r>
          </w:p>
        </w:tc>
        <w:tc>
          <w:tcPr>
            <w:tcW w:w="6378" w:type="dxa"/>
            <w:shd w:val="clear" w:color="auto" w:fill="D1D1D1" w:themeFill="background2" w:themeFillShade="E6"/>
          </w:tcPr>
          <w:p w14:paraId="79A66550" w14:textId="77777777" w:rsidR="004E63D4" w:rsidRPr="00ED33FD" w:rsidRDefault="004E63D4" w:rsidP="00346B18">
            <w:pPr>
              <w:spacing w:line="240" w:lineRule="auto"/>
              <w:jc w:val="center"/>
              <w:rPr>
                <w:rFonts w:ascii="Calibri" w:eastAsia="Calibri" w:hAnsi="Calibri" w:cs="Calibri"/>
                <w:b/>
                <w:bCs/>
                <w:color w:val="000000" w:themeColor="text1"/>
              </w:rPr>
            </w:pPr>
            <w:r w:rsidRPr="00ED33FD">
              <w:rPr>
                <w:rFonts w:ascii="Calibri" w:eastAsia="Calibri" w:hAnsi="Calibri" w:cs="Calibri"/>
                <w:b/>
                <w:bCs/>
                <w:color w:val="000000" w:themeColor="text1"/>
              </w:rPr>
              <w:t>Intitulé des connaissances</w:t>
            </w:r>
          </w:p>
        </w:tc>
      </w:tr>
      <w:tr w:rsidR="004E63D4" w14:paraId="2543FD9B" w14:textId="77777777" w:rsidTr="00ED33FD">
        <w:trPr>
          <w:trHeight w:val="32"/>
        </w:trPr>
        <w:tc>
          <w:tcPr>
            <w:tcW w:w="9012" w:type="dxa"/>
            <w:gridSpan w:val="3"/>
            <w:vAlign w:val="bottom"/>
          </w:tcPr>
          <w:p w14:paraId="5C1824AE" w14:textId="77777777" w:rsidR="004E63D4" w:rsidRDefault="004E63D4" w:rsidP="00346B18">
            <w:pPr>
              <w:spacing w:line="240" w:lineRule="auto"/>
              <w:jc w:val="center"/>
              <w:rPr>
                <w:rFonts w:ascii="Calibri" w:eastAsia="Calibri" w:hAnsi="Calibri" w:cs="Calibri"/>
              </w:rPr>
            </w:pPr>
            <w:r>
              <w:rPr>
                <w:rFonts w:ascii="Calibri" w:eastAsia="Calibri" w:hAnsi="Calibri" w:cs="Calibri"/>
                <w:b/>
                <w:bCs/>
              </w:rPr>
              <w:t>Adultes et enfant</w:t>
            </w:r>
          </w:p>
        </w:tc>
      </w:tr>
      <w:tr w:rsidR="004E63D4" w14:paraId="187EB257" w14:textId="77777777" w:rsidTr="00ED33FD">
        <w:trPr>
          <w:trHeight w:val="32"/>
        </w:trPr>
        <w:tc>
          <w:tcPr>
            <w:tcW w:w="638" w:type="dxa"/>
            <w:vAlign w:val="center"/>
          </w:tcPr>
          <w:p w14:paraId="3C64E758" w14:textId="77777777" w:rsidR="004E63D4" w:rsidRDefault="004E63D4" w:rsidP="00346B18">
            <w:pPr>
              <w:spacing w:line="240" w:lineRule="auto"/>
              <w:jc w:val="center"/>
              <w:rPr>
                <w:rFonts w:ascii="Calibri" w:eastAsia="Calibri" w:hAnsi="Calibri" w:cs="Calibri"/>
              </w:rPr>
            </w:pPr>
            <w:r>
              <w:rPr>
                <w:rFonts w:ascii="Calibri" w:eastAsia="Calibri" w:hAnsi="Calibri" w:cs="Calibri"/>
                <w:color w:val="0070C0"/>
              </w:rPr>
              <w:t>B</w:t>
            </w:r>
          </w:p>
        </w:tc>
        <w:tc>
          <w:tcPr>
            <w:tcW w:w="1996" w:type="dxa"/>
            <w:vAlign w:val="center"/>
          </w:tcPr>
          <w:p w14:paraId="060BF21D" w14:textId="77777777" w:rsidR="004E63D4" w:rsidRDefault="004E63D4" w:rsidP="00346B18">
            <w:pPr>
              <w:spacing w:line="240" w:lineRule="auto"/>
              <w:jc w:val="left"/>
              <w:rPr>
                <w:rFonts w:ascii="Calibri" w:eastAsia="Calibri" w:hAnsi="Calibri" w:cs="Calibri"/>
              </w:rPr>
            </w:pPr>
            <w:r>
              <w:rPr>
                <w:rFonts w:ascii="Calibri" w:eastAsia="Calibri" w:hAnsi="Calibri" w:cs="Calibri"/>
                <w:color w:val="0070C0"/>
              </w:rPr>
              <w:t>Éléments physiopathologiques</w:t>
            </w:r>
          </w:p>
        </w:tc>
        <w:tc>
          <w:tcPr>
            <w:tcW w:w="6378" w:type="dxa"/>
          </w:tcPr>
          <w:p w14:paraId="1353FF88" w14:textId="77777777" w:rsidR="004E63D4" w:rsidRDefault="004E63D4" w:rsidP="00346B18">
            <w:pPr>
              <w:spacing w:line="240" w:lineRule="auto"/>
              <w:rPr>
                <w:rFonts w:ascii="Calibri" w:eastAsia="Calibri" w:hAnsi="Calibri" w:cs="Calibri"/>
              </w:rPr>
            </w:pPr>
            <w:r>
              <w:rPr>
                <w:rFonts w:ascii="Calibri" w:eastAsia="Calibri" w:hAnsi="Calibri" w:cs="Calibri"/>
                <w:color w:val="0070C0"/>
              </w:rPr>
              <w:t>Connaître la physiopathologie des réactions d’hypersensibilité : allergiques et non allergiques</w:t>
            </w:r>
          </w:p>
        </w:tc>
      </w:tr>
      <w:tr w:rsidR="004E63D4" w14:paraId="4E861AE6" w14:textId="77777777" w:rsidTr="00ED33FD">
        <w:trPr>
          <w:trHeight w:val="201"/>
        </w:trPr>
        <w:tc>
          <w:tcPr>
            <w:tcW w:w="638" w:type="dxa"/>
            <w:vAlign w:val="center"/>
          </w:tcPr>
          <w:p w14:paraId="4F8C7458" w14:textId="77777777" w:rsidR="004E63D4" w:rsidRDefault="004E63D4" w:rsidP="00346B18">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996" w:type="dxa"/>
            <w:vAlign w:val="center"/>
          </w:tcPr>
          <w:p w14:paraId="5A582B69" w14:textId="77777777" w:rsidR="004E63D4" w:rsidRDefault="004E63D4" w:rsidP="00346B18">
            <w:pPr>
              <w:spacing w:line="240" w:lineRule="auto"/>
              <w:jc w:val="left"/>
              <w:rPr>
                <w:rFonts w:ascii="Calibri" w:eastAsia="Calibri" w:hAnsi="Calibri" w:cs="Calibri"/>
                <w:i/>
                <w:iCs/>
                <w:color w:val="0070C0"/>
              </w:rPr>
            </w:pPr>
            <w:r>
              <w:rPr>
                <w:rFonts w:ascii="Calibri" w:eastAsia="Calibri" w:hAnsi="Calibri" w:cs="Calibri"/>
                <w:color w:val="0070C0"/>
              </w:rPr>
              <w:t>Prévalence, épidémiologie</w:t>
            </w:r>
          </w:p>
        </w:tc>
        <w:tc>
          <w:tcPr>
            <w:tcW w:w="6378" w:type="dxa"/>
          </w:tcPr>
          <w:p w14:paraId="03863403" w14:textId="77777777" w:rsidR="004E63D4" w:rsidRDefault="004E63D4" w:rsidP="00346B18">
            <w:pPr>
              <w:spacing w:line="240" w:lineRule="auto"/>
              <w:rPr>
                <w:rFonts w:ascii="Calibri" w:eastAsia="Calibri" w:hAnsi="Calibri" w:cs="Calibri"/>
                <w:i/>
                <w:iCs/>
                <w:color w:val="0070C0"/>
              </w:rPr>
            </w:pPr>
            <w:r>
              <w:rPr>
                <w:rFonts w:ascii="Calibri" w:eastAsia="Calibri" w:hAnsi="Calibri" w:cs="Calibri"/>
                <w:color w:val="0070C0"/>
              </w:rPr>
              <w:t>Connaître les grandes tendances épidémiologiques des allergies aux venins d’hyménoptères : prévalence, mortalité</w:t>
            </w:r>
          </w:p>
        </w:tc>
      </w:tr>
      <w:tr w:rsidR="004E63D4" w14:paraId="019AAC86" w14:textId="77777777" w:rsidTr="00ED33FD">
        <w:trPr>
          <w:trHeight w:val="201"/>
        </w:trPr>
        <w:tc>
          <w:tcPr>
            <w:tcW w:w="638" w:type="dxa"/>
            <w:vAlign w:val="center"/>
          </w:tcPr>
          <w:p w14:paraId="09C2D229" w14:textId="77777777" w:rsidR="004E63D4" w:rsidRDefault="004E63D4" w:rsidP="00346B18">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996" w:type="dxa"/>
            <w:vAlign w:val="center"/>
          </w:tcPr>
          <w:p w14:paraId="120511E4" w14:textId="77777777" w:rsidR="004E63D4" w:rsidRDefault="004E63D4" w:rsidP="00346B18">
            <w:pPr>
              <w:spacing w:line="240" w:lineRule="auto"/>
              <w:jc w:val="left"/>
              <w:rPr>
                <w:rFonts w:ascii="Calibri" w:eastAsia="Calibri" w:hAnsi="Calibri" w:cs="Calibri"/>
                <w:i/>
                <w:iCs/>
                <w:color w:val="0070C0"/>
              </w:rPr>
            </w:pPr>
            <w:r>
              <w:rPr>
                <w:rFonts w:ascii="Calibri" w:eastAsia="Calibri" w:hAnsi="Calibri" w:cs="Calibri"/>
                <w:color w:val="0070C0"/>
              </w:rPr>
              <w:t>Prévalence, épidémiologie</w:t>
            </w:r>
          </w:p>
        </w:tc>
        <w:tc>
          <w:tcPr>
            <w:tcW w:w="6378" w:type="dxa"/>
          </w:tcPr>
          <w:p w14:paraId="678C04A2" w14:textId="77777777" w:rsidR="004E63D4" w:rsidRDefault="004E63D4" w:rsidP="00346B18">
            <w:pPr>
              <w:spacing w:line="240" w:lineRule="auto"/>
              <w:rPr>
                <w:rFonts w:ascii="Calibri" w:eastAsia="Calibri" w:hAnsi="Calibri" w:cs="Calibri"/>
                <w:i/>
                <w:iCs/>
                <w:color w:val="0070C0"/>
              </w:rPr>
            </w:pPr>
            <w:r>
              <w:rPr>
                <w:rFonts w:ascii="Calibri" w:eastAsia="Calibri" w:hAnsi="Calibri" w:cs="Calibri"/>
                <w:color w:val="0070C0"/>
              </w:rPr>
              <w:t>Connaître les grandes tendances épidémiologiques de l’allergie alimentaire : prévalence, mortalité, allergènes</w:t>
            </w:r>
          </w:p>
        </w:tc>
      </w:tr>
      <w:tr w:rsidR="004E63D4" w14:paraId="657FADB0" w14:textId="77777777" w:rsidTr="00ED33FD">
        <w:trPr>
          <w:trHeight w:val="201"/>
        </w:trPr>
        <w:tc>
          <w:tcPr>
            <w:tcW w:w="638" w:type="dxa"/>
            <w:vAlign w:val="center"/>
          </w:tcPr>
          <w:p w14:paraId="25D932D9" w14:textId="77777777" w:rsidR="004E63D4" w:rsidRDefault="004E63D4" w:rsidP="00346B18">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996" w:type="dxa"/>
            <w:vAlign w:val="center"/>
          </w:tcPr>
          <w:p w14:paraId="18808215" w14:textId="77777777" w:rsidR="004E63D4" w:rsidRDefault="004E63D4" w:rsidP="00346B18">
            <w:pPr>
              <w:spacing w:line="240" w:lineRule="auto"/>
              <w:jc w:val="left"/>
              <w:rPr>
                <w:rFonts w:ascii="Calibri" w:eastAsia="Calibri" w:hAnsi="Calibri" w:cs="Calibri"/>
                <w:i/>
                <w:iCs/>
                <w:color w:val="0070C0"/>
              </w:rPr>
            </w:pPr>
            <w:r>
              <w:rPr>
                <w:rFonts w:ascii="Calibri" w:eastAsia="Calibri" w:hAnsi="Calibri" w:cs="Calibri"/>
                <w:color w:val="0070C0"/>
              </w:rPr>
              <w:t>Prévalence, épidémiologie</w:t>
            </w:r>
          </w:p>
        </w:tc>
        <w:tc>
          <w:tcPr>
            <w:tcW w:w="6378" w:type="dxa"/>
          </w:tcPr>
          <w:p w14:paraId="150B170B" w14:textId="77777777" w:rsidR="004E63D4" w:rsidRDefault="004E63D4" w:rsidP="00346B18">
            <w:pPr>
              <w:spacing w:line="240" w:lineRule="auto"/>
              <w:rPr>
                <w:rFonts w:ascii="Calibri" w:eastAsia="Calibri" w:hAnsi="Calibri" w:cs="Calibri"/>
                <w:i/>
                <w:iCs/>
                <w:color w:val="0070C0"/>
              </w:rPr>
            </w:pPr>
            <w:r>
              <w:rPr>
                <w:rFonts w:ascii="Calibri" w:eastAsia="Calibri" w:hAnsi="Calibri" w:cs="Calibri"/>
                <w:color w:val="0070C0"/>
              </w:rPr>
              <w:t>Connaître les grandes tendances épidémiologiques des hypersensibilités allergiques et non allergiques médicamenteuses : prévalence, morbidité, mortalité</w:t>
            </w:r>
          </w:p>
        </w:tc>
      </w:tr>
      <w:tr w:rsidR="004E63D4" w14:paraId="73D9BC62" w14:textId="77777777" w:rsidTr="00ED33FD">
        <w:trPr>
          <w:trHeight w:val="201"/>
        </w:trPr>
        <w:tc>
          <w:tcPr>
            <w:tcW w:w="638" w:type="dxa"/>
            <w:vAlign w:val="center"/>
          </w:tcPr>
          <w:p w14:paraId="6E373355" w14:textId="77777777" w:rsidR="004E63D4" w:rsidRDefault="004E63D4" w:rsidP="00346B18">
            <w:pPr>
              <w:spacing w:line="240" w:lineRule="auto"/>
              <w:jc w:val="center"/>
              <w:rPr>
                <w:rFonts w:ascii="Calibri" w:eastAsia="Calibri" w:hAnsi="Calibri" w:cs="Calibri"/>
                <w:color w:val="2E74B5"/>
              </w:rPr>
            </w:pPr>
            <w:r>
              <w:rPr>
                <w:rFonts w:ascii="Calibri" w:eastAsia="Calibri" w:hAnsi="Calibri" w:cs="Calibri"/>
                <w:color w:val="0070C0"/>
              </w:rPr>
              <w:t>B</w:t>
            </w:r>
          </w:p>
        </w:tc>
        <w:tc>
          <w:tcPr>
            <w:tcW w:w="1996" w:type="dxa"/>
            <w:vAlign w:val="center"/>
          </w:tcPr>
          <w:p w14:paraId="56B925BC" w14:textId="77777777" w:rsidR="004E63D4" w:rsidRDefault="004E63D4" w:rsidP="00346B18">
            <w:pPr>
              <w:spacing w:line="240" w:lineRule="auto"/>
              <w:jc w:val="left"/>
              <w:rPr>
                <w:rFonts w:ascii="Calibri" w:eastAsia="Calibri" w:hAnsi="Calibri" w:cs="Calibri"/>
                <w:color w:val="2E74B5"/>
              </w:rPr>
            </w:pPr>
            <w:r>
              <w:rPr>
                <w:rFonts w:ascii="Calibri" w:eastAsia="Calibri" w:hAnsi="Calibri" w:cs="Calibri"/>
                <w:color w:val="0070C0"/>
              </w:rPr>
              <w:t>Éléments physiopathologiques</w:t>
            </w:r>
          </w:p>
        </w:tc>
        <w:tc>
          <w:tcPr>
            <w:tcW w:w="6378" w:type="dxa"/>
          </w:tcPr>
          <w:p w14:paraId="17E97FD5" w14:textId="77777777" w:rsidR="004E63D4" w:rsidRDefault="004E63D4" w:rsidP="00346B18">
            <w:pPr>
              <w:spacing w:line="240" w:lineRule="auto"/>
              <w:rPr>
                <w:rFonts w:ascii="Calibri" w:eastAsia="Calibri" w:hAnsi="Calibri" w:cs="Calibri"/>
                <w:color w:val="2E74B5"/>
              </w:rPr>
            </w:pPr>
            <w:r>
              <w:rPr>
                <w:rFonts w:ascii="Calibri" w:eastAsia="Calibri" w:hAnsi="Calibri" w:cs="Calibri"/>
                <w:color w:val="0070C0"/>
              </w:rPr>
              <w:t>Connaître les éléments physiopathologiques des allergies aux venins d’hyménoptères : prévalence, mortalité</w:t>
            </w:r>
          </w:p>
        </w:tc>
      </w:tr>
      <w:tr w:rsidR="004E63D4" w14:paraId="0D63C671" w14:textId="77777777" w:rsidTr="00ED33FD">
        <w:trPr>
          <w:trHeight w:val="201"/>
        </w:trPr>
        <w:tc>
          <w:tcPr>
            <w:tcW w:w="638" w:type="dxa"/>
            <w:vAlign w:val="center"/>
          </w:tcPr>
          <w:p w14:paraId="031CE9AD" w14:textId="77777777" w:rsidR="004E63D4" w:rsidRDefault="004E63D4" w:rsidP="00346B18">
            <w:pPr>
              <w:spacing w:line="240" w:lineRule="auto"/>
              <w:jc w:val="center"/>
              <w:rPr>
                <w:rFonts w:ascii="Calibri" w:eastAsia="Calibri" w:hAnsi="Calibri" w:cs="Calibri"/>
                <w:color w:val="0070C0"/>
              </w:rPr>
            </w:pPr>
            <w:r>
              <w:rPr>
                <w:rFonts w:ascii="Calibri" w:eastAsia="Calibri" w:hAnsi="Calibri" w:cs="Calibri"/>
              </w:rPr>
              <w:t>A</w:t>
            </w:r>
          </w:p>
        </w:tc>
        <w:tc>
          <w:tcPr>
            <w:tcW w:w="1996" w:type="dxa"/>
            <w:vAlign w:val="center"/>
          </w:tcPr>
          <w:p w14:paraId="073D3EE2" w14:textId="77777777" w:rsidR="004E63D4" w:rsidRDefault="004E63D4" w:rsidP="00346B18">
            <w:pPr>
              <w:spacing w:line="240" w:lineRule="auto"/>
              <w:jc w:val="left"/>
              <w:rPr>
                <w:rFonts w:ascii="Calibri" w:eastAsia="Calibri" w:hAnsi="Calibri" w:cs="Calibri"/>
                <w:color w:val="0070C0"/>
              </w:rPr>
            </w:pPr>
            <w:r>
              <w:rPr>
                <w:rFonts w:ascii="Calibri" w:eastAsia="Calibri" w:hAnsi="Calibri" w:cs="Calibri"/>
              </w:rPr>
              <w:t xml:space="preserve">Diagnostic positif </w:t>
            </w:r>
          </w:p>
        </w:tc>
        <w:tc>
          <w:tcPr>
            <w:tcW w:w="6378" w:type="dxa"/>
          </w:tcPr>
          <w:p w14:paraId="53A21DF3" w14:textId="77777777" w:rsidR="004E63D4" w:rsidRDefault="004E63D4" w:rsidP="00346B18">
            <w:pPr>
              <w:spacing w:line="240" w:lineRule="auto"/>
              <w:rPr>
                <w:rFonts w:ascii="Calibri" w:eastAsia="Calibri" w:hAnsi="Calibri" w:cs="Calibri"/>
                <w:color w:val="0070C0"/>
              </w:rPr>
            </w:pPr>
            <w:r>
              <w:rPr>
                <w:rFonts w:ascii="Calibri" w:eastAsia="Calibri" w:hAnsi="Calibri" w:cs="Calibri"/>
              </w:rPr>
              <w:t>Connaître et hiérarchiser les différentes étapes du diagnostic des allergies respiratoires</w:t>
            </w:r>
          </w:p>
        </w:tc>
      </w:tr>
      <w:tr w:rsidR="004E63D4" w14:paraId="191A3D5B" w14:textId="77777777" w:rsidTr="00ED33FD">
        <w:trPr>
          <w:trHeight w:val="201"/>
        </w:trPr>
        <w:tc>
          <w:tcPr>
            <w:tcW w:w="638" w:type="dxa"/>
            <w:vAlign w:val="center"/>
          </w:tcPr>
          <w:p w14:paraId="47C09911" w14:textId="77777777" w:rsidR="004E63D4" w:rsidRDefault="004E63D4" w:rsidP="00346B18">
            <w:pPr>
              <w:spacing w:line="240" w:lineRule="auto"/>
              <w:jc w:val="center"/>
              <w:rPr>
                <w:rFonts w:ascii="Calibri" w:eastAsia="Calibri" w:hAnsi="Calibri" w:cs="Calibri"/>
                <w:color w:val="2E74B5"/>
              </w:rPr>
            </w:pPr>
            <w:r>
              <w:rPr>
                <w:rFonts w:ascii="Calibri" w:eastAsia="Calibri" w:hAnsi="Calibri" w:cs="Calibri"/>
              </w:rPr>
              <w:t>A</w:t>
            </w:r>
          </w:p>
        </w:tc>
        <w:tc>
          <w:tcPr>
            <w:tcW w:w="1996" w:type="dxa"/>
            <w:vAlign w:val="center"/>
          </w:tcPr>
          <w:p w14:paraId="42BD0DF9" w14:textId="77777777" w:rsidR="004E63D4" w:rsidRDefault="004E63D4" w:rsidP="00346B18">
            <w:pPr>
              <w:spacing w:line="240" w:lineRule="auto"/>
              <w:jc w:val="left"/>
              <w:rPr>
                <w:rFonts w:ascii="Calibri" w:eastAsia="Calibri" w:hAnsi="Calibri" w:cs="Calibri"/>
                <w:color w:val="2E74B5"/>
              </w:rPr>
            </w:pPr>
            <w:r>
              <w:rPr>
                <w:rFonts w:ascii="Calibri" w:eastAsia="Calibri" w:hAnsi="Calibri" w:cs="Calibri"/>
              </w:rPr>
              <w:t xml:space="preserve">Diagnostic positif </w:t>
            </w:r>
          </w:p>
        </w:tc>
        <w:tc>
          <w:tcPr>
            <w:tcW w:w="6378" w:type="dxa"/>
          </w:tcPr>
          <w:p w14:paraId="69CDD967" w14:textId="77777777" w:rsidR="004E63D4" w:rsidRDefault="004E63D4" w:rsidP="00346B18">
            <w:pPr>
              <w:spacing w:line="240" w:lineRule="auto"/>
              <w:rPr>
                <w:rFonts w:ascii="Calibri" w:eastAsia="Calibri" w:hAnsi="Calibri" w:cs="Calibri"/>
                <w:color w:val="2E74B5"/>
              </w:rPr>
            </w:pPr>
            <w:r>
              <w:rPr>
                <w:rFonts w:ascii="Calibri" w:eastAsia="Calibri" w:hAnsi="Calibri" w:cs="Calibri"/>
              </w:rPr>
              <w:t>Connaître les principaux allergènes de l’allergie alimentaire IgE-dépendante</w:t>
            </w:r>
          </w:p>
        </w:tc>
      </w:tr>
      <w:tr w:rsidR="004E63D4" w14:paraId="78D0B2C9" w14:textId="77777777" w:rsidTr="00ED33FD">
        <w:trPr>
          <w:trHeight w:val="201"/>
        </w:trPr>
        <w:tc>
          <w:tcPr>
            <w:tcW w:w="638" w:type="dxa"/>
            <w:vAlign w:val="center"/>
          </w:tcPr>
          <w:p w14:paraId="1EB085FB" w14:textId="77777777" w:rsidR="004E63D4" w:rsidRDefault="004E63D4" w:rsidP="00346B18">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996" w:type="dxa"/>
            <w:vAlign w:val="center"/>
          </w:tcPr>
          <w:p w14:paraId="7510B151" w14:textId="77777777" w:rsidR="004E63D4" w:rsidRDefault="004E63D4" w:rsidP="00346B18">
            <w:pPr>
              <w:spacing w:line="240" w:lineRule="auto"/>
              <w:jc w:val="left"/>
              <w:rPr>
                <w:rFonts w:ascii="Calibri" w:eastAsia="Calibri" w:hAnsi="Calibri" w:cs="Calibri"/>
                <w:i/>
                <w:iCs/>
                <w:color w:val="2E74B5"/>
              </w:rPr>
            </w:pPr>
            <w:r>
              <w:rPr>
                <w:rFonts w:ascii="Calibri" w:eastAsia="Calibri" w:hAnsi="Calibri" w:cs="Calibri"/>
                <w:color w:val="0070C0"/>
              </w:rPr>
              <w:t xml:space="preserve">Diagnostic positif </w:t>
            </w:r>
          </w:p>
        </w:tc>
        <w:tc>
          <w:tcPr>
            <w:tcW w:w="6378" w:type="dxa"/>
          </w:tcPr>
          <w:p w14:paraId="1C6F670A" w14:textId="77777777" w:rsidR="004E63D4" w:rsidRDefault="004E63D4" w:rsidP="00346B18">
            <w:pPr>
              <w:spacing w:line="240" w:lineRule="auto"/>
              <w:rPr>
                <w:rFonts w:ascii="Calibri" w:eastAsia="Calibri" w:hAnsi="Calibri" w:cs="Calibri"/>
                <w:i/>
                <w:iCs/>
                <w:color w:val="2E74B5"/>
              </w:rPr>
            </w:pPr>
            <w:r>
              <w:rPr>
                <w:rFonts w:ascii="Calibri" w:eastAsia="Calibri" w:hAnsi="Calibri" w:cs="Calibri"/>
                <w:color w:val="0070C0"/>
              </w:rPr>
              <w:t>Connaître l’algorithme de prise en charge diagnostique et thérapeutique de l’allergie alimentaire IgE-dépendante à l’arachide et aux fruits à coque</w:t>
            </w:r>
          </w:p>
        </w:tc>
      </w:tr>
      <w:tr w:rsidR="004E63D4" w14:paraId="25BA8D0E" w14:textId="77777777" w:rsidTr="00ED33FD">
        <w:trPr>
          <w:trHeight w:val="201"/>
        </w:trPr>
        <w:tc>
          <w:tcPr>
            <w:tcW w:w="638" w:type="dxa"/>
            <w:vAlign w:val="center"/>
          </w:tcPr>
          <w:p w14:paraId="7967C626" w14:textId="77777777" w:rsidR="004E63D4" w:rsidRDefault="004E63D4" w:rsidP="00346B18">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996" w:type="dxa"/>
            <w:vAlign w:val="center"/>
          </w:tcPr>
          <w:p w14:paraId="1D2986D5" w14:textId="77777777" w:rsidR="004E63D4" w:rsidRDefault="004E63D4" w:rsidP="00346B18">
            <w:pPr>
              <w:spacing w:line="240" w:lineRule="auto"/>
              <w:jc w:val="left"/>
              <w:rPr>
                <w:rFonts w:ascii="Calibri" w:eastAsia="Calibri" w:hAnsi="Calibri" w:cs="Calibri"/>
                <w:i/>
                <w:iCs/>
                <w:color w:val="2E74B5"/>
              </w:rPr>
            </w:pPr>
            <w:r>
              <w:rPr>
                <w:rFonts w:ascii="Calibri" w:eastAsia="Calibri" w:hAnsi="Calibri" w:cs="Calibri"/>
                <w:color w:val="0070C0"/>
              </w:rPr>
              <w:t xml:space="preserve">Diagnostic positif </w:t>
            </w:r>
          </w:p>
        </w:tc>
        <w:tc>
          <w:tcPr>
            <w:tcW w:w="6378" w:type="dxa"/>
          </w:tcPr>
          <w:p w14:paraId="5D2669ED" w14:textId="77777777" w:rsidR="004E63D4" w:rsidRDefault="004E63D4" w:rsidP="00346B18">
            <w:pPr>
              <w:spacing w:line="240" w:lineRule="auto"/>
              <w:rPr>
                <w:rFonts w:ascii="Calibri" w:eastAsia="Calibri" w:hAnsi="Calibri" w:cs="Calibri"/>
                <w:i/>
                <w:iCs/>
                <w:color w:val="2E74B5"/>
              </w:rPr>
            </w:pPr>
            <w:r>
              <w:rPr>
                <w:rFonts w:ascii="Calibri" w:eastAsia="Calibri" w:hAnsi="Calibri" w:cs="Calibri"/>
                <w:color w:val="0070C0"/>
              </w:rPr>
              <w:t>Connaître l’algorithme de prise en charge diagnostique et thérapeutique de l’allergie alimentaire aux allergènes croisant avec les pneumallergènes</w:t>
            </w:r>
          </w:p>
        </w:tc>
      </w:tr>
      <w:tr w:rsidR="004E63D4" w14:paraId="4D1962F3" w14:textId="77777777" w:rsidTr="00ED33FD">
        <w:trPr>
          <w:trHeight w:val="201"/>
        </w:trPr>
        <w:tc>
          <w:tcPr>
            <w:tcW w:w="638" w:type="dxa"/>
            <w:vAlign w:val="center"/>
          </w:tcPr>
          <w:p w14:paraId="00C21168" w14:textId="77777777" w:rsidR="004E63D4" w:rsidRDefault="004E63D4" w:rsidP="00346B18">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996" w:type="dxa"/>
            <w:vAlign w:val="center"/>
          </w:tcPr>
          <w:p w14:paraId="3022628D" w14:textId="77777777" w:rsidR="004E63D4" w:rsidRDefault="004E63D4" w:rsidP="00346B18">
            <w:pPr>
              <w:spacing w:line="240" w:lineRule="auto"/>
              <w:jc w:val="left"/>
              <w:rPr>
                <w:rFonts w:ascii="Calibri" w:eastAsia="Calibri" w:hAnsi="Calibri" w:cs="Calibri"/>
                <w:i/>
                <w:iCs/>
                <w:color w:val="2E74B5"/>
              </w:rPr>
            </w:pPr>
            <w:r>
              <w:rPr>
                <w:rFonts w:ascii="Calibri" w:eastAsia="Calibri" w:hAnsi="Calibri" w:cs="Calibri"/>
                <w:color w:val="0070C0"/>
              </w:rPr>
              <w:t xml:space="preserve">Diagnostic positif </w:t>
            </w:r>
          </w:p>
        </w:tc>
        <w:tc>
          <w:tcPr>
            <w:tcW w:w="6378" w:type="dxa"/>
          </w:tcPr>
          <w:p w14:paraId="322B95AA" w14:textId="77777777" w:rsidR="004E63D4" w:rsidRDefault="004E63D4" w:rsidP="00346B18">
            <w:pPr>
              <w:spacing w:line="240" w:lineRule="auto"/>
              <w:rPr>
                <w:rFonts w:ascii="Calibri" w:eastAsia="Calibri" w:hAnsi="Calibri" w:cs="Calibri"/>
                <w:i/>
                <w:iCs/>
                <w:color w:val="2E74B5"/>
              </w:rPr>
            </w:pPr>
            <w:r>
              <w:rPr>
                <w:rFonts w:ascii="Calibri" w:eastAsia="Calibri" w:hAnsi="Calibri" w:cs="Calibri"/>
                <w:color w:val="0070C0"/>
              </w:rPr>
              <w:t>Connaître et hiérarchiser les différentes étapes du diagnostic des allergies aux venins d’hyménoptères</w:t>
            </w:r>
          </w:p>
        </w:tc>
      </w:tr>
      <w:tr w:rsidR="004E63D4" w14:paraId="25D32428" w14:textId="77777777" w:rsidTr="00ED33FD">
        <w:trPr>
          <w:trHeight w:val="201"/>
        </w:trPr>
        <w:tc>
          <w:tcPr>
            <w:tcW w:w="638" w:type="dxa"/>
            <w:vAlign w:val="center"/>
          </w:tcPr>
          <w:p w14:paraId="61F5F1B5" w14:textId="77777777" w:rsidR="004E63D4" w:rsidRDefault="004E63D4" w:rsidP="00346B18">
            <w:pPr>
              <w:spacing w:line="240" w:lineRule="auto"/>
              <w:jc w:val="center"/>
              <w:rPr>
                <w:rFonts w:ascii="Calibri" w:eastAsia="Calibri" w:hAnsi="Calibri" w:cs="Calibri"/>
                <w:i/>
                <w:iCs/>
                <w:color w:val="2E74B5"/>
              </w:rPr>
            </w:pPr>
            <w:r>
              <w:rPr>
                <w:rFonts w:ascii="Calibri" w:eastAsia="Calibri" w:hAnsi="Calibri" w:cs="Calibri"/>
              </w:rPr>
              <w:t>A</w:t>
            </w:r>
          </w:p>
        </w:tc>
        <w:tc>
          <w:tcPr>
            <w:tcW w:w="1996" w:type="dxa"/>
            <w:vAlign w:val="center"/>
          </w:tcPr>
          <w:p w14:paraId="3346A4CA" w14:textId="77777777" w:rsidR="004E63D4" w:rsidRDefault="004E63D4" w:rsidP="00346B18">
            <w:pPr>
              <w:spacing w:line="240" w:lineRule="auto"/>
              <w:jc w:val="left"/>
              <w:rPr>
                <w:rFonts w:ascii="Calibri" w:eastAsia="Calibri" w:hAnsi="Calibri" w:cs="Calibri"/>
                <w:i/>
                <w:iCs/>
                <w:color w:val="2E74B5"/>
              </w:rPr>
            </w:pPr>
            <w:r>
              <w:rPr>
                <w:rFonts w:ascii="Calibri" w:eastAsia="Calibri" w:hAnsi="Calibri" w:cs="Calibri"/>
              </w:rPr>
              <w:t>Étiologies</w:t>
            </w:r>
          </w:p>
        </w:tc>
        <w:tc>
          <w:tcPr>
            <w:tcW w:w="6378" w:type="dxa"/>
          </w:tcPr>
          <w:p w14:paraId="382CB2C6" w14:textId="77777777" w:rsidR="004E63D4" w:rsidRDefault="004E63D4" w:rsidP="00346B18">
            <w:pPr>
              <w:spacing w:line="240" w:lineRule="auto"/>
              <w:rPr>
                <w:rFonts w:ascii="Calibri" w:eastAsia="Calibri" w:hAnsi="Calibri" w:cs="Calibri"/>
                <w:i/>
                <w:iCs/>
                <w:color w:val="2E74B5"/>
              </w:rPr>
            </w:pPr>
            <w:r>
              <w:rPr>
                <w:rFonts w:ascii="Calibri" w:eastAsia="Calibri" w:hAnsi="Calibri" w:cs="Calibri"/>
              </w:rPr>
              <w:t>Connaître le rôle de l’environnement extérieur, domestique et professionnel dans l’allergie</w:t>
            </w:r>
          </w:p>
        </w:tc>
      </w:tr>
      <w:tr w:rsidR="004E63D4" w14:paraId="49B42B56" w14:textId="77777777" w:rsidTr="00ED33FD">
        <w:trPr>
          <w:trHeight w:val="201"/>
        </w:trPr>
        <w:tc>
          <w:tcPr>
            <w:tcW w:w="638" w:type="dxa"/>
            <w:vAlign w:val="center"/>
          </w:tcPr>
          <w:p w14:paraId="301EDE49" w14:textId="77777777" w:rsidR="004E63D4" w:rsidRDefault="004E63D4" w:rsidP="00346B18">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996" w:type="dxa"/>
            <w:vAlign w:val="center"/>
          </w:tcPr>
          <w:p w14:paraId="2B426280" w14:textId="77777777" w:rsidR="004E63D4" w:rsidRDefault="004E63D4" w:rsidP="00346B18">
            <w:pPr>
              <w:spacing w:line="240" w:lineRule="auto"/>
              <w:jc w:val="left"/>
              <w:rPr>
                <w:rFonts w:ascii="Calibri" w:eastAsia="Calibri" w:hAnsi="Calibri" w:cs="Calibri"/>
                <w:i/>
                <w:iCs/>
                <w:color w:val="2E74B5"/>
              </w:rPr>
            </w:pPr>
            <w:r>
              <w:rPr>
                <w:rFonts w:ascii="Calibri" w:eastAsia="Calibri" w:hAnsi="Calibri" w:cs="Calibri"/>
                <w:color w:val="0070C0"/>
              </w:rPr>
              <w:t>Ex. complémentaires</w:t>
            </w:r>
          </w:p>
        </w:tc>
        <w:tc>
          <w:tcPr>
            <w:tcW w:w="6378" w:type="dxa"/>
          </w:tcPr>
          <w:p w14:paraId="2CC98305" w14:textId="77777777" w:rsidR="004E63D4" w:rsidRDefault="004E63D4" w:rsidP="00346B18">
            <w:pPr>
              <w:spacing w:line="240" w:lineRule="auto"/>
              <w:rPr>
                <w:rFonts w:ascii="Calibri" w:eastAsia="Calibri" w:hAnsi="Calibri" w:cs="Calibri"/>
                <w:i/>
                <w:iCs/>
                <w:color w:val="2E74B5"/>
              </w:rPr>
            </w:pPr>
            <w:r>
              <w:rPr>
                <w:rFonts w:ascii="Calibri" w:eastAsia="Calibri" w:hAnsi="Calibri" w:cs="Calibri"/>
                <w:color w:val="0070C0"/>
              </w:rPr>
              <w:t>Savoir poser l’indication de la réalisation d’un test de dépistage IgE multi allergénique (pneumallergènes et trophallergènes)</w:t>
            </w:r>
          </w:p>
        </w:tc>
      </w:tr>
      <w:tr w:rsidR="004E63D4" w14:paraId="1E67E4A8" w14:textId="77777777" w:rsidTr="00ED33FD">
        <w:trPr>
          <w:trHeight w:val="201"/>
        </w:trPr>
        <w:tc>
          <w:tcPr>
            <w:tcW w:w="638" w:type="dxa"/>
            <w:vAlign w:val="center"/>
          </w:tcPr>
          <w:p w14:paraId="1FEF57E3" w14:textId="77777777" w:rsidR="004E63D4" w:rsidRDefault="004E63D4" w:rsidP="00346B18">
            <w:pPr>
              <w:spacing w:line="240" w:lineRule="auto"/>
              <w:jc w:val="center"/>
              <w:rPr>
                <w:rFonts w:ascii="Calibri" w:eastAsia="Calibri" w:hAnsi="Calibri" w:cs="Calibri"/>
                <w:i/>
                <w:iCs/>
                <w:color w:val="2E74B5"/>
              </w:rPr>
            </w:pPr>
            <w:r>
              <w:rPr>
                <w:rFonts w:ascii="Calibri" w:eastAsia="Calibri" w:hAnsi="Calibri" w:cs="Calibri"/>
                <w:color w:val="0070C0"/>
              </w:rPr>
              <w:t>B</w:t>
            </w:r>
          </w:p>
        </w:tc>
        <w:tc>
          <w:tcPr>
            <w:tcW w:w="1996" w:type="dxa"/>
            <w:vAlign w:val="center"/>
          </w:tcPr>
          <w:p w14:paraId="3C0B6A8B" w14:textId="77777777" w:rsidR="004E63D4" w:rsidRDefault="004E63D4" w:rsidP="00346B18">
            <w:pPr>
              <w:spacing w:line="240" w:lineRule="auto"/>
              <w:jc w:val="left"/>
              <w:rPr>
                <w:rFonts w:ascii="Calibri" w:eastAsia="Calibri" w:hAnsi="Calibri" w:cs="Calibri"/>
                <w:i/>
                <w:iCs/>
                <w:color w:val="2E74B5"/>
              </w:rPr>
            </w:pPr>
            <w:r>
              <w:rPr>
                <w:rFonts w:ascii="Calibri" w:eastAsia="Calibri" w:hAnsi="Calibri" w:cs="Calibri"/>
                <w:color w:val="0070C0"/>
              </w:rPr>
              <w:t>Prise en charge</w:t>
            </w:r>
          </w:p>
        </w:tc>
        <w:tc>
          <w:tcPr>
            <w:tcW w:w="6378" w:type="dxa"/>
          </w:tcPr>
          <w:p w14:paraId="1D03307D" w14:textId="77777777" w:rsidR="004E63D4" w:rsidRDefault="004E63D4" w:rsidP="00346B18">
            <w:pPr>
              <w:spacing w:line="240" w:lineRule="auto"/>
              <w:rPr>
                <w:rFonts w:ascii="Calibri" w:eastAsia="Calibri" w:hAnsi="Calibri" w:cs="Calibri"/>
                <w:i/>
                <w:iCs/>
                <w:color w:val="2E74B5"/>
              </w:rPr>
            </w:pPr>
            <w:r>
              <w:rPr>
                <w:rFonts w:ascii="Calibri" w:eastAsia="Calibri" w:hAnsi="Calibri" w:cs="Calibri"/>
                <w:color w:val="0070C0"/>
              </w:rPr>
              <w:t>Connaître les modalités de réalisation et de prescription des tests cutanés en allergologie</w:t>
            </w:r>
          </w:p>
        </w:tc>
      </w:tr>
      <w:tr w:rsidR="004E63D4" w14:paraId="520F626F" w14:textId="77777777" w:rsidTr="00ED33FD">
        <w:trPr>
          <w:trHeight w:val="201"/>
        </w:trPr>
        <w:tc>
          <w:tcPr>
            <w:tcW w:w="638" w:type="dxa"/>
            <w:vAlign w:val="center"/>
          </w:tcPr>
          <w:p w14:paraId="12BBD22F" w14:textId="77777777" w:rsidR="004E63D4" w:rsidRDefault="004E63D4" w:rsidP="00346B18">
            <w:pPr>
              <w:spacing w:line="240" w:lineRule="auto"/>
              <w:jc w:val="center"/>
              <w:rPr>
                <w:rFonts w:ascii="Calibri" w:eastAsia="Calibri" w:hAnsi="Calibri" w:cs="Calibri"/>
                <w:i/>
                <w:iCs/>
                <w:color w:val="2E74B5"/>
              </w:rPr>
            </w:pPr>
            <w:r>
              <w:rPr>
                <w:rFonts w:ascii="Calibri" w:eastAsia="Calibri" w:hAnsi="Calibri" w:cs="Calibri"/>
              </w:rPr>
              <w:t>A</w:t>
            </w:r>
          </w:p>
        </w:tc>
        <w:tc>
          <w:tcPr>
            <w:tcW w:w="1996" w:type="dxa"/>
            <w:vAlign w:val="center"/>
          </w:tcPr>
          <w:p w14:paraId="4A7AFDAF" w14:textId="77777777" w:rsidR="004E63D4" w:rsidRDefault="004E63D4" w:rsidP="00346B18">
            <w:pPr>
              <w:spacing w:line="240" w:lineRule="auto"/>
              <w:jc w:val="left"/>
              <w:rPr>
                <w:rFonts w:ascii="Calibri" w:eastAsia="Calibri" w:hAnsi="Calibri" w:cs="Calibri"/>
                <w:i/>
                <w:iCs/>
                <w:color w:val="2E74B5"/>
              </w:rPr>
            </w:pPr>
            <w:r>
              <w:rPr>
                <w:rFonts w:ascii="Calibri" w:eastAsia="Calibri" w:hAnsi="Calibri" w:cs="Calibri"/>
              </w:rPr>
              <w:t>Suivi et/ou pronostic</w:t>
            </w:r>
          </w:p>
        </w:tc>
        <w:tc>
          <w:tcPr>
            <w:tcW w:w="6378" w:type="dxa"/>
          </w:tcPr>
          <w:p w14:paraId="6B630DA5" w14:textId="77777777" w:rsidR="004E63D4" w:rsidRDefault="004E63D4" w:rsidP="00346B18">
            <w:pPr>
              <w:spacing w:line="240" w:lineRule="auto"/>
              <w:rPr>
                <w:rFonts w:ascii="Calibri" w:eastAsia="Calibri" w:hAnsi="Calibri" w:cs="Calibri"/>
                <w:i/>
                <w:iCs/>
                <w:color w:val="2E74B5"/>
              </w:rPr>
            </w:pPr>
            <w:r>
              <w:rPr>
                <w:rFonts w:ascii="Calibri" w:eastAsia="Calibri" w:hAnsi="Calibri" w:cs="Calibri"/>
              </w:rPr>
              <w:t>Connaître les principes de l’éducation thérapeutique dans l’allergie alimentaire (PAI, indication de l’adrénaline auto-injectable…)</w:t>
            </w:r>
          </w:p>
        </w:tc>
      </w:tr>
      <w:tr w:rsidR="004E63D4" w14:paraId="7F49979E" w14:textId="77777777" w:rsidTr="00ED33FD">
        <w:trPr>
          <w:trHeight w:val="201"/>
        </w:trPr>
        <w:tc>
          <w:tcPr>
            <w:tcW w:w="638" w:type="dxa"/>
            <w:vAlign w:val="center"/>
          </w:tcPr>
          <w:p w14:paraId="334020F4" w14:textId="77777777" w:rsidR="004E63D4" w:rsidRDefault="004E63D4" w:rsidP="00346B18">
            <w:pPr>
              <w:spacing w:line="240" w:lineRule="auto"/>
              <w:jc w:val="center"/>
              <w:rPr>
                <w:rFonts w:ascii="Calibri" w:eastAsia="Calibri" w:hAnsi="Calibri" w:cs="Calibri"/>
                <w:color w:val="2E74B5"/>
              </w:rPr>
            </w:pPr>
            <w:r>
              <w:rPr>
                <w:rFonts w:ascii="Calibri" w:eastAsia="Calibri" w:hAnsi="Calibri" w:cs="Calibri"/>
              </w:rPr>
              <w:t>A</w:t>
            </w:r>
          </w:p>
        </w:tc>
        <w:tc>
          <w:tcPr>
            <w:tcW w:w="1996" w:type="dxa"/>
            <w:vAlign w:val="center"/>
          </w:tcPr>
          <w:p w14:paraId="3E3D084F" w14:textId="77777777" w:rsidR="004E63D4" w:rsidRDefault="004E63D4" w:rsidP="00346B18">
            <w:pPr>
              <w:spacing w:line="240" w:lineRule="auto"/>
              <w:jc w:val="left"/>
              <w:rPr>
                <w:rFonts w:ascii="Calibri" w:eastAsia="Calibri" w:hAnsi="Calibri" w:cs="Calibri"/>
                <w:color w:val="2E74B5"/>
              </w:rPr>
            </w:pPr>
            <w:r>
              <w:rPr>
                <w:rFonts w:ascii="Calibri" w:eastAsia="Calibri" w:hAnsi="Calibri" w:cs="Calibri"/>
              </w:rPr>
              <w:t xml:space="preserve">Diagnostic positif </w:t>
            </w:r>
          </w:p>
        </w:tc>
        <w:tc>
          <w:tcPr>
            <w:tcW w:w="6378" w:type="dxa"/>
          </w:tcPr>
          <w:p w14:paraId="4674861B" w14:textId="77777777" w:rsidR="004E63D4" w:rsidRDefault="004E63D4" w:rsidP="00346B18">
            <w:pPr>
              <w:spacing w:line="240" w:lineRule="auto"/>
              <w:rPr>
                <w:rFonts w:ascii="Calibri" w:eastAsia="Calibri" w:hAnsi="Calibri" w:cs="Calibri"/>
                <w:color w:val="2E74B5"/>
              </w:rPr>
            </w:pPr>
            <w:r>
              <w:rPr>
                <w:rFonts w:ascii="Calibri" w:eastAsia="Calibri" w:hAnsi="Calibri" w:cs="Calibri"/>
              </w:rPr>
              <w:t xml:space="preserve">Savoir diagnostiquer une conjonctivite allergique </w:t>
            </w:r>
          </w:p>
        </w:tc>
      </w:tr>
      <w:tr w:rsidR="004E63D4" w14:paraId="4B20A3AB" w14:textId="77777777" w:rsidTr="00ED33FD">
        <w:trPr>
          <w:trHeight w:val="201"/>
        </w:trPr>
        <w:tc>
          <w:tcPr>
            <w:tcW w:w="638" w:type="dxa"/>
            <w:vAlign w:val="center"/>
          </w:tcPr>
          <w:p w14:paraId="454A721F" w14:textId="77777777" w:rsidR="004E63D4" w:rsidRDefault="004E63D4" w:rsidP="00346B18">
            <w:pPr>
              <w:spacing w:line="240" w:lineRule="auto"/>
              <w:jc w:val="center"/>
              <w:rPr>
                <w:rFonts w:ascii="Calibri" w:eastAsia="Calibri" w:hAnsi="Calibri" w:cs="Calibri"/>
                <w:color w:val="2E74B5"/>
              </w:rPr>
            </w:pPr>
            <w:r>
              <w:rPr>
                <w:rFonts w:ascii="Calibri" w:eastAsia="Calibri" w:hAnsi="Calibri" w:cs="Calibri"/>
              </w:rPr>
              <w:t>A</w:t>
            </w:r>
          </w:p>
        </w:tc>
        <w:tc>
          <w:tcPr>
            <w:tcW w:w="1996" w:type="dxa"/>
            <w:vAlign w:val="center"/>
          </w:tcPr>
          <w:p w14:paraId="5408F47D" w14:textId="77777777" w:rsidR="004E63D4" w:rsidRDefault="004E63D4" w:rsidP="00346B18">
            <w:pPr>
              <w:spacing w:line="240" w:lineRule="auto"/>
              <w:jc w:val="left"/>
              <w:rPr>
                <w:rFonts w:ascii="Calibri" w:eastAsia="Calibri" w:hAnsi="Calibri" w:cs="Calibri"/>
                <w:color w:val="2E74B5"/>
              </w:rPr>
            </w:pPr>
            <w:r>
              <w:rPr>
                <w:rFonts w:ascii="Calibri" w:eastAsia="Calibri" w:hAnsi="Calibri" w:cs="Calibri"/>
              </w:rPr>
              <w:t>Prise en charge</w:t>
            </w:r>
          </w:p>
        </w:tc>
        <w:tc>
          <w:tcPr>
            <w:tcW w:w="6378" w:type="dxa"/>
          </w:tcPr>
          <w:p w14:paraId="76984875" w14:textId="77777777" w:rsidR="004E63D4" w:rsidRDefault="004E63D4" w:rsidP="00346B18">
            <w:pPr>
              <w:spacing w:line="240" w:lineRule="auto"/>
              <w:rPr>
                <w:rFonts w:ascii="Calibri" w:eastAsia="Calibri" w:hAnsi="Calibri" w:cs="Calibri"/>
                <w:color w:val="2E74B5"/>
              </w:rPr>
            </w:pPr>
            <w:r>
              <w:rPr>
                <w:rFonts w:ascii="Calibri" w:eastAsia="Calibri" w:hAnsi="Calibri" w:cs="Calibri"/>
              </w:rPr>
              <w:t>Connaître les principes du traitement d’une conjonctivite allergique</w:t>
            </w:r>
          </w:p>
        </w:tc>
      </w:tr>
      <w:tr w:rsidR="004E63D4" w14:paraId="6126D2E1" w14:textId="77777777" w:rsidTr="00ED33FD">
        <w:trPr>
          <w:trHeight w:val="201"/>
        </w:trPr>
        <w:tc>
          <w:tcPr>
            <w:tcW w:w="9012" w:type="dxa"/>
            <w:gridSpan w:val="3"/>
            <w:vAlign w:val="center"/>
          </w:tcPr>
          <w:p w14:paraId="3E33B801" w14:textId="77777777" w:rsidR="004E63D4" w:rsidRDefault="004E63D4" w:rsidP="00346B18">
            <w:pPr>
              <w:spacing w:line="240" w:lineRule="auto"/>
              <w:jc w:val="center"/>
              <w:rPr>
                <w:rFonts w:ascii="Calibri" w:eastAsia="Calibri" w:hAnsi="Calibri" w:cs="Calibri"/>
                <w:b/>
                <w:bCs/>
              </w:rPr>
            </w:pPr>
            <w:r>
              <w:rPr>
                <w:rFonts w:ascii="Calibri" w:eastAsia="Calibri" w:hAnsi="Calibri" w:cs="Calibri"/>
                <w:b/>
                <w:bCs/>
              </w:rPr>
              <w:t>Spécificités pédiatriques</w:t>
            </w:r>
          </w:p>
        </w:tc>
      </w:tr>
      <w:tr w:rsidR="004E63D4" w14:paraId="3BEC01F4" w14:textId="77777777" w:rsidTr="00ED33FD">
        <w:trPr>
          <w:trHeight w:val="201"/>
        </w:trPr>
        <w:tc>
          <w:tcPr>
            <w:tcW w:w="638" w:type="dxa"/>
            <w:vAlign w:val="center"/>
          </w:tcPr>
          <w:p w14:paraId="2974FDBF" w14:textId="77777777" w:rsidR="004E63D4" w:rsidRDefault="004E63D4" w:rsidP="00346B18">
            <w:pPr>
              <w:spacing w:line="240" w:lineRule="auto"/>
              <w:jc w:val="center"/>
              <w:rPr>
                <w:rFonts w:ascii="Calibri" w:eastAsia="Calibri" w:hAnsi="Calibri" w:cs="Calibri"/>
              </w:rPr>
            </w:pPr>
            <w:r>
              <w:rPr>
                <w:rFonts w:ascii="Calibri" w:eastAsia="Calibri" w:hAnsi="Calibri" w:cs="Calibri"/>
              </w:rPr>
              <w:t>A</w:t>
            </w:r>
          </w:p>
        </w:tc>
        <w:tc>
          <w:tcPr>
            <w:tcW w:w="1996" w:type="dxa"/>
            <w:vAlign w:val="center"/>
          </w:tcPr>
          <w:p w14:paraId="08375378" w14:textId="77777777" w:rsidR="004E63D4" w:rsidRDefault="004E63D4" w:rsidP="00346B18">
            <w:pPr>
              <w:spacing w:line="240" w:lineRule="auto"/>
              <w:jc w:val="left"/>
              <w:rPr>
                <w:rFonts w:ascii="Calibri" w:eastAsia="Calibri" w:hAnsi="Calibri" w:cs="Calibri"/>
              </w:rPr>
            </w:pPr>
            <w:r>
              <w:rPr>
                <w:rFonts w:ascii="Calibri" w:eastAsia="Calibri" w:hAnsi="Calibri" w:cs="Calibri"/>
              </w:rPr>
              <w:t>Prévalence, épidémiologie</w:t>
            </w:r>
          </w:p>
        </w:tc>
        <w:tc>
          <w:tcPr>
            <w:tcW w:w="6378" w:type="dxa"/>
          </w:tcPr>
          <w:p w14:paraId="4D89D638" w14:textId="77777777" w:rsidR="004E63D4" w:rsidRDefault="004E63D4" w:rsidP="00346B18">
            <w:pPr>
              <w:spacing w:line="240" w:lineRule="auto"/>
              <w:rPr>
                <w:rFonts w:ascii="Calibri" w:eastAsia="Calibri" w:hAnsi="Calibri" w:cs="Calibri"/>
              </w:rPr>
            </w:pPr>
            <w:r>
              <w:rPr>
                <w:rFonts w:ascii="Calibri" w:eastAsia="Calibri" w:hAnsi="Calibri" w:cs="Calibri"/>
              </w:rPr>
              <w:t>Connaître les grandes tendances épidémiologiques de l’allergie respiratoire : prévalence, mortalité, morbidité, allergènes</w:t>
            </w:r>
          </w:p>
        </w:tc>
      </w:tr>
      <w:tr w:rsidR="004E63D4" w14:paraId="0234E17C" w14:textId="77777777" w:rsidTr="00ED33FD">
        <w:trPr>
          <w:trHeight w:val="201"/>
        </w:trPr>
        <w:tc>
          <w:tcPr>
            <w:tcW w:w="638" w:type="dxa"/>
            <w:vAlign w:val="center"/>
          </w:tcPr>
          <w:p w14:paraId="6813BEC9" w14:textId="77777777" w:rsidR="004E63D4" w:rsidRDefault="004E63D4" w:rsidP="00346B18">
            <w:pPr>
              <w:spacing w:line="240" w:lineRule="auto"/>
              <w:jc w:val="center"/>
              <w:rPr>
                <w:rFonts w:ascii="Calibri" w:eastAsia="Calibri" w:hAnsi="Calibri" w:cs="Calibri"/>
              </w:rPr>
            </w:pPr>
            <w:r>
              <w:rPr>
                <w:rFonts w:ascii="Calibri" w:eastAsia="Calibri" w:hAnsi="Calibri" w:cs="Calibri"/>
              </w:rPr>
              <w:t>A</w:t>
            </w:r>
          </w:p>
        </w:tc>
        <w:tc>
          <w:tcPr>
            <w:tcW w:w="1996" w:type="dxa"/>
            <w:vAlign w:val="center"/>
          </w:tcPr>
          <w:p w14:paraId="588B1A5B" w14:textId="77777777" w:rsidR="004E63D4" w:rsidRDefault="004E63D4" w:rsidP="00346B18">
            <w:pPr>
              <w:spacing w:line="240" w:lineRule="auto"/>
              <w:jc w:val="left"/>
              <w:rPr>
                <w:rFonts w:ascii="Calibri" w:eastAsia="Calibri" w:hAnsi="Calibri" w:cs="Calibri"/>
              </w:rPr>
            </w:pPr>
            <w:r>
              <w:rPr>
                <w:rFonts w:ascii="Calibri" w:eastAsia="Calibri" w:hAnsi="Calibri" w:cs="Calibri"/>
              </w:rPr>
              <w:t>Ex. complémentaires</w:t>
            </w:r>
          </w:p>
        </w:tc>
        <w:tc>
          <w:tcPr>
            <w:tcW w:w="6378" w:type="dxa"/>
          </w:tcPr>
          <w:p w14:paraId="6B7F0021" w14:textId="77777777" w:rsidR="004E63D4" w:rsidRDefault="004E63D4" w:rsidP="00346B18">
            <w:pPr>
              <w:spacing w:line="240" w:lineRule="auto"/>
              <w:rPr>
                <w:rFonts w:ascii="Calibri" w:eastAsia="Calibri" w:hAnsi="Calibri" w:cs="Calibri"/>
              </w:rPr>
            </w:pPr>
            <w:r>
              <w:rPr>
                <w:rFonts w:ascii="Calibri" w:eastAsia="Calibri" w:hAnsi="Calibri" w:cs="Calibri"/>
              </w:rPr>
              <w:t>Savoir poser l’indication de la réalisation d’un test de dépistage IgE multi-allergénique (</w:t>
            </w:r>
            <w:proofErr w:type="spellStart"/>
            <w:r>
              <w:rPr>
                <w:rFonts w:ascii="Calibri" w:eastAsia="Calibri" w:hAnsi="Calibri" w:cs="Calibri"/>
              </w:rPr>
              <w:t>aéroallergènes</w:t>
            </w:r>
            <w:proofErr w:type="spellEnd"/>
            <w:r>
              <w:rPr>
                <w:rFonts w:ascii="Calibri" w:eastAsia="Calibri" w:hAnsi="Calibri" w:cs="Calibri"/>
              </w:rPr>
              <w:t xml:space="preserve"> et trophallergènes)</w:t>
            </w:r>
          </w:p>
        </w:tc>
      </w:tr>
    </w:tbl>
    <w:p w14:paraId="5410DECC" w14:textId="77777777" w:rsidR="00876EF8" w:rsidRDefault="00876EF8" w:rsidP="00346B18">
      <w:pPr>
        <w:spacing w:line="240" w:lineRule="auto"/>
      </w:pPr>
    </w:p>
    <w:p w14:paraId="264027C1" w14:textId="6CF702C7" w:rsidR="00876EF8" w:rsidRPr="00116864" w:rsidRDefault="00876EF8" w:rsidP="00346B18">
      <w:pPr>
        <w:spacing w:line="240" w:lineRule="auto"/>
        <w:jc w:val="center"/>
        <w:rPr>
          <w:color w:val="0070C0"/>
        </w:rPr>
      </w:pPr>
      <w:r w:rsidRPr="00116864">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116864">
        <w:rPr>
          <w:color w:val="0070C0"/>
        </w:rPr>
        <w:t>Les objectifs de rang B apparaissent en bleu dans le texte.</w:t>
      </w:r>
    </w:p>
    <w:p w14:paraId="0641E352" w14:textId="76C39C22" w:rsidR="00876EF8" w:rsidRPr="00362251" w:rsidRDefault="004E63D4" w:rsidP="00346B18">
      <w:pPr>
        <w:spacing w:line="240" w:lineRule="auto"/>
      </w:pPr>
      <w:r>
        <w:rPr>
          <w:noProof/>
        </w:rPr>
        <w:lastRenderedPageBreak/>
        <w:drawing>
          <wp:anchor distT="0" distB="0" distL="114300" distR="114300" simplePos="0" relativeHeight="251773952" behindDoc="0" locked="0" layoutInCell="1" allowOverlap="1" wp14:anchorId="62FAA6AF" wp14:editId="63031AC8">
            <wp:simplePos x="0" y="0"/>
            <wp:positionH relativeFrom="column">
              <wp:posOffset>910616</wp:posOffset>
            </wp:positionH>
            <wp:positionV relativeFrom="paragraph">
              <wp:posOffset>159919</wp:posOffset>
            </wp:positionV>
            <wp:extent cx="136444" cy="138458"/>
            <wp:effectExtent l="0" t="0" r="0" b="0"/>
            <wp:wrapNone/>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36444" cy="138458"/>
                    </a:xfrm>
                    <a:prstGeom prst="rect">
                      <a:avLst/>
                    </a:prstGeom>
                    <a:ln/>
                  </pic:spPr>
                </pic:pic>
              </a:graphicData>
            </a:graphic>
          </wp:anchor>
        </w:drawing>
      </w:r>
    </w:p>
    <w:p w14:paraId="3BBB9A00" w14:textId="33CDBC75" w:rsidR="00876EF8" w:rsidRPr="00876EF8" w:rsidRDefault="004E63D4" w:rsidP="00346B18">
      <w:pPr>
        <w:spacing w:line="240" w:lineRule="auto"/>
        <w:jc w:val="center"/>
      </w:pPr>
      <w:r>
        <w:rPr>
          <w:color w:val="00B050"/>
        </w:rPr>
        <w:t>Les informations de rang C apparaissent en vert dans le texte.</w:t>
      </w:r>
    </w:p>
    <w:p w14:paraId="064314BF" w14:textId="77777777" w:rsidR="00876EF8" w:rsidRDefault="00876EF8" w:rsidP="00346B18">
      <w:pPr>
        <w:pStyle w:val="Pointscls"/>
      </w:pPr>
      <w:r>
        <w:t>Points clés</w:t>
      </w:r>
    </w:p>
    <w:p w14:paraId="05A30F96" w14:textId="77777777" w:rsidR="00643DC5" w:rsidRPr="00346B18" w:rsidRDefault="00643DC5" w:rsidP="00346B18">
      <w:pPr>
        <w:pStyle w:val="pointscls1"/>
      </w:pPr>
      <w:r w:rsidRPr="00346B18">
        <w:t xml:space="preserve">Définitions à connaître. </w:t>
      </w:r>
    </w:p>
    <w:p w14:paraId="5B99A23E" w14:textId="77777777" w:rsidR="00643DC5" w:rsidRPr="00346B18" w:rsidRDefault="00643DC5" w:rsidP="00346B18">
      <w:pPr>
        <w:pStyle w:val="pointscls1"/>
        <w:numPr>
          <w:ilvl w:val="0"/>
          <w:numId w:val="0"/>
        </w:numPr>
        <w:ind w:left="142"/>
      </w:pPr>
      <w:r w:rsidRPr="00346B18">
        <w:t>- Hypersensibilité immédiate (rhinite et asthme) - symptômes objectifs, reproductibles, initiés par une exposition à un stimulus défini, à des doses tolérées par des individus sains, survenant en quelques minutes. On distingue les hypersensibilités allergiques (mécanisme immunologique IgE-médié prouvé) des hypersensibilités non allergiques.</w:t>
      </w:r>
    </w:p>
    <w:p w14:paraId="2FF1F991" w14:textId="77777777" w:rsidR="00643DC5" w:rsidRPr="00346B18" w:rsidRDefault="00643DC5" w:rsidP="00346B18">
      <w:pPr>
        <w:pStyle w:val="pointscls1"/>
        <w:numPr>
          <w:ilvl w:val="0"/>
          <w:numId w:val="0"/>
        </w:numPr>
        <w:ind w:left="142"/>
      </w:pPr>
      <w:r w:rsidRPr="00346B18">
        <w:t xml:space="preserve">- Atopie – aptitude épi-génétiquement déterminée à fabriquer des anticorps d’isotype IgE, contre les allergènes de </w:t>
      </w:r>
      <w:sdt>
        <w:sdtPr>
          <w:tag w:val="goog_rdk_0"/>
          <w:id w:val="1619794821"/>
        </w:sdtPr>
        <w:sdtContent/>
      </w:sdt>
      <w:r w:rsidRPr="00346B18">
        <w:t>l’environnement (acariens, pollens, phanères d’animaux…).</w:t>
      </w:r>
    </w:p>
    <w:p w14:paraId="71000FBB" w14:textId="77777777" w:rsidR="00643DC5" w:rsidRPr="00346B18" w:rsidRDefault="00643DC5" w:rsidP="00346B18">
      <w:pPr>
        <w:pStyle w:val="pointscls1"/>
        <w:numPr>
          <w:ilvl w:val="0"/>
          <w:numId w:val="0"/>
        </w:numPr>
        <w:ind w:left="142"/>
      </w:pPr>
      <w:r w:rsidRPr="00346B18">
        <w:t>- Sensibilisation – avoir un test cutané positif et/ou une IgE spécifique positive à un allergène connu, sans préjuger de l’existence d’une réaction clinique allergique.</w:t>
      </w:r>
    </w:p>
    <w:p w14:paraId="2A6873E4" w14:textId="77777777" w:rsidR="00643DC5" w:rsidRPr="00346B18" w:rsidRDefault="00643DC5" w:rsidP="00346B18">
      <w:pPr>
        <w:pStyle w:val="pointscls1"/>
        <w:numPr>
          <w:ilvl w:val="0"/>
          <w:numId w:val="0"/>
        </w:numPr>
        <w:ind w:left="426" w:hanging="284"/>
      </w:pPr>
      <w:r w:rsidRPr="00346B18">
        <w:t>- Allergie – manifestation clinique à l’exposition à un allergène auquel le sujet est sensibilisé.</w:t>
      </w:r>
    </w:p>
    <w:p w14:paraId="0432CE85" w14:textId="77777777" w:rsidR="00643DC5" w:rsidRPr="00346B18" w:rsidRDefault="00643DC5" w:rsidP="00346B18">
      <w:pPr>
        <w:pStyle w:val="pointscls1"/>
      </w:pPr>
      <w:r w:rsidRPr="00346B18">
        <w:t xml:space="preserve">Les deux manifestations cliniques respiratoires principales sont la rhinite (ou </w:t>
      </w:r>
      <w:proofErr w:type="spellStart"/>
      <w:r w:rsidRPr="00346B18">
        <w:t>rhinoconjonctivite</w:t>
      </w:r>
      <w:proofErr w:type="spellEnd"/>
      <w:r w:rsidRPr="00346B18">
        <w:t>) et l’asthme.</w:t>
      </w:r>
    </w:p>
    <w:p w14:paraId="2C296BE1" w14:textId="77777777" w:rsidR="00643DC5" w:rsidRPr="00346B18" w:rsidRDefault="00643DC5" w:rsidP="00346B18">
      <w:pPr>
        <w:pStyle w:val="pointscls1"/>
      </w:pPr>
      <w:r w:rsidRPr="00346B18">
        <w:t>La physiopathologie de l’allergie respiratoire fait intervenir un allergène, une réaction immunitaire médiée par les IgE, avec activation des mastocytes et des polynucléaires basophiles, qui libèrent des médiateurs inflammatoires dont l’histamine, une inflammation des muqueuses rhino-sinusienne et/ou bronchique, et des manifestations cliniques en rapport avec cette inflammation.</w:t>
      </w:r>
    </w:p>
    <w:p w14:paraId="4C1C6CFB" w14:textId="77777777" w:rsidR="00643DC5" w:rsidRPr="00346B18" w:rsidRDefault="00643DC5" w:rsidP="00346B18">
      <w:pPr>
        <w:pStyle w:val="pointscls1"/>
      </w:pPr>
      <w:r w:rsidRPr="00346B18">
        <w:t>La suspicion du diagnostic est clinique devant des symptômes de rhinite ou d’asthme, d’apparition très rapide (quelques minutes à 1-2 heures) après le contact avec l’allergène.</w:t>
      </w:r>
    </w:p>
    <w:p w14:paraId="798DB5A4" w14:textId="77777777" w:rsidR="00643DC5" w:rsidRPr="00346B18" w:rsidRDefault="00643DC5" w:rsidP="00346B18">
      <w:pPr>
        <w:pStyle w:val="pointscls1"/>
      </w:pPr>
      <w:r w:rsidRPr="00346B18">
        <w:t>La confirmation de l’allergie passe par la présence d’une clinique évocatrice, la constatation d’une sensibilisation immunologique IgE médiée aux pneumallergènes (avec des tests cutanés en première intention et/ou des dosages d’IgE spécifiques dans le sang) et la mise en évidence d’une relation de cause à effet entre l’exposition à l’allergène et la réaction clinique.</w:t>
      </w:r>
    </w:p>
    <w:p w14:paraId="4C7E5A53" w14:textId="77777777" w:rsidR="00643DC5" w:rsidRPr="00346B18" w:rsidRDefault="00643DC5" w:rsidP="00346B18">
      <w:pPr>
        <w:pStyle w:val="pointscls1"/>
      </w:pPr>
      <w:r w:rsidRPr="00346B18">
        <w:t>La prévention de l’allergie est une étape fondamentale du traitement, même si elle n’est pas toujours réalisable. Elle repose sur l’éviction allergénique et sur l’éducation thérapeutique.</w:t>
      </w:r>
    </w:p>
    <w:p w14:paraId="265C04D6" w14:textId="77777777" w:rsidR="00643DC5" w:rsidRPr="00346B18" w:rsidRDefault="00643DC5" w:rsidP="00346B18">
      <w:pPr>
        <w:pStyle w:val="pointscls1"/>
      </w:pPr>
      <w:r w:rsidRPr="00346B18">
        <w:t>Le traitement symptomatique de la rhinite repose sur les corticoïdes nasaux et les antihistaminiques H1.</w:t>
      </w:r>
    </w:p>
    <w:p w14:paraId="333241B0" w14:textId="77777777" w:rsidR="00643DC5" w:rsidRPr="00346B18" w:rsidRDefault="00643DC5" w:rsidP="00346B18">
      <w:pPr>
        <w:pStyle w:val="pointscls1"/>
      </w:pPr>
      <w:r w:rsidRPr="00346B18">
        <w:t>Le traitement de l’asthme est fondé sur les corticoïdes inhalés et les bronchodilatateurs (cf. chapitre Asthme)</w:t>
      </w:r>
      <w:r w:rsidRPr="00346B18">
        <w:rPr>
          <w:rFonts w:ascii="Arial" w:hAnsi="Arial" w:cs="Arial"/>
        </w:rPr>
        <w:t> </w:t>
      </w:r>
      <w:r w:rsidRPr="00346B18">
        <w:t>; l’asthme n’est pas toujours d’origine allergique.</w:t>
      </w:r>
    </w:p>
    <w:p w14:paraId="2A0EBC67" w14:textId="77777777" w:rsidR="00643DC5" w:rsidRPr="00346B18" w:rsidRDefault="00643DC5" w:rsidP="00346B18">
      <w:pPr>
        <w:pStyle w:val="pointscls1"/>
      </w:pPr>
      <w:r w:rsidRPr="00346B18">
        <w:t xml:space="preserve">L’immunothérapie allergénique (ITA) a fait la preuve de son efficacité en ce qui concerne l’allergie respiratoire liée aux acariens et à certains pollens (graminées, bouleau, oliviers, cyprès, ambroisie, pariétaire). Les indications principales incluent la rhinite allergique, la conjonctivite allergique, et l’asthme allergique contrôlé (dans ce dernier cas, surtout aux acariens et graminées). </w:t>
      </w:r>
    </w:p>
    <w:p w14:paraId="125E8F7E" w14:textId="77777777" w:rsidR="00643DC5" w:rsidRPr="00346B18" w:rsidRDefault="00643DC5" w:rsidP="00346B18">
      <w:pPr>
        <w:pStyle w:val="pointscls1"/>
      </w:pPr>
      <w:r w:rsidRPr="00346B18">
        <w:t>Le suivi d’un patient avec rhinite est centré sur les symptômes ORL et oculaires, mais aussi sur la possibilité d’apparition ou d’aggravation d’un asthme.</w:t>
      </w:r>
    </w:p>
    <w:p w14:paraId="50B3809B" w14:textId="77777777" w:rsidR="00643DC5" w:rsidRPr="00346B18" w:rsidRDefault="00643DC5" w:rsidP="00346B18">
      <w:pPr>
        <w:pStyle w:val="pointscls1"/>
      </w:pPr>
      <w:r w:rsidRPr="00346B18">
        <w:t>L’allergie respiratoire professionnelle peut faire l’objet d’une déclaration de maladie professionnelle et d’une réparation.</w:t>
      </w:r>
    </w:p>
    <w:p w14:paraId="12B96925" w14:textId="77777777" w:rsidR="00876EF8" w:rsidRDefault="00876EF8" w:rsidP="00346B18">
      <w:pPr>
        <w:spacing w:line="276" w:lineRule="auto"/>
      </w:pPr>
      <w:r>
        <w:br w:type="page"/>
      </w:r>
    </w:p>
    <w:p w14:paraId="64E2119A" w14:textId="326392D0" w:rsidR="00116864" w:rsidRDefault="00116864" w:rsidP="00346B18">
      <w:pPr>
        <w:pStyle w:val="titredepartie"/>
      </w:pPr>
      <w:r>
        <w:lastRenderedPageBreak/>
        <w:t>DÉFINITIONS</w:t>
      </w:r>
      <w:r w:rsidR="00F01BFE">
        <w:t xml:space="preserve"> – </w:t>
      </w:r>
      <w:r>
        <w:t>PHYSIOPATHOLOGIE</w:t>
      </w:r>
      <w:r w:rsidR="00F01BFE">
        <w:t xml:space="preserve"> </w:t>
      </w:r>
      <w:r>
        <w:t>-</w:t>
      </w:r>
      <w:r w:rsidR="00F01BFE">
        <w:t xml:space="preserve"> </w:t>
      </w:r>
      <w:r>
        <w:t xml:space="preserve">EPIDEMIOLOGIE </w:t>
      </w:r>
    </w:p>
    <w:p w14:paraId="59617F58" w14:textId="77777777" w:rsidR="0028403E" w:rsidRDefault="0028403E" w:rsidP="00346B18">
      <w:pPr>
        <w:pStyle w:val="titredesous-partie"/>
      </w:pPr>
      <w:r>
        <w:t>Définitions</w:t>
      </w:r>
    </w:p>
    <w:p w14:paraId="0C5F416B" w14:textId="77777777" w:rsidR="0028403E" w:rsidRDefault="0028403E" w:rsidP="00346B18">
      <w:pPr>
        <w:pBdr>
          <w:top w:val="nil"/>
          <w:left w:val="nil"/>
          <w:bottom w:val="nil"/>
          <w:right w:val="nil"/>
          <w:between w:val="nil"/>
        </w:pBdr>
        <w:spacing w:after="240" w:line="276" w:lineRule="auto"/>
        <w:rPr>
          <w:b/>
          <w:bCs/>
        </w:rPr>
      </w:pPr>
      <w:r>
        <w:rPr>
          <w:b/>
          <w:bCs/>
        </w:rPr>
        <w:t>«</w:t>
      </w:r>
      <w:r>
        <w:rPr>
          <w:rFonts w:ascii="Arial" w:eastAsia="Arial" w:hAnsi="Arial" w:cs="Arial"/>
          <w:b/>
          <w:bCs/>
        </w:rPr>
        <w:t> </w:t>
      </w:r>
      <w:r>
        <w:rPr>
          <w:b/>
          <w:bCs/>
        </w:rPr>
        <w:t>Hypersensibilité</w:t>
      </w:r>
      <w:r>
        <w:rPr>
          <w:rFonts w:ascii="Arial" w:eastAsia="Arial" w:hAnsi="Arial" w:cs="Arial"/>
          <w:b/>
          <w:bCs/>
        </w:rPr>
        <w:t> </w:t>
      </w:r>
      <w:r>
        <w:rPr>
          <w:b/>
          <w:bCs/>
        </w:rPr>
        <w:t xml:space="preserve">» </w:t>
      </w:r>
    </w:p>
    <w:p w14:paraId="3D5D4F4F" w14:textId="77777777" w:rsidR="0028403E" w:rsidRDefault="0028403E" w:rsidP="00346B18">
      <w:pPr>
        <w:spacing w:line="276" w:lineRule="auto"/>
      </w:pPr>
      <w:r>
        <w:t>Symptômes objectifs, reproductibles, initiés par une exposition à un stimulus défini, à des doses tolérées par des individus sains. On distingue les :</w:t>
      </w:r>
    </w:p>
    <w:p w14:paraId="3FB84E55" w14:textId="77777777" w:rsidR="0028403E" w:rsidRDefault="0028403E" w:rsidP="00346B18">
      <w:pPr>
        <w:spacing w:line="276" w:lineRule="auto"/>
      </w:pPr>
      <w:r>
        <w:t>- «</w:t>
      </w:r>
      <w:r>
        <w:rPr>
          <w:rFonts w:ascii="Arial" w:eastAsia="Arial" w:hAnsi="Arial" w:cs="Arial"/>
        </w:rPr>
        <w:t> </w:t>
      </w:r>
      <w:r>
        <w:t>Hypersensibilités allergiques</w:t>
      </w:r>
      <w:r>
        <w:rPr>
          <w:rFonts w:ascii="Arial" w:eastAsia="Arial" w:hAnsi="Arial" w:cs="Arial"/>
        </w:rPr>
        <w:t> </w:t>
      </w:r>
      <w:r>
        <w:t>» (mécanisme immunologique prouvé).</w:t>
      </w:r>
    </w:p>
    <w:p w14:paraId="1CA1FB68" w14:textId="77777777" w:rsidR="0028403E" w:rsidRDefault="0028403E" w:rsidP="00346B18">
      <w:pPr>
        <w:spacing w:line="276" w:lineRule="auto"/>
      </w:pPr>
      <w:r>
        <w:t>- «</w:t>
      </w:r>
      <w:r>
        <w:rPr>
          <w:rFonts w:ascii="Arial" w:eastAsia="Arial" w:hAnsi="Arial" w:cs="Arial"/>
        </w:rPr>
        <w:t> </w:t>
      </w:r>
      <w:r>
        <w:t>Hypersensibilités non allergiques</w:t>
      </w:r>
      <w:r>
        <w:rPr>
          <w:rFonts w:ascii="Arial" w:eastAsia="Arial" w:hAnsi="Arial" w:cs="Arial"/>
        </w:rPr>
        <w:t> </w:t>
      </w:r>
      <w:r>
        <w:t>».</w:t>
      </w:r>
    </w:p>
    <w:p w14:paraId="0D36872C" w14:textId="77777777" w:rsidR="0028403E" w:rsidRDefault="0028403E" w:rsidP="00346B18">
      <w:pPr>
        <w:spacing w:line="276" w:lineRule="auto"/>
      </w:pPr>
    </w:p>
    <w:p w14:paraId="7FEC53E9" w14:textId="77777777" w:rsidR="0028403E" w:rsidRDefault="0028403E" w:rsidP="00346B18">
      <w:pPr>
        <w:pStyle w:val="lgende"/>
        <w:jc w:val="center"/>
      </w:pPr>
      <w:r>
        <w:t>Figure 1 : Classification des hypersensibilités.</w:t>
      </w:r>
    </w:p>
    <w:p w14:paraId="285C02F0" w14:textId="77777777" w:rsidR="0028403E" w:rsidRDefault="0028403E" w:rsidP="00346B18">
      <w:pPr>
        <w:spacing w:line="276" w:lineRule="auto"/>
        <w:jc w:val="center"/>
      </w:pPr>
      <w:r>
        <w:rPr>
          <w:noProof/>
        </w:rPr>
        <w:drawing>
          <wp:inline distT="0" distB="0" distL="0" distR="0" wp14:anchorId="41520296" wp14:editId="023A10CF">
            <wp:extent cx="3814465" cy="2290258"/>
            <wp:effectExtent l="0" t="0" r="0" b="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3814465" cy="2290258"/>
                    </a:xfrm>
                    <a:prstGeom prst="rect">
                      <a:avLst/>
                    </a:prstGeom>
                    <a:ln/>
                  </pic:spPr>
                </pic:pic>
              </a:graphicData>
            </a:graphic>
          </wp:inline>
        </w:drawing>
      </w:r>
    </w:p>
    <w:p w14:paraId="6CE97D3D" w14:textId="77777777" w:rsidR="0028403E" w:rsidRDefault="0028403E" w:rsidP="00346B18">
      <w:pPr>
        <w:spacing w:line="276" w:lineRule="auto"/>
        <w:rPr>
          <w:b/>
          <w:bCs/>
        </w:rPr>
      </w:pPr>
    </w:p>
    <w:p w14:paraId="54767503" w14:textId="77777777" w:rsidR="0028403E" w:rsidRDefault="0028403E" w:rsidP="00346B18">
      <w:pPr>
        <w:pBdr>
          <w:top w:val="nil"/>
          <w:left w:val="nil"/>
          <w:bottom w:val="nil"/>
          <w:right w:val="nil"/>
          <w:between w:val="nil"/>
        </w:pBdr>
        <w:spacing w:after="240" w:line="276" w:lineRule="auto"/>
        <w:rPr>
          <w:b/>
          <w:bCs/>
        </w:rPr>
      </w:pPr>
      <w:r>
        <w:rPr>
          <w:b/>
          <w:bCs/>
        </w:rPr>
        <w:t>«</w:t>
      </w:r>
      <w:r>
        <w:rPr>
          <w:rFonts w:ascii="Arial" w:eastAsia="Arial" w:hAnsi="Arial" w:cs="Arial"/>
          <w:b/>
          <w:bCs/>
        </w:rPr>
        <w:t> </w:t>
      </w:r>
      <w:r>
        <w:rPr>
          <w:b/>
          <w:bCs/>
        </w:rPr>
        <w:t>Allergie</w:t>
      </w:r>
      <w:r>
        <w:rPr>
          <w:rFonts w:ascii="Arial" w:eastAsia="Arial" w:hAnsi="Arial" w:cs="Arial"/>
          <w:b/>
          <w:bCs/>
        </w:rPr>
        <w:t> </w:t>
      </w:r>
      <w:r>
        <w:rPr>
          <w:b/>
          <w:bCs/>
        </w:rPr>
        <w:t xml:space="preserve">» </w:t>
      </w:r>
    </w:p>
    <w:p w14:paraId="5F73C4A3" w14:textId="77777777" w:rsidR="0028403E" w:rsidRDefault="0028403E" w:rsidP="00346B18">
      <w:pPr>
        <w:spacing w:line="276" w:lineRule="auto"/>
      </w:pPr>
      <w:r>
        <w:t>Réaction clinique d’hypersensibilité chez un individu préalablement sensibilisé sur le plan immunologique.</w:t>
      </w:r>
    </w:p>
    <w:p w14:paraId="774B852B" w14:textId="77777777" w:rsidR="0028403E" w:rsidRDefault="0028403E" w:rsidP="00346B18">
      <w:pPr>
        <w:spacing w:line="276" w:lineRule="auto"/>
      </w:pPr>
      <w:r>
        <w:t>- Médiée par des anticorps ou par des cellules.</w:t>
      </w:r>
    </w:p>
    <w:p w14:paraId="2740A84D" w14:textId="77777777" w:rsidR="0028403E" w:rsidRDefault="0028403E" w:rsidP="00346B18">
      <w:pPr>
        <w:spacing w:line="276" w:lineRule="auto"/>
        <w:rPr>
          <w:b/>
          <w:bCs/>
        </w:rPr>
      </w:pPr>
      <w:r>
        <w:t>- Hypothèse selon laquelle des lésions de la barrière épithéliale des maladies inflammatoires de type 2 causées par différents agents nocifs liés à l’industrialisation, à l’urbanisation et à la vie moderne (alimentation, pollutions, modification du microbiote intestinal…), contribueraient à l’augmentation des maladies allergiques</w:t>
      </w:r>
      <w:r>
        <w:rPr>
          <w:b/>
          <w:bCs/>
        </w:rPr>
        <w:t xml:space="preserve"> </w:t>
      </w:r>
    </w:p>
    <w:p w14:paraId="7685582D" w14:textId="77777777" w:rsidR="0028403E" w:rsidRDefault="0028403E" w:rsidP="00346B18">
      <w:pPr>
        <w:spacing w:line="276" w:lineRule="auto"/>
        <w:rPr>
          <w:b/>
          <w:bCs/>
        </w:rPr>
      </w:pPr>
    </w:p>
    <w:p w14:paraId="7494BE1D" w14:textId="77777777" w:rsidR="0028403E" w:rsidRDefault="0028403E" w:rsidP="00346B18">
      <w:pPr>
        <w:pBdr>
          <w:top w:val="nil"/>
          <w:left w:val="nil"/>
          <w:bottom w:val="nil"/>
          <w:right w:val="nil"/>
          <w:between w:val="nil"/>
        </w:pBdr>
        <w:spacing w:after="240" w:line="276" w:lineRule="auto"/>
        <w:rPr>
          <w:b/>
          <w:bCs/>
        </w:rPr>
      </w:pPr>
      <w:r>
        <w:rPr>
          <w:b/>
          <w:bCs/>
        </w:rPr>
        <w:t>«</w:t>
      </w:r>
      <w:r>
        <w:rPr>
          <w:rFonts w:ascii="Arial" w:eastAsia="Arial" w:hAnsi="Arial" w:cs="Arial"/>
          <w:b/>
          <w:bCs/>
        </w:rPr>
        <w:t> </w:t>
      </w:r>
      <w:r>
        <w:rPr>
          <w:b/>
          <w:bCs/>
        </w:rPr>
        <w:t>Atopie</w:t>
      </w:r>
      <w:r>
        <w:rPr>
          <w:rFonts w:ascii="Arial" w:eastAsia="Arial" w:hAnsi="Arial" w:cs="Arial"/>
          <w:b/>
          <w:bCs/>
        </w:rPr>
        <w:t> </w:t>
      </w:r>
      <w:r>
        <w:rPr>
          <w:b/>
          <w:bCs/>
        </w:rPr>
        <w:t xml:space="preserve">» </w:t>
      </w:r>
    </w:p>
    <w:p w14:paraId="094E63D6" w14:textId="77777777" w:rsidR="0028403E" w:rsidRDefault="0028403E" w:rsidP="00346B18">
      <w:pPr>
        <w:spacing w:line="276" w:lineRule="auto"/>
      </w:pPr>
      <w:r>
        <w:t xml:space="preserve">Prédisposition héréditaire à produire des IgE en réponse à de faibles doses d’allergènes. L’atopie a une origine génétique, mais aussi liée à l’environnement, et est considérée comme un facteur de risque de développer des manifestations d’hypersensibilité immédiate (asthme, </w:t>
      </w:r>
      <w:proofErr w:type="spellStart"/>
      <w:r>
        <w:t>rhinoconjonctivite</w:t>
      </w:r>
      <w:proofErr w:type="spellEnd"/>
      <w:r>
        <w:t xml:space="preserve">, dermatite </w:t>
      </w:r>
      <w:proofErr w:type="spellStart"/>
      <w:r>
        <w:t>atopique</w:t>
      </w:r>
      <w:proofErr w:type="spellEnd"/>
      <w:r>
        <w:t>/eczéma).</w:t>
      </w:r>
    </w:p>
    <w:p w14:paraId="1F58C19D" w14:textId="77777777" w:rsidR="0028403E" w:rsidRDefault="0028403E" w:rsidP="00346B18">
      <w:pPr>
        <w:spacing w:line="276" w:lineRule="auto"/>
        <w:rPr>
          <w:b/>
          <w:bCs/>
        </w:rPr>
      </w:pPr>
    </w:p>
    <w:p w14:paraId="2B0878B5" w14:textId="77777777" w:rsidR="0028403E" w:rsidRDefault="0028403E" w:rsidP="00346B18">
      <w:pPr>
        <w:pBdr>
          <w:top w:val="nil"/>
          <w:left w:val="nil"/>
          <w:bottom w:val="nil"/>
          <w:right w:val="nil"/>
          <w:between w:val="nil"/>
        </w:pBdr>
        <w:spacing w:after="240" w:line="276" w:lineRule="auto"/>
        <w:rPr>
          <w:b/>
          <w:bCs/>
        </w:rPr>
      </w:pPr>
      <w:r>
        <w:rPr>
          <w:b/>
          <w:bCs/>
        </w:rPr>
        <w:t>«</w:t>
      </w:r>
      <w:r>
        <w:rPr>
          <w:rFonts w:ascii="Arial" w:eastAsia="Arial" w:hAnsi="Arial" w:cs="Arial"/>
          <w:b/>
          <w:bCs/>
        </w:rPr>
        <w:t> </w:t>
      </w:r>
      <w:r>
        <w:rPr>
          <w:b/>
          <w:bCs/>
        </w:rPr>
        <w:t>Sensibilisation</w:t>
      </w:r>
      <w:r>
        <w:rPr>
          <w:rFonts w:ascii="Arial" w:eastAsia="Arial" w:hAnsi="Arial" w:cs="Arial"/>
          <w:b/>
          <w:bCs/>
        </w:rPr>
        <w:t> </w:t>
      </w:r>
      <w:r>
        <w:rPr>
          <w:b/>
          <w:bCs/>
        </w:rPr>
        <w:t xml:space="preserve">» </w:t>
      </w:r>
    </w:p>
    <w:p w14:paraId="7F0B74F8" w14:textId="77777777" w:rsidR="0028403E" w:rsidRDefault="0028403E" w:rsidP="00346B18">
      <w:pPr>
        <w:spacing w:line="276" w:lineRule="auto"/>
      </w:pPr>
      <w:r>
        <w:lastRenderedPageBreak/>
        <w:t xml:space="preserve">La sensibilisation immunologique IgE-médiée se définit par la présence d’un test cutané positif et/ou une IgE spécifique positive à un allergène, sans préjuger d’une réaction clinique quelconque de type allergique. Cela signifie aussi que l’organisme a développé des IgE spécifiques vis-à-vis de l’allergène en question. Il est donc possible d’être sensibilisé, mais non allergique, donc sans symptômes.  </w:t>
      </w:r>
    </w:p>
    <w:p w14:paraId="7593374A" w14:textId="77777777" w:rsidR="0028403E" w:rsidRDefault="0028403E" w:rsidP="00346B18">
      <w:pPr>
        <w:spacing w:line="276" w:lineRule="auto"/>
      </w:pPr>
    </w:p>
    <w:p w14:paraId="2BBD12FC" w14:textId="77777777" w:rsidR="0028403E" w:rsidRDefault="0028403E" w:rsidP="00346B18">
      <w:pPr>
        <w:pBdr>
          <w:top w:val="nil"/>
          <w:left w:val="nil"/>
          <w:bottom w:val="nil"/>
          <w:right w:val="nil"/>
          <w:between w:val="nil"/>
        </w:pBdr>
        <w:spacing w:after="240" w:line="276" w:lineRule="auto"/>
        <w:rPr>
          <w:b/>
          <w:bCs/>
        </w:rPr>
      </w:pPr>
      <w:r>
        <w:rPr>
          <w:b/>
          <w:bCs/>
        </w:rPr>
        <w:t>«</w:t>
      </w:r>
      <w:r>
        <w:rPr>
          <w:rFonts w:ascii="Arial" w:eastAsia="Arial" w:hAnsi="Arial" w:cs="Arial"/>
          <w:b/>
          <w:bCs/>
        </w:rPr>
        <w:t> </w:t>
      </w:r>
      <w:r>
        <w:rPr>
          <w:b/>
          <w:bCs/>
        </w:rPr>
        <w:t>Allergènes</w:t>
      </w:r>
      <w:r>
        <w:rPr>
          <w:rFonts w:ascii="Arial" w:eastAsia="Arial" w:hAnsi="Arial" w:cs="Arial"/>
          <w:b/>
          <w:bCs/>
        </w:rPr>
        <w:t> </w:t>
      </w:r>
      <w:r>
        <w:rPr>
          <w:b/>
          <w:bCs/>
        </w:rPr>
        <w:t xml:space="preserve">» </w:t>
      </w:r>
    </w:p>
    <w:p w14:paraId="0F8E2631" w14:textId="77777777" w:rsidR="0028403E" w:rsidRDefault="0028403E" w:rsidP="00346B18">
      <w:pPr>
        <w:spacing w:line="276" w:lineRule="auto"/>
      </w:pPr>
      <w:r>
        <w:t>Allergènes :</w:t>
      </w:r>
    </w:p>
    <w:p w14:paraId="5B5BD4B4" w14:textId="77777777" w:rsidR="0028403E" w:rsidRDefault="0028403E" w:rsidP="00346B18">
      <w:pPr>
        <w:spacing w:line="276" w:lineRule="auto"/>
      </w:pPr>
      <w:r>
        <w:t>- Antigènes capables d’induire une réaction d’hypersensibilité allergique.</w:t>
      </w:r>
    </w:p>
    <w:p w14:paraId="6CFBF25A" w14:textId="77777777" w:rsidR="0028403E" w:rsidRDefault="0028403E" w:rsidP="00346B18">
      <w:pPr>
        <w:spacing w:line="276" w:lineRule="auto"/>
      </w:pPr>
    </w:p>
    <w:p w14:paraId="188D554B" w14:textId="77777777" w:rsidR="0028403E" w:rsidRDefault="0028403E" w:rsidP="00346B18">
      <w:pPr>
        <w:spacing w:line="276" w:lineRule="auto"/>
      </w:pPr>
      <w:r>
        <w:t>Pneumallergènes :</w:t>
      </w:r>
    </w:p>
    <w:p w14:paraId="010DD59F" w14:textId="77777777" w:rsidR="0028403E" w:rsidRDefault="0028403E" w:rsidP="00346B18">
      <w:pPr>
        <w:spacing w:line="276" w:lineRule="auto"/>
      </w:pPr>
      <w:r>
        <w:t>- Allergènes aéroportés et donc inhalés (nez, bronches) ou en contact avec les yeux. </w:t>
      </w:r>
    </w:p>
    <w:p w14:paraId="0AC8F128" w14:textId="77777777" w:rsidR="0028403E" w:rsidRDefault="0028403E" w:rsidP="00346B18">
      <w:pPr>
        <w:spacing w:line="276" w:lineRule="auto"/>
      </w:pPr>
    </w:p>
    <w:p w14:paraId="59D84E71" w14:textId="77777777" w:rsidR="0028403E" w:rsidRDefault="0028403E" w:rsidP="00346B18">
      <w:pPr>
        <w:spacing w:line="276" w:lineRule="auto"/>
      </w:pPr>
      <w:r>
        <w:t>Trophallergènes :</w:t>
      </w:r>
    </w:p>
    <w:p w14:paraId="5A463242" w14:textId="77777777" w:rsidR="0028403E" w:rsidRDefault="0028403E" w:rsidP="00346B18">
      <w:pPr>
        <w:spacing w:line="276" w:lineRule="auto"/>
      </w:pPr>
      <w:r>
        <w:t>- Allergènes alimentaires ingérés impliqués dans des réactions d’allergie alimentaire.</w:t>
      </w:r>
    </w:p>
    <w:p w14:paraId="5202F108" w14:textId="77777777" w:rsidR="0028403E" w:rsidRDefault="0028403E" w:rsidP="00346B18">
      <w:pPr>
        <w:spacing w:line="276" w:lineRule="auto"/>
      </w:pPr>
    </w:p>
    <w:p w14:paraId="55E59EB1" w14:textId="77777777" w:rsidR="0028403E" w:rsidRDefault="0028403E" w:rsidP="00346B18">
      <w:pPr>
        <w:spacing w:line="276" w:lineRule="auto"/>
      </w:pPr>
      <w:r>
        <w:t>Allergènes professionnels :</w:t>
      </w:r>
    </w:p>
    <w:p w14:paraId="6505BD85" w14:textId="77777777" w:rsidR="0028403E" w:rsidRDefault="0028403E" w:rsidP="00346B18">
      <w:pPr>
        <w:spacing w:line="276" w:lineRule="auto"/>
      </w:pPr>
      <w:r>
        <w:t>- Allergènes présents sur les lieux de travail.</w:t>
      </w:r>
    </w:p>
    <w:p w14:paraId="284493A0" w14:textId="3B13BEC9" w:rsidR="0028403E" w:rsidRDefault="00346B18" w:rsidP="00346B18">
      <w:pPr>
        <w:spacing w:line="276" w:lineRule="auto"/>
      </w:pPr>
      <w:r>
        <w:rPr>
          <w:noProof/>
        </w:rPr>
        <w:drawing>
          <wp:anchor distT="0" distB="0" distL="114300" distR="114300" simplePos="0" relativeHeight="251787264" behindDoc="0" locked="0" layoutInCell="1" hidden="0" allowOverlap="1" wp14:anchorId="12CC1873" wp14:editId="310A2E64">
            <wp:simplePos x="0" y="0"/>
            <wp:positionH relativeFrom="column">
              <wp:posOffset>-178766</wp:posOffset>
            </wp:positionH>
            <wp:positionV relativeFrom="paragraph">
              <wp:posOffset>194945</wp:posOffset>
            </wp:positionV>
            <wp:extent cx="153670" cy="137160"/>
            <wp:effectExtent l="0" t="0" r="0" b="0"/>
            <wp:wrapSquare wrapText="bothSides" distT="0" distB="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69E021B6" w14:textId="74B0BB70" w:rsidR="0028403E" w:rsidRDefault="0028403E" w:rsidP="00346B18">
      <w:pPr>
        <w:pStyle w:val="titredesous-partie"/>
      </w:pPr>
      <w:r>
        <w:t>PHYSIOPATHOLOGIE : Hypersensibilités faisant intervenir un mécanisme immunologique</w:t>
      </w:r>
    </w:p>
    <w:p w14:paraId="567A32FC" w14:textId="77777777" w:rsidR="0028403E" w:rsidRPr="00346B18" w:rsidRDefault="0028403E" w:rsidP="00346B18">
      <w:pPr>
        <w:pStyle w:val="Titre2"/>
      </w:pPr>
      <w:r w:rsidRPr="00346B18">
        <w:t xml:space="preserve">Hypersensibilité de type 1 ou hypersensibilité immédiate </w:t>
      </w:r>
    </w:p>
    <w:p w14:paraId="2902CEA8" w14:textId="77777777" w:rsidR="0028403E" w:rsidRPr="00346B18" w:rsidRDefault="0028403E" w:rsidP="00346B18">
      <w:pPr>
        <w:spacing w:line="276" w:lineRule="auto"/>
        <w:rPr>
          <w:color w:val="0070C0"/>
        </w:rPr>
      </w:pPr>
      <w:r w:rsidRPr="00346B18">
        <w:rPr>
          <w:color w:val="0070C0"/>
        </w:rPr>
        <w:t>Réaction le plus souvent en cause dans l’allergie, médiée par les IgE spécifiques d’un (ou plusieurs) allergènes, qui se fixent sur des récepteurs à la surface des mastocytes et des polynucléaires basophiles, puis activent ces cellules après l’introduction des allergènes dans l’organisme, entraînant la libération de médiateurs pro-inflammatoires.</w:t>
      </w:r>
    </w:p>
    <w:p w14:paraId="6BBEC617" w14:textId="77777777" w:rsidR="0028403E" w:rsidRPr="00346B18" w:rsidRDefault="0028403E" w:rsidP="00346B18">
      <w:pPr>
        <w:spacing w:line="276" w:lineRule="auto"/>
        <w:rPr>
          <w:color w:val="0070C0"/>
        </w:rPr>
      </w:pPr>
      <w:r w:rsidRPr="00346B18">
        <w:rPr>
          <w:color w:val="0070C0"/>
        </w:rPr>
        <w:t>Exemple : rhinite allergique, asthme allergique, anaphylaxie alimentaire.</w:t>
      </w:r>
    </w:p>
    <w:p w14:paraId="10C25000" w14:textId="77777777" w:rsidR="0028403E" w:rsidRPr="00346B18" w:rsidRDefault="0028403E" w:rsidP="00346B18">
      <w:pPr>
        <w:spacing w:line="276" w:lineRule="auto"/>
        <w:rPr>
          <w:b/>
          <w:bCs/>
          <w:color w:val="0070C0"/>
        </w:rPr>
      </w:pPr>
    </w:p>
    <w:p w14:paraId="0983DC5B" w14:textId="77777777" w:rsidR="0028403E" w:rsidRPr="00346B18" w:rsidRDefault="0028403E" w:rsidP="00346B18">
      <w:pPr>
        <w:pStyle w:val="Titre2"/>
      </w:pPr>
      <w:r w:rsidRPr="00346B18">
        <w:t xml:space="preserve">Hypersensibilité de type 2 ou réaction de cytotoxicité liée aux anticorps </w:t>
      </w:r>
    </w:p>
    <w:p w14:paraId="22A9460F" w14:textId="77777777" w:rsidR="0028403E" w:rsidRPr="00346B18" w:rsidRDefault="0028403E" w:rsidP="00346B18">
      <w:pPr>
        <w:spacing w:line="276" w:lineRule="auto"/>
        <w:rPr>
          <w:color w:val="0070C0"/>
        </w:rPr>
      </w:pPr>
      <w:r w:rsidRPr="00346B18">
        <w:rPr>
          <w:color w:val="0070C0"/>
        </w:rPr>
        <w:t>Réaction médiée par des IgG ou des IgM, qui reconnaissent un antigène et se fixent ensuite sur une cellule cible. L’activation du complément et une phagocytose conduisent ensuite à la destruction de la cellule cible.</w:t>
      </w:r>
    </w:p>
    <w:p w14:paraId="52F16D5D" w14:textId="77777777" w:rsidR="0028403E" w:rsidRPr="00346B18" w:rsidRDefault="0028403E" w:rsidP="00346B18">
      <w:pPr>
        <w:spacing w:line="276" w:lineRule="auto"/>
        <w:rPr>
          <w:color w:val="0070C0"/>
          <w:u w:val="single"/>
        </w:rPr>
      </w:pPr>
      <w:r w:rsidRPr="00346B18">
        <w:rPr>
          <w:color w:val="0070C0"/>
        </w:rPr>
        <w:t>Exemple : cytopénie médicamenteuse.</w:t>
      </w:r>
    </w:p>
    <w:p w14:paraId="12FD604E" w14:textId="77777777" w:rsidR="0028403E" w:rsidRPr="00346B18" w:rsidRDefault="0028403E" w:rsidP="00346B18">
      <w:pPr>
        <w:spacing w:line="276" w:lineRule="auto"/>
        <w:rPr>
          <w:b/>
          <w:bCs/>
          <w:color w:val="0070C0"/>
        </w:rPr>
      </w:pPr>
    </w:p>
    <w:p w14:paraId="1D6449CF" w14:textId="77777777" w:rsidR="0028403E" w:rsidRPr="00346B18" w:rsidRDefault="0028403E" w:rsidP="00346B18">
      <w:pPr>
        <w:pStyle w:val="Titre2"/>
      </w:pPr>
      <w:r w:rsidRPr="00346B18">
        <w:t xml:space="preserve">Hypersensibilité de type 3 ou réaction à complexes immuns </w:t>
      </w:r>
    </w:p>
    <w:p w14:paraId="2B7049E4" w14:textId="77777777" w:rsidR="0028403E" w:rsidRPr="00346B18" w:rsidRDefault="0028403E" w:rsidP="00346B18">
      <w:pPr>
        <w:spacing w:line="276" w:lineRule="auto"/>
        <w:rPr>
          <w:color w:val="0070C0"/>
        </w:rPr>
      </w:pPr>
      <w:r w:rsidRPr="00346B18">
        <w:rPr>
          <w:color w:val="0070C0"/>
        </w:rPr>
        <w:t>Formation de complexes antigènes/anticorps solubles circulants, qui se déposent dans certains tissus et y provoquent des lésions liées à l’inflammation et l’activation du système du complément qu’ils génèrent.</w:t>
      </w:r>
    </w:p>
    <w:p w14:paraId="0DCF7271" w14:textId="77777777" w:rsidR="0028403E" w:rsidRPr="00346B18" w:rsidRDefault="0028403E" w:rsidP="00346B18">
      <w:pPr>
        <w:spacing w:line="276" w:lineRule="auto"/>
        <w:rPr>
          <w:b/>
          <w:bCs/>
          <w:color w:val="0070C0"/>
        </w:rPr>
      </w:pPr>
      <w:r w:rsidRPr="00346B18">
        <w:rPr>
          <w:color w:val="0070C0"/>
        </w:rPr>
        <w:t>Exemple : pneumopathies d’hypersensibilité, maladie sérique.</w:t>
      </w:r>
    </w:p>
    <w:p w14:paraId="6A661EE2" w14:textId="77777777" w:rsidR="0028403E" w:rsidRPr="00346B18" w:rsidRDefault="0028403E" w:rsidP="00346B18">
      <w:pPr>
        <w:spacing w:line="276" w:lineRule="auto"/>
        <w:rPr>
          <w:color w:val="0070C0"/>
        </w:rPr>
      </w:pPr>
    </w:p>
    <w:p w14:paraId="6ABBA907" w14:textId="77777777" w:rsidR="0028403E" w:rsidRPr="00346B18" w:rsidRDefault="0028403E" w:rsidP="00346B18">
      <w:pPr>
        <w:pStyle w:val="Titre2"/>
      </w:pPr>
      <w:r w:rsidRPr="00346B18">
        <w:t xml:space="preserve">Hypersensibilité de type 4 ou hypersensibilité retardée </w:t>
      </w:r>
    </w:p>
    <w:p w14:paraId="3C506515" w14:textId="77777777" w:rsidR="0028403E" w:rsidRDefault="0028403E" w:rsidP="00346B18">
      <w:pPr>
        <w:spacing w:line="276" w:lineRule="auto"/>
        <w:rPr>
          <w:color w:val="0070C0"/>
        </w:rPr>
      </w:pPr>
      <w:r w:rsidRPr="00346B18">
        <w:rPr>
          <w:color w:val="0070C0"/>
        </w:rPr>
        <w:lastRenderedPageBreak/>
        <w:t>Réaction médiée par les lymphocytes T qui reconnaissent un allergène, et qui contribuent ensuite à une réaction de type</w:t>
      </w:r>
      <w:r>
        <w:rPr>
          <w:color w:val="0070C0"/>
        </w:rPr>
        <w:t xml:space="preserve"> cytotoxique 48-72 heures après. La lésion anatomique est en général un granulome épithélioïde et giganto-cellulaire (ex. : les granulomatoses pulmonaires). </w:t>
      </w:r>
    </w:p>
    <w:p w14:paraId="7342B3E9" w14:textId="77777777" w:rsidR="0028403E" w:rsidRDefault="0028403E" w:rsidP="00346B18">
      <w:pPr>
        <w:spacing w:line="276" w:lineRule="auto"/>
        <w:rPr>
          <w:color w:val="0070C0"/>
        </w:rPr>
      </w:pPr>
      <w:r>
        <w:rPr>
          <w:color w:val="0070C0"/>
        </w:rPr>
        <w:t>Exemple : eczéma de contact, certaines allergies médicamenteuses, ou certaines pneumopathies d’hypersensibilité.</w:t>
      </w:r>
    </w:p>
    <w:p w14:paraId="60FCF751" w14:textId="77777777" w:rsidR="0028403E" w:rsidRDefault="0028403E" w:rsidP="00346B18">
      <w:pPr>
        <w:spacing w:line="276" w:lineRule="auto"/>
        <w:rPr>
          <w:i/>
          <w:iCs/>
          <w:color w:val="0070C0"/>
        </w:rPr>
      </w:pPr>
    </w:p>
    <w:p w14:paraId="63A8BA10" w14:textId="68004506" w:rsidR="0028403E" w:rsidRDefault="0028403E" w:rsidP="00346B18">
      <w:pPr>
        <w:pStyle w:val="titredesous-partie"/>
      </w:pPr>
      <w:r>
        <w:t>Physiopathologie de l’ASTHME et de la rhinite allergique</w:t>
      </w:r>
    </w:p>
    <w:p w14:paraId="5AF6D745" w14:textId="77777777" w:rsidR="0028403E" w:rsidRDefault="0028403E">
      <w:pPr>
        <w:pStyle w:val="1titre"/>
        <w:numPr>
          <w:ilvl w:val="0"/>
          <w:numId w:val="22"/>
        </w:numPr>
      </w:pPr>
      <w:r>
        <w:t>Interaction gènes-environnement</w:t>
      </w:r>
    </w:p>
    <w:p w14:paraId="4AAD5BA4" w14:textId="77777777" w:rsidR="0028403E" w:rsidRDefault="0028403E" w:rsidP="00346B18">
      <w:pPr>
        <w:spacing w:line="276" w:lineRule="auto"/>
        <w:rPr>
          <w:b/>
          <w:bCs/>
          <w:color w:val="0070C0"/>
        </w:rPr>
      </w:pPr>
      <w:r>
        <w:rPr>
          <w:b/>
          <w:bCs/>
          <w:color w:val="0070C0"/>
        </w:rPr>
        <w:t>Génétique de l’asthme :</w:t>
      </w:r>
    </w:p>
    <w:p w14:paraId="77A179CB" w14:textId="77777777" w:rsidR="0028403E" w:rsidRDefault="0028403E" w:rsidP="00346B18">
      <w:pPr>
        <w:spacing w:line="276" w:lineRule="auto"/>
        <w:rPr>
          <w:color w:val="0070C0"/>
        </w:rPr>
      </w:pPr>
      <w:r>
        <w:rPr>
          <w:color w:val="0070C0"/>
        </w:rPr>
        <w:t>- Maladie hétérogène polygénique (aucun gène n’est responsable à lui seul de la maladie).</w:t>
      </w:r>
    </w:p>
    <w:p w14:paraId="08CA4B13" w14:textId="77777777" w:rsidR="0028403E" w:rsidRDefault="0028403E" w:rsidP="00346B18">
      <w:pPr>
        <w:spacing w:line="276" w:lineRule="auto"/>
        <w:rPr>
          <w:color w:val="0070C0"/>
        </w:rPr>
      </w:pPr>
      <w:r>
        <w:rPr>
          <w:color w:val="0070C0"/>
        </w:rPr>
        <w:t>- Risque pour un enfant de développer un asthme :</w:t>
      </w:r>
    </w:p>
    <w:p w14:paraId="53AEC1C9" w14:textId="77777777" w:rsidR="0028403E" w:rsidRDefault="0028403E">
      <w:pPr>
        <w:numPr>
          <w:ilvl w:val="0"/>
          <w:numId w:val="16"/>
        </w:numPr>
        <w:pBdr>
          <w:top w:val="nil"/>
          <w:left w:val="nil"/>
          <w:bottom w:val="nil"/>
          <w:right w:val="nil"/>
          <w:between w:val="nil"/>
        </w:pBdr>
        <w:spacing w:line="276" w:lineRule="auto"/>
        <w:ind w:left="284" w:hanging="142"/>
        <w:rPr>
          <w:color w:val="0070C0"/>
        </w:rPr>
      </w:pPr>
      <w:r>
        <w:rPr>
          <w:color w:val="0070C0"/>
        </w:rPr>
        <w:t>10 % en l’absence d’antécédent d’asthme chez les parents.</w:t>
      </w:r>
    </w:p>
    <w:p w14:paraId="724D2A76" w14:textId="77777777" w:rsidR="0028403E" w:rsidRDefault="0028403E">
      <w:pPr>
        <w:numPr>
          <w:ilvl w:val="0"/>
          <w:numId w:val="16"/>
        </w:numPr>
        <w:pBdr>
          <w:top w:val="nil"/>
          <w:left w:val="nil"/>
          <w:bottom w:val="nil"/>
          <w:right w:val="nil"/>
          <w:between w:val="nil"/>
        </w:pBdr>
        <w:spacing w:line="276" w:lineRule="auto"/>
        <w:ind w:left="284" w:hanging="142"/>
        <w:rPr>
          <w:color w:val="0070C0"/>
        </w:rPr>
      </w:pPr>
      <w:r>
        <w:rPr>
          <w:color w:val="0070C0"/>
        </w:rPr>
        <w:t>25 % lorsque l’un des deux parents est asthmatique.</w:t>
      </w:r>
    </w:p>
    <w:p w14:paraId="1562E708" w14:textId="77777777" w:rsidR="0028403E" w:rsidRDefault="0028403E">
      <w:pPr>
        <w:numPr>
          <w:ilvl w:val="0"/>
          <w:numId w:val="16"/>
        </w:numPr>
        <w:pBdr>
          <w:top w:val="nil"/>
          <w:left w:val="nil"/>
          <w:bottom w:val="nil"/>
          <w:right w:val="nil"/>
          <w:between w:val="nil"/>
        </w:pBdr>
        <w:spacing w:line="276" w:lineRule="auto"/>
        <w:ind w:left="284" w:hanging="142"/>
        <w:rPr>
          <w:color w:val="0070C0"/>
        </w:rPr>
      </w:pPr>
      <w:r>
        <w:rPr>
          <w:color w:val="0070C0"/>
        </w:rPr>
        <w:t>Plus de 50 % si les deux parents sont asthmatiques.</w:t>
      </w:r>
    </w:p>
    <w:p w14:paraId="0E45E29E" w14:textId="77777777" w:rsidR="0028403E" w:rsidRDefault="0028403E" w:rsidP="00346B18">
      <w:pPr>
        <w:spacing w:line="276" w:lineRule="auto"/>
        <w:rPr>
          <w:b/>
          <w:bCs/>
          <w:color w:val="0070C0"/>
        </w:rPr>
      </w:pPr>
    </w:p>
    <w:p w14:paraId="2A139088" w14:textId="77777777" w:rsidR="0028403E" w:rsidRDefault="0028403E" w:rsidP="00346B18">
      <w:pPr>
        <w:spacing w:line="276" w:lineRule="auto"/>
        <w:rPr>
          <w:b/>
          <w:bCs/>
          <w:color w:val="0070C0"/>
        </w:rPr>
      </w:pPr>
      <w:r>
        <w:rPr>
          <w:b/>
          <w:bCs/>
          <w:color w:val="0070C0"/>
        </w:rPr>
        <w:t>Facteurs environnementaux :</w:t>
      </w:r>
    </w:p>
    <w:p w14:paraId="4B9C6FAC" w14:textId="77777777" w:rsidR="0028403E" w:rsidRDefault="0028403E" w:rsidP="00346B18">
      <w:pPr>
        <w:spacing w:line="276" w:lineRule="auto"/>
        <w:rPr>
          <w:color w:val="0070C0"/>
        </w:rPr>
      </w:pPr>
      <w:r>
        <w:rPr>
          <w:color w:val="0070C0"/>
        </w:rPr>
        <w:t>- Deux principaux facteurs favorisants :</w:t>
      </w:r>
    </w:p>
    <w:p w14:paraId="4B74F126" w14:textId="77777777" w:rsidR="0028403E" w:rsidRDefault="0028403E">
      <w:pPr>
        <w:numPr>
          <w:ilvl w:val="1"/>
          <w:numId w:val="17"/>
        </w:numPr>
        <w:spacing w:line="276" w:lineRule="auto"/>
        <w:ind w:left="284" w:hanging="142"/>
        <w:rPr>
          <w:color w:val="0070C0"/>
        </w:rPr>
      </w:pPr>
      <w:r>
        <w:rPr>
          <w:color w:val="0070C0"/>
        </w:rPr>
        <w:t>Infections virales.</w:t>
      </w:r>
    </w:p>
    <w:p w14:paraId="60542C93" w14:textId="77777777" w:rsidR="0028403E" w:rsidRDefault="0028403E">
      <w:pPr>
        <w:numPr>
          <w:ilvl w:val="1"/>
          <w:numId w:val="17"/>
        </w:numPr>
        <w:spacing w:line="276" w:lineRule="auto"/>
        <w:ind w:left="284" w:hanging="142"/>
        <w:rPr>
          <w:color w:val="0070C0"/>
        </w:rPr>
      </w:pPr>
      <w:r>
        <w:rPr>
          <w:color w:val="0070C0"/>
        </w:rPr>
        <w:t>Sensibilisation aux pneumallergènes.</w:t>
      </w:r>
    </w:p>
    <w:p w14:paraId="183EE137" w14:textId="77777777" w:rsidR="0028403E" w:rsidRDefault="0028403E" w:rsidP="00346B18">
      <w:pPr>
        <w:spacing w:line="276" w:lineRule="auto"/>
        <w:rPr>
          <w:color w:val="0070C0"/>
        </w:rPr>
      </w:pPr>
      <w:r>
        <w:rPr>
          <w:color w:val="0070C0"/>
        </w:rPr>
        <w:t>- Deux autres facteurs clairement identifiés :</w:t>
      </w:r>
    </w:p>
    <w:p w14:paraId="3F52BE57" w14:textId="77777777" w:rsidR="0028403E" w:rsidRDefault="0028403E">
      <w:pPr>
        <w:numPr>
          <w:ilvl w:val="1"/>
          <w:numId w:val="17"/>
        </w:numPr>
        <w:spacing w:line="276" w:lineRule="auto"/>
        <w:ind w:left="284" w:hanging="142"/>
        <w:rPr>
          <w:color w:val="0070C0"/>
        </w:rPr>
      </w:pPr>
      <w:r>
        <w:rPr>
          <w:color w:val="0070C0"/>
        </w:rPr>
        <w:t>Exposition au tabac dès la conception.</w:t>
      </w:r>
    </w:p>
    <w:p w14:paraId="645CF4C2" w14:textId="77777777" w:rsidR="0028403E" w:rsidRDefault="0028403E">
      <w:pPr>
        <w:numPr>
          <w:ilvl w:val="1"/>
          <w:numId w:val="17"/>
        </w:numPr>
        <w:spacing w:line="276" w:lineRule="auto"/>
        <w:ind w:left="284" w:hanging="142"/>
        <w:rPr>
          <w:color w:val="0070C0"/>
        </w:rPr>
      </w:pPr>
      <w:r>
        <w:rPr>
          <w:color w:val="0070C0"/>
        </w:rPr>
        <w:t>Pollution de l’air intérieur.</w:t>
      </w:r>
    </w:p>
    <w:p w14:paraId="5D26988E" w14:textId="77777777" w:rsidR="0028403E" w:rsidRDefault="0028403E" w:rsidP="00346B18">
      <w:pPr>
        <w:spacing w:line="276" w:lineRule="auto"/>
        <w:rPr>
          <w:color w:val="0070C0"/>
        </w:rPr>
      </w:pPr>
      <w:r>
        <w:rPr>
          <w:color w:val="0070C0"/>
        </w:rPr>
        <w:t>- L’altération du microbiote du nouveau-né pourrait augmenter le risque de développer des pathologies allergiques.</w:t>
      </w:r>
    </w:p>
    <w:p w14:paraId="2CB776E0" w14:textId="77777777" w:rsidR="0028403E" w:rsidRDefault="0028403E" w:rsidP="00346B18">
      <w:pPr>
        <w:spacing w:line="276" w:lineRule="auto"/>
        <w:rPr>
          <w:color w:val="0070C0"/>
        </w:rPr>
      </w:pPr>
      <w:r>
        <w:rPr>
          <w:color w:val="0070C0"/>
        </w:rPr>
        <w:t>- L’interaction gène-environnement est aussi fondamentale : l’exposition à certains facteurs environnementaux chez un individu ayant une susceptibilité génétique conduit à des anomalies nasales et bronchiques associant de l’inflammation locale et des modifications structurales des voies aériennes.</w:t>
      </w:r>
    </w:p>
    <w:p w14:paraId="15582973" w14:textId="77777777" w:rsidR="0028403E" w:rsidRDefault="0028403E" w:rsidP="00346B18">
      <w:pPr>
        <w:spacing w:line="276" w:lineRule="auto"/>
        <w:rPr>
          <w:b/>
          <w:bCs/>
          <w:color w:val="0070C0"/>
        </w:rPr>
      </w:pPr>
    </w:p>
    <w:p w14:paraId="723ACB7C" w14:textId="77777777" w:rsidR="0028403E" w:rsidRDefault="0028403E" w:rsidP="00346B18">
      <w:pPr>
        <w:pStyle w:val="Titre2"/>
      </w:pPr>
      <w:r>
        <w:t>Les anomalies des voies aériennes dans l’asthme allergique</w:t>
      </w:r>
    </w:p>
    <w:p w14:paraId="549D426A" w14:textId="77777777" w:rsidR="0028403E" w:rsidRDefault="0028403E" w:rsidP="00346B18">
      <w:pPr>
        <w:spacing w:line="276" w:lineRule="auto"/>
        <w:rPr>
          <w:color w:val="0070C0"/>
        </w:rPr>
      </w:pPr>
      <w:r>
        <w:rPr>
          <w:color w:val="0070C0"/>
        </w:rPr>
        <w:t>La réaction inflammatoire au niveau des voies aériennes (figure 2) :</w:t>
      </w:r>
    </w:p>
    <w:p w14:paraId="3009CBC7" w14:textId="77777777" w:rsidR="0028403E" w:rsidRDefault="0028403E" w:rsidP="00346B18">
      <w:pPr>
        <w:spacing w:line="276" w:lineRule="auto"/>
        <w:rPr>
          <w:color w:val="0070C0"/>
        </w:rPr>
      </w:pPr>
      <w:r>
        <w:rPr>
          <w:color w:val="0070C0"/>
        </w:rPr>
        <w:t>- Est souvent caractérisée par un profil T2 qui est défini par la production de cytokines Th2 (IL-4, IL-5 et IL-13) par les lymphocytes T helper et les cellules lymphocytaires innées de type 2.</w:t>
      </w:r>
    </w:p>
    <w:p w14:paraId="02DB6105" w14:textId="77777777" w:rsidR="0028403E" w:rsidRDefault="0028403E" w:rsidP="00346B18">
      <w:pPr>
        <w:spacing w:line="276" w:lineRule="auto"/>
        <w:rPr>
          <w:color w:val="0070C0"/>
        </w:rPr>
      </w:pPr>
      <w:r>
        <w:rPr>
          <w:color w:val="0070C0"/>
        </w:rPr>
        <w:t>- Sous l’influence des interleukines 4 (IL-4 et IL-13) qui stimulent spécifiquement la commutation isotypique des lymphocytes B vers la production d’IgE.</w:t>
      </w:r>
    </w:p>
    <w:p w14:paraId="3525BA7C" w14:textId="77777777" w:rsidR="0028403E" w:rsidRDefault="0028403E" w:rsidP="00346B18">
      <w:pPr>
        <w:spacing w:line="276" w:lineRule="auto"/>
        <w:rPr>
          <w:color w:val="0070C0"/>
        </w:rPr>
      </w:pPr>
    </w:p>
    <w:p w14:paraId="036FED56" w14:textId="77777777" w:rsidR="0028403E" w:rsidRDefault="0028403E" w:rsidP="00346B18">
      <w:pPr>
        <w:spacing w:line="276" w:lineRule="auto"/>
        <w:rPr>
          <w:color w:val="0070C0"/>
        </w:rPr>
      </w:pPr>
      <w:r>
        <w:rPr>
          <w:color w:val="0070C0"/>
        </w:rPr>
        <w:t>Anomalies des éléments structuraux des voies aériennes (épithélium et muqueuse) :</w:t>
      </w:r>
    </w:p>
    <w:p w14:paraId="77F0AEE4" w14:textId="77777777" w:rsidR="0028403E" w:rsidRDefault="0028403E" w:rsidP="00346B18">
      <w:pPr>
        <w:spacing w:line="276" w:lineRule="auto"/>
        <w:rPr>
          <w:color w:val="0070C0"/>
        </w:rPr>
      </w:pPr>
      <w:r>
        <w:rPr>
          <w:color w:val="0070C0"/>
        </w:rPr>
        <w:t>- Anomalies de l’épithélium bronchique (diminution des cellules ciliées, hyperplasie des cellules à mucus).</w:t>
      </w:r>
    </w:p>
    <w:p w14:paraId="677258F0" w14:textId="77777777" w:rsidR="0028403E" w:rsidRDefault="0028403E" w:rsidP="00346B18">
      <w:pPr>
        <w:spacing w:line="276" w:lineRule="auto"/>
        <w:rPr>
          <w:color w:val="0070C0"/>
        </w:rPr>
      </w:pPr>
      <w:r>
        <w:rPr>
          <w:color w:val="0070C0"/>
        </w:rPr>
        <w:t>- Épaississement de la membrane basale.</w:t>
      </w:r>
    </w:p>
    <w:p w14:paraId="28CACF9F" w14:textId="77777777" w:rsidR="0028403E" w:rsidRDefault="0028403E" w:rsidP="00346B18">
      <w:pPr>
        <w:spacing w:line="276" w:lineRule="auto"/>
        <w:rPr>
          <w:color w:val="0070C0"/>
        </w:rPr>
      </w:pPr>
      <w:r>
        <w:rPr>
          <w:color w:val="0070C0"/>
        </w:rPr>
        <w:t>- Hyperperméabilité vasculaire, avec œdème bronchique.</w:t>
      </w:r>
    </w:p>
    <w:p w14:paraId="078BD7D7" w14:textId="77777777" w:rsidR="0028403E" w:rsidRDefault="0028403E" w:rsidP="00346B18">
      <w:pPr>
        <w:spacing w:line="276" w:lineRule="auto"/>
        <w:rPr>
          <w:color w:val="0070C0"/>
        </w:rPr>
      </w:pPr>
      <w:r>
        <w:rPr>
          <w:color w:val="0070C0"/>
        </w:rPr>
        <w:t>- Hyperplasie et hypertrophie des cellules musculaires lisses.</w:t>
      </w:r>
    </w:p>
    <w:p w14:paraId="1AE3F4C0" w14:textId="77777777" w:rsidR="0028403E" w:rsidRDefault="0028403E" w:rsidP="00346B18">
      <w:pPr>
        <w:spacing w:line="276" w:lineRule="auto"/>
        <w:rPr>
          <w:color w:val="0070C0"/>
        </w:rPr>
      </w:pPr>
    </w:p>
    <w:p w14:paraId="36313295" w14:textId="77777777" w:rsidR="0028403E" w:rsidRDefault="0028403E" w:rsidP="00346B18">
      <w:pPr>
        <w:spacing w:line="276" w:lineRule="auto"/>
        <w:rPr>
          <w:color w:val="0070C0"/>
        </w:rPr>
      </w:pPr>
      <w:r>
        <w:rPr>
          <w:color w:val="0070C0"/>
        </w:rPr>
        <w:lastRenderedPageBreak/>
        <w:t>Ces remaniements structuraux («</w:t>
      </w:r>
      <w:r>
        <w:rPr>
          <w:rFonts w:ascii="Arial" w:eastAsia="Arial" w:hAnsi="Arial" w:cs="Arial"/>
          <w:color w:val="0070C0"/>
        </w:rPr>
        <w:t> </w:t>
      </w:r>
      <w:r>
        <w:rPr>
          <w:color w:val="0070C0"/>
        </w:rPr>
        <w:t>remodelage bronchique</w:t>
      </w:r>
      <w:r>
        <w:rPr>
          <w:rFonts w:ascii="Arial" w:eastAsia="Arial" w:hAnsi="Arial" w:cs="Arial"/>
          <w:color w:val="0070C0"/>
        </w:rPr>
        <w:t> </w:t>
      </w:r>
      <w:r>
        <w:rPr>
          <w:color w:val="0070C0"/>
        </w:rPr>
        <w:t>») participent à l’obstruction bronchique par épaississement de sa paroi et par obstruction de sa lumière liée à une hypersécrétion de mucus. Ces anomalies sont associées à la chronicité de l’asthme et ne sont pas spécifiques du caractère allergique de l’asthme.</w:t>
      </w:r>
    </w:p>
    <w:p w14:paraId="186E46E3" w14:textId="77777777" w:rsidR="0028403E" w:rsidRDefault="0028403E" w:rsidP="00346B18">
      <w:pPr>
        <w:spacing w:line="276" w:lineRule="auto"/>
        <w:rPr>
          <w:color w:val="0070C0"/>
        </w:rPr>
      </w:pPr>
    </w:p>
    <w:p w14:paraId="59A23440" w14:textId="77777777" w:rsidR="0028403E" w:rsidRPr="00346B18" w:rsidRDefault="0028403E" w:rsidP="00346B18">
      <w:pPr>
        <w:pStyle w:val="lgende"/>
        <w:jc w:val="center"/>
        <w:rPr>
          <w:color w:val="0070C0"/>
        </w:rPr>
      </w:pPr>
      <w:r w:rsidRPr="00346B18">
        <w:rPr>
          <w:color w:val="0070C0"/>
        </w:rPr>
        <w:t>Figure 2 : Physiopathologie de l’asthme.</w:t>
      </w:r>
    </w:p>
    <w:p w14:paraId="3EBB6786" w14:textId="77777777" w:rsidR="0028403E" w:rsidRDefault="0028403E" w:rsidP="00346B18">
      <w:pPr>
        <w:spacing w:before="120" w:line="276" w:lineRule="auto"/>
        <w:rPr>
          <w:color w:val="0070C0"/>
        </w:rPr>
      </w:pPr>
      <w:r>
        <w:rPr>
          <w:noProof/>
          <w:color w:val="0070C0"/>
        </w:rPr>
        <w:drawing>
          <wp:inline distT="0" distB="0" distL="0" distR="0" wp14:anchorId="756758F1" wp14:editId="017D4053">
            <wp:extent cx="5767058" cy="3045425"/>
            <wp:effectExtent l="0" t="0" r="5715" b="3175"/>
            <wp:docPr id="15" name="image3.png" descr="G:\NICE ENSEIGNEMENT jan 2023\COLLEGE NATIONAL DES PU-PH\ECN - REFERENTIEL\EDITION 2030\NOUVELLE VERSION\ITEM 186 - Hypersensibilités et allergies chez l'enfant et l'adulte\FIGURES POUR L'EDITION 2023\item 186 -  figure 2.png"/>
            <wp:cNvGraphicFramePr/>
            <a:graphic xmlns:a="http://schemas.openxmlformats.org/drawingml/2006/main">
              <a:graphicData uri="http://schemas.openxmlformats.org/drawingml/2006/picture">
                <pic:pic xmlns:pic="http://schemas.openxmlformats.org/drawingml/2006/picture">
                  <pic:nvPicPr>
                    <pic:cNvPr id="0" name="image3.png" descr="G:\NICE ENSEIGNEMENT jan 2023\COLLEGE NATIONAL DES PU-PH\ECN - REFERENTIEL\EDITION 2030\NOUVELLE VERSION\ITEM 186 - Hypersensibilités et allergies chez l'enfant et l'adulte\FIGURES POUR L'EDITION 2023\item 186 -  figure 2.png"/>
                    <pic:cNvPicPr preferRelativeResize="0"/>
                  </pic:nvPicPr>
                  <pic:blipFill>
                    <a:blip r:embed="rId13"/>
                    <a:srcRect/>
                    <a:stretch>
                      <a:fillRect/>
                    </a:stretch>
                  </pic:blipFill>
                  <pic:spPr>
                    <a:xfrm>
                      <a:off x="0" y="0"/>
                      <a:ext cx="5771666" cy="3047858"/>
                    </a:xfrm>
                    <a:prstGeom prst="rect">
                      <a:avLst/>
                    </a:prstGeom>
                    <a:ln/>
                  </pic:spPr>
                </pic:pic>
              </a:graphicData>
            </a:graphic>
          </wp:inline>
        </w:drawing>
      </w:r>
    </w:p>
    <w:p w14:paraId="367F4537" w14:textId="77777777" w:rsidR="0028403E" w:rsidRDefault="0028403E" w:rsidP="00346B18">
      <w:pPr>
        <w:pStyle w:val="Titre2"/>
      </w:pPr>
      <w:r>
        <w:t xml:space="preserve">La réaction à IgE </w:t>
      </w:r>
    </w:p>
    <w:p w14:paraId="4B8F1809" w14:textId="77777777" w:rsidR="0028403E" w:rsidRDefault="0028403E" w:rsidP="00346B18">
      <w:pPr>
        <w:spacing w:line="276" w:lineRule="auto"/>
        <w:rPr>
          <w:color w:val="0070C0"/>
        </w:rPr>
      </w:pPr>
      <w:r>
        <w:rPr>
          <w:color w:val="0070C0"/>
        </w:rPr>
        <w:t>La réaction IgE-médiée représente le modèle de réaction allergique d’hypersensibilité immédiate et comprend deux phases :</w:t>
      </w:r>
    </w:p>
    <w:p w14:paraId="4B99EEEE" w14:textId="77777777" w:rsidR="0028403E" w:rsidRDefault="0028403E" w:rsidP="00346B18">
      <w:pPr>
        <w:spacing w:line="276" w:lineRule="auto"/>
        <w:rPr>
          <w:color w:val="0070C0"/>
        </w:rPr>
      </w:pPr>
      <w:r>
        <w:rPr>
          <w:color w:val="0070C0"/>
        </w:rPr>
        <w:t xml:space="preserve">- Phase de </w:t>
      </w:r>
      <w:r>
        <w:rPr>
          <w:b/>
          <w:bCs/>
          <w:color w:val="0070C0"/>
        </w:rPr>
        <w:t>sensibilisation</w:t>
      </w:r>
      <w:r>
        <w:rPr>
          <w:color w:val="0070C0"/>
        </w:rPr>
        <w:t xml:space="preserve"> (asymptomatique), qui conduit à la synthèse d’IgE spécifiques d’un allergène (premier contact avec l’allergène).</w:t>
      </w:r>
    </w:p>
    <w:p w14:paraId="6B6FFC3F" w14:textId="77777777" w:rsidR="0028403E" w:rsidRDefault="0028403E" w:rsidP="00346B18">
      <w:pPr>
        <w:spacing w:line="276" w:lineRule="auto"/>
        <w:rPr>
          <w:color w:val="0070C0"/>
        </w:rPr>
      </w:pPr>
      <w:r>
        <w:rPr>
          <w:color w:val="0070C0"/>
        </w:rPr>
        <w:t xml:space="preserve">- Phase </w:t>
      </w:r>
      <w:r>
        <w:rPr>
          <w:b/>
          <w:bCs/>
          <w:color w:val="0070C0"/>
        </w:rPr>
        <w:t>effectrice</w:t>
      </w:r>
      <w:r>
        <w:rPr>
          <w:color w:val="0070C0"/>
        </w:rPr>
        <w:t>, qui conduit à l’activation très rapide des cellules lors d’un nouveau contact avec l’allergène (figure 3) :</w:t>
      </w:r>
    </w:p>
    <w:p w14:paraId="422CEA48" w14:textId="77777777" w:rsidR="0028403E" w:rsidRDefault="0028403E">
      <w:pPr>
        <w:numPr>
          <w:ilvl w:val="0"/>
          <w:numId w:val="18"/>
        </w:numPr>
        <w:spacing w:line="276" w:lineRule="auto"/>
        <w:ind w:left="284" w:hanging="142"/>
        <w:rPr>
          <w:color w:val="0070C0"/>
        </w:rPr>
      </w:pPr>
      <w:r>
        <w:rPr>
          <w:color w:val="0070C0"/>
        </w:rPr>
        <w:t>L’allergène se lie aux IgE fixées à la surface des cellules (mastocytes et basophiles).</w:t>
      </w:r>
    </w:p>
    <w:p w14:paraId="5024AD7D" w14:textId="77777777" w:rsidR="0028403E" w:rsidRDefault="0028403E">
      <w:pPr>
        <w:numPr>
          <w:ilvl w:val="0"/>
          <w:numId w:val="18"/>
        </w:numPr>
        <w:spacing w:line="276" w:lineRule="auto"/>
        <w:ind w:left="284" w:hanging="142"/>
        <w:rPr>
          <w:color w:val="0070C0"/>
        </w:rPr>
      </w:pPr>
      <w:r>
        <w:rPr>
          <w:color w:val="0070C0"/>
        </w:rPr>
        <w:t>Ce qui va activer la cellule et entraîner :</w:t>
      </w:r>
    </w:p>
    <w:p w14:paraId="2A206C61" w14:textId="77777777" w:rsidR="0028403E" w:rsidRDefault="0028403E">
      <w:pPr>
        <w:numPr>
          <w:ilvl w:val="1"/>
          <w:numId w:val="19"/>
        </w:numPr>
        <w:spacing w:line="276" w:lineRule="auto"/>
        <w:ind w:left="567" w:hanging="283"/>
        <w:rPr>
          <w:color w:val="0070C0"/>
        </w:rPr>
      </w:pPr>
      <w:r>
        <w:rPr>
          <w:color w:val="0070C0"/>
        </w:rPr>
        <w:t>La libération de médiateurs pré-stockés (histamine, protéases dont la tryptase).</w:t>
      </w:r>
    </w:p>
    <w:p w14:paraId="38EA8228" w14:textId="77777777" w:rsidR="0028403E" w:rsidRDefault="0028403E">
      <w:pPr>
        <w:numPr>
          <w:ilvl w:val="1"/>
          <w:numId w:val="19"/>
        </w:numPr>
        <w:spacing w:line="276" w:lineRule="auto"/>
        <w:ind w:left="567" w:hanging="283"/>
        <w:rPr>
          <w:color w:val="0070C0"/>
        </w:rPr>
      </w:pPr>
      <w:r>
        <w:rPr>
          <w:color w:val="0070C0"/>
        </w:rPr>
        <w:t xml:space="preserve">La synthèse d’autres médiateurs inflammatoires (prostaglandines, leucotriènes). </w:t>
      </w:r>
    </w:p>
    <w:p w14:paraId="179005DC" w14:textId="77777777" w:rsidR="0028403E" w:rsidRDefault="0028403E">
      <w:pPr>
        <w:numPr>
          <w:ilvl w:val="1"/>
          <w:numId w:val="19"/>
        </w:numPr>
        <w:spacing w:line="276" w:lineRule="auto"/>
        <w:ind w:left="567" w:hanging="283"/>
        <w:rPr>
          <w:color w:val="0070C0"/>
        </w:rPr>
      </w:pPr>
      <w:r>
        <w:rPr>
          <w:color w:val="0070C0"/>
        </w:rPr>
        <w:t>La production de chimiokines, qui attirent et activent des cellules inflammatoires, et de cytokines qui entretiennent ces réactions.</w:t>
      </w:r>
    </w:p>
    <w:p w14:paraId="0B3D8DC9" w14:textId="77777777" w:rsidR="0028403E" w:rsidRDefault="0028403E">
      <w:pPr>
        <w:numPr>
          <w:ilvl w:val="0"/>
          <w:numId w:val="20"/>
        </w:numPr>
        <w:spacing w:line="276" w:lineRule="auto"/>
        <w:ind w:left="284" w:hanging="142"/>
        <w:rPr>
          <w:color w:val="0070C0"/>
        </w:rPr>
      </w:pPr>
      <w:r>
        <w:rPr>
          <w:color w:val="0070C0"/>
        </w:rPr>
        <w:t>Ces médiateurs induisent bronchoconstriction, vasodilatation, extravasation, œdème, responsables des symptômes cliniques.</w:t>
      </w:r>
    </w:p>
    <w:p w14:paraId="537508B9" w14:textId="77777777" w:rsidR="0028403E" w:rsidRDefault="0028403E">
      <w:pPr>
        <w:numPr>
          <w:ilvl w:val="0"/>
          <w:numId w:val="20"/>
        </w:numPr>
        <w:spacing w:line="276" w:lineRule="auto"/>
        <w:ind w:left="284" w:hanging="142"/>
        <w:rPr>
          <w:color w:val="0070C0"/>
        </w:rPr>
      </w:pPr>
      <w:r>
        <w:rPr>
          <w:color w:val="0070C0"/>
        </w:rPr>
        <w:t>L’activation de cette cascade inflammatoire explique la persistance de ces anomalies alors que le contact allergénique a cessé, c’est la phase tardive, qui peut durer plusieurs heures</w:t>
      </w:r>
    </w:p>
    <w:p w14:paraId="4BDC7D98" w14:textId="77777777" w:rsidR="0028403E" w:rsidRDefault="0028403E" w:rsidP="00346B18">
      <w:pPr>
        <w:spacing w:line="276" w:lineRule="auto"/>
        <w:rPr>
          <w:color w:val="0070C0"/>
        </w:rPr>
      </w:pPr>
    </w:p>
    <w:p w14:paraId="64CB08A2" w14:textId="77777777" w:rsidR="0028403E" w:rsidRPr="00346B18" w:rsidRDefault="0028403E" w:rsidP="00346B18">
      <w:pPr>
        <w:pStyle w:val="lgende"/>
        <w:jc w:val="center"/>
        <w:rPr>
          <w:color w:val="0070C0"/>
        </w:rPr>
      </w:pPr>
      <w:r w:rsidRPr="00346B18">
        <w:rPr>
          <w:color w:val="0070C0"/>
        </w:rPr>
        <w:t>Figure 3 : Phase effectrice de la réaction à IgE.</w:t>
      </w:r>
    </w:p>
    <w:p w14:paraId="5C171594" w14:textId="77777777" w:rsidR="0028403E" w:rsidRDefault="0028403E" w:rsidP="00346B18">
      <w:pPr>
        <w:spacing w:line="276" w:lineRule="auto"/>
        <w:jc w:val="center"/>
        <w:rPr>
          <w:color w:val="0070C0"/>
        </w:rPr>
      </w:pPr>
      <w:r>
        <w:rPr>
          <w:noProof/>
          <w:color w:val="0070C0"/>
        </w:rPr>
        <w:lastRenderedPageBreak/>
        <w:drawing>
          <wp:inline distT="0" distB="0" distL="0" distR="0" wp14:anchorId="683E74D0" wp14:editId="3F1443DA">
            <wp:extent cx="4724400" cy="3552825"/>
            <wp:effectExtent l="0" t="0" r="0" b="0"/>
            <wp:docPr id="94706669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4724400" cy="3552825"/>
                    </a:xfrm>
                    <a:prstGeom prst="rect">
                      <a:avLst/>
                    </a:prstGeom>
                    <a:ln/>
                  </pic:spPr>
                </pic:pic>
              </a:graphicData>
            </a:graphic>
          </wp:inline>
        </w:drawing>
      </w:r>
    </w:p>
    <w:p w14:paraId="7CA3A9BA" w14:textId="77777777" w:rsidR="0028403E" w:rsidRDefault="0028403E" w:rsidP="00346B18">
      <w:pPr>
        <w:spacing w:line="276" w:lineRule="auto"/>
        <w:rPr>
          <w:b/>
          <w:bCs/>
          <w:color w:val="0070C0"/>
        </w:rPr>
      </w:pPr>
    </w:p>
    <w:p w14:paraId="2DB3320B" w14:textId="77777777" w:rsidR="0028403E" w:rsidRDefault="0028403E" w:rsidP="00346B18">
      <w:pPr>
        <w:pStyle w:val="Titre2"/>
      </w:pPr>
      <w:r>
        <w:t>Physiopathologie de la rhinite allergique</w:t>
      </w:r>
    </w:p>
    <w:p w14:paraId="4E939202" w14:textId="77777777" w:rsidR="0028403E" w:rsidRDefault="0028403E" w:rsidP="00346B18">
      <w:pPr>
        <w:spacing w:line="276" w:lineRule="auto"/>
        <w:rPr>
          <w:color w:val="0070C0"/>
        </w:rPr>
      </w:pPr>
      <w:r>
        <w:rPr>
          <w:color w:val="0070C0"/>
        </w:rPr>
        <w:t xml:space="preserve">Grandes similitudes avec celle de l’asthme allergique. </w:t>
      </w:r>
    </w:p>
    <w:p w14:paraId="0E55318B" w14:textId="77777777" w:rsidR="0028403E" w:rsidRDefault="0028403E" w:rsidP="00346B18">
      <w:pPr>
        <w:spacing w:line="276" w:lineRule="auto"/>
        <w:rPr>
          <w:rFonts w:ascii="Arial" w:eastAsia="Arial" w:hAnsi="Arial" w:cs="Arial"/>
          <w:b/>
          <w:bCs/>
          <w:smallCaps/>
          <w:sz w:val="22"/>
          <w:szCs w:val="22"/>
        </w:rPr>
      </w:pPr>
    </w:p>
    <w:p w14:paraId="755A5AAA" w14:textId="77777777" w:rsidR="0028403E" w:rsidRDefault="0028403E" w:rsidP="00346B18">
      <w:pPr>
        <w:pStyle w:val="titredesous-partie"/>
      </w:pPr>
      <w:r>
        <w:t xml:space="preserve">ÉpidÉmiologie </w:t>
      </w:r>
    </w:p>
    <w:p w14:paraId="26551C4D" w14:textId="77777777" w:rsidR="0028403E" w:rsidRDefault="0028403E">
      <w:pPr>
        <w:pStyle w:val="1titre"/>
        <w:numPr>
          <w:ilvl w:val="0"/>
          <w:numId w:val="23"/>
        </w:numPr>
      </w:pPr>
      <w:r>
        <w:t xml:space="preserve">Prévalence </w:t>
      </w:r>
    </w:p>
    <w:p w14:paraId="2A2B8938" w14:textId="77777777" w:rsidR="0028403E" w:rsidRDefault="0028403E" w:rsidP="00346B18">
      <w:pPr>
        <w:spacing w:line="276" w:lineRule="auto"/>
      </w:pPr>
      <w:r>
        <w:t>Atopie :</w:t>
      </w:r>
    </w:p>
    <w:p w14:paraId="633BFB9D" w14:textId="77777777" w:rsidR="0028403E" w:rsidRDefault="0028403E" w:rsidP="00346B18">
      <w:pPr>
        <w:spacing w:line="276" w:lineRule="auto"/>
      </w:pPr>
      <w:r>
        <w:t>- Variable selon les pays.</w:t>
      </w:r>
    </w:p>
    <w:p w14:paraId="0F30A0D0" w14:textId="77777777" w:rsidR="0028403E" w:rsidRDefault="0028403E" w:rsidP="00346B18">
      <w:pPr>
        <w:spacing w:line="276" w:lineRule="auto"/>
      </w:pPr>
      <w:r>
        <w:t xml:space="preserve">- En France, 30 à 40 % de la population est sensibilisée (sensibilisation IgE-médiée) à au moins un allergène. </w:t>
      </w:r>
    </w:p>
    <w:p w14:paraId="5795F8D1" w14:textId="77777777" w:rsidR="0028403E" w:rsidRDefault="0028403E" w:rsidP="00346B18">
      <w:pPr>
        <w:spacing w:line="276" w:lineRule="auto"/>
      </w:pPr>
    </w:p>
    <w:p w14:paraId="2F775F0A" w14:textId="77777777" w:rsidR="0028403E" w:rsidRDefault="0028403E" w:rsidP="00346B18">
      <w:pPr>
        <w:spacing w:line="276" w:lineRule="auto"/>
      </w:pPr>
      <w:r>
        <w:t>Asthme et rhinite allergique (cf. item 188).</w:t>
      </w:r>
    </w:p>
    <w:p w14:paraId="1185D8CE" w14:textId="3848FF82" w:rsidR="0028403E" w:rsidRDefault="002A6DAC" w:rsidP="00346B18">
      <w:pPr>
        <w:spacing w:line="276" w:lineRule="auto"/>
        <w:rPr>
          <w:i/>
          <w:iCs/>
        </w:rPr>
      </w:pPr>
      <w:r>
        <w:rPr>
          <w:noProof/>
        </w:rPr>
        <w:drawing>
          <wp:anchor distT="0" distB="0" distL="114300" distR="114300" simplePos="0" relativeHeight="251777024" behindDoc="0" locked="0" layoutInCell="1" hidden="0" allowOverlap="1" wp14:anchorId="077BD871" wp14:editId="125EB98B">
            <wp:simplePos x="0" y="0"/>
            <wp:positionH relativeFrom="margin">
              <wp:posOffset>-267807</wp:posOffset>
            </wp:positionH>
            <wp:positionV relativeFrom="paragraph">
              <wp:posOffset>179705</wp:posOffset>
            </wp:positionV>
            <wp:extent cx="153670" cy="137160"/>
            <wp:effectExtent l="0" t="0" r="0" b="0"/>
            <wp:wrapSquare wrapText="bothSides" distT="0" distB="0" distL="114300" distR="11430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56DB05F7" w14:textId="272B0419" w:rsidR="0028403E" w:rsidRDefault="0028403E" w:rsidP="00346B18">
      <w:pPr>
        <w:spacing w:line="276" w:lineRule="auto"/>
        <w:rPr>
          <w:b/>
          <w:bCs/>
          <w:color w:val="0070C0"/>
        </w:rPr>
      </w:pPr>
      <w:r>
        <w:rPr>
          <w:b/>
          <w:bCs/>
          <w:color w:val="0070C0"/>
        </w:rPr>
        <w:t>Allergies aux venins d’hyménoptères :</w:t>
      </w:r>
    </w:p>
    <w:p w14:paraId="2B80B83D" w14:textId="77777777" w:rsidR="0028403E" w:rsidRDefault="0028403E" w:rsidP="00346B18">
      <w:pPr>
        <w:spacing w:line="276" w:lineRule="auto"/>
        <w:rPr>
          <w:color w:val="0070C0"/>
        </w:rPr>
      </w:pPr>
      <w:r>
        <w:rPr>
          <w:color w:val="0070C0"/>
        </w:rPr>
        <w:t>Les venins d’hyménoptères (abeilles, guêpes, frelons, et bourdons) contiennent :</w:t>
      </w:r>
    </w:p>
    <w:p w14:paraId="0428B808" w14:textId="77777777" w:rsidR="0028403E" w:rsidRDefault="0028403E" w:rsidP="00346B18">
      <w:pPr>
        <w:spacing w:line="276" w:lineRule="auto"/>
        <w:rPr>
          <w:color w:val="0070C0"/>
        </w:rPr>
      </w:pPr>
      <w:r>
        <w:rPr>
          <w:color w:val="0070C0"/>
        </w:rPr>
        <w:t>- Des substances vasoactives (amines biogènes ayant des effets vasomoteurs et inflammatoires) pouvant être responsables d’hypersensibilités non allergiques.</w:t>
      </w:r>
    </w:p>
    <w:p w14:paraId="2928C367" w14:textId="77777777" w:rsidR="0028403E" w:rsidRDefault="0028403E" w:rsidP="00346B18">
      <w:pPr>
        <w:spacing w:line="276" w:lineRule="auto"/>
        <w:rPr>
          <w:color w:val="0070C0"/>
        </w:rPr>
      </w:pPr>
      <w:r>
        <w:rPr>
          <w:color w:val="0070C0"/>
        </w:rPr>
        <w:t>- Des peptides et protéines ayant des propriétés toxiques (par exemple de neurotoxicité).</w:t>
      </w:r>
    </w:p>
    <w:p w14:paraId="1BDD1E9C" w14:textId="77777777" w:rsidR="0028403E" w:rsidRDefault="0028403E" w:rsidP="00346B18">
      <w:pPr>
        <w:spacing w:line="276" w:lineRule="auto"/>
        <w:rPr>
          <w:color w:val="0070C0"/>
        </w:rPr>
      </w:pPr>
      <w:r>
        <w:rPr>
          <w:color w:val="0070C0"/>
        </w:rPr>
        <w:t>- Des enzymes et d’autres protéines (responsables des manifestations allergiques).</w:t>
      </w:r>
    </w:p>
    <w:p w14:paraId="0CEC187F" w14:textId="77777777" w:rsidR="0028403E" w:rsidRDefault="0028403E" w:rsidP="00346B18">
      <w:pPr>
        <w:spacing w:line="276" w:lineRule="auto"/>
        <w:rPr>
          <w:color w:val="0070C0"/>
        </w:rPr>
      </w:pPr>
      <w:r>
        <w:rPr>
          <w:color w:val="0070C0"/>
        </w:rPr>
        <w:t>- Prévalence :</w:t>
      </w:r>
    </w:p>
    <w:p w14:paraId="58748119" w14:textId="77777777" w:rsidR="0028403E" w:rsidRDefault="0028403E">
      <w:pPr>
        <w:numPr>
          <w:ilvl w:val="1"/>
          <w:numId w:val="21"/>
        </w:numPr>
        <w:spacing w:line="276" w:lineRule="auto"/>
        <w:ind w:left="284" w:hanging="142"/>
        <w:rPr>
          <w:color w:val="0070C0"/>
        </w:rPr>
      </w:pPr>
      <w:r>
        <w:rPr>
          <w:color w:val="0070C0"/>
        </w:rPr>
        <w:t>10 à 40 % de la population est sensibilisée.</w:t>
      </w:r>
    </w:p>
    <w:p w14:paraId="0889886F" w14:textId="77777777" w:rsidR="0028403E" w:rsidRDefault="0028403E">
      <w:pPr>
        <w:numPr>
          <w:ilvl w:val="1"/>
          <w:numId w:val="21"/>
        </w:numPr>
        <w:spacing w:line="276" w:lineRule="auto"/>
        <w:ind w:left="284" w:hanging="142"/>
        <w:rPr>
          <w:color w:val="0070C0"/>
        </w:rPr>
      </w:pPr>
      <w:r>
        <w:rPr>
          <w:color w:val="0070C0"/>
        </w:rPr>
        <w:t>0,3 à 7,5 % de la population générale présente des réactions systémiques.</w:t>
      </w:r>
    </w:p>
    <w:p w14:paraId="1F43B077" w14:textId="77777777" w:rsidR="0028403E" w:rsidRDefault="0028403E" w:rsidP="00346B18">
      <w:pPr>
        <w:spacing w:line="276" w:lineRule="auto"/>
        <w:rPr>
          <w:color w:val="0070C0"/>
        </w:rPr>
      </w:pPr>
      <w:r>
        <w:rPr>
          <w:color w:val="0070C0"/>
        </w:rPr>
        <w:lastRenderedPageBreak/>
        <w:t>- Potentiellement responsable d’anaphylaxie sévère.</w:t>
      </w:r>
    </w:p>
    <w:p w14:paraId="02D58A2B" w14:textId="77777777" w:rsidR="0028403E" w:rsidRDefault="0028403E" w:rsidP="00346B18">
      <w:pPr>
        <w:spacing w:line="276" w:lineRule="auto"/>
        <w:rPr>
          <w:color w:val="0070C0"/>
        </w:rPr>
      </w:pPr>
      <w:r>
        <w:rPr>
          <w:color w:val="0070C0"/>
        </w:rPr>
        <w:t xml:space="preserve">- Mortalité faible (0,03 à 0,45/million d’habitants/an). </w:t>
      </w:r>
    </w:p>
    <w:p w14:paraId="55224B4B" w14:textId="77777777" w:rsidR="0028403E" w:rsidRDefault="0028403E" w:rsidP="00346B18">
      <w:pPr>
        <w:spacing w:line="276" w:lineRule="auto"/>
        <w:rPr>
          <w:color w:val="0070C0"/>
        </w:rPr>
      </w:pPr>
    </w:p>
    <w:p w14:paraId="1FAF5484" w14:textId="77777777" w:rsidR="0028403E" w:rsidRDefault="0028403E" w:rsidP="00346B18">
      <w:pPr>
        <w:spacing w:line="276" w:lineRule="auto"/>
        <w:rPr>
          <w:b/>
          <w:bCs/>
          <w:color w:val="0070C0"/>
        </w:rPr>
      </w:pPr>
      <w:r>
        <w:rPr>
          <w:b/>
          <w:bCs/>
          <w:color w:val="0070C0"/>
        </w:rPr>
        <w:t>Allergies alimentaires :</w:t>
      </w:r>
    </w:p>
    <w:p w14:paraId="244A1563" w14:textId="77777777" w:rsidR="0028403E" w:rsidRDefault="0028403E" w:rsidP="00346B18">
      <w:pPr>
        <w:spacing w:line="276" w:lineRule="auto"/>
        <w:rPr>
          <w:color w:val="0070C0"/>
        </w:rPr>
      </w:pPr>
      <w:r>
        <w:rPr>
          <w:color w:val="0070C0"/>
        </w:rPr>
        <w:t>- Prévalence :</w:t>
      </w:r>
    </w:p>
    <w:p w14:paraId="49232ABD" w14:textId="77777777" w:rsidR="0028403E" w:rsidRDefault="0028403E">
      <w:pPr>
        <w:numPr>
          <w:ilvl w:val="0"/>
          <w:numId w:val="4"/>
        </w:numPr>
        <w:pBdr>
          <w:top w:val="nil"/>
          <w:left w:val="nil"/>
          <w:bottom w:val="nil"/>
          <w:right w:val="nil"/>
          <w:between w:val="nil"/>
        </w:pBdr>
        <w:spacing w:line="276" w:lineRule="auto"/>
        <w:ind w:left="284" w:hanging="142"/>
        <w:rPr>
          <w:color w:val="0070C0"/>
        </w:rPr>
      </w:pPr>
      <w:r>
        <w:rPr>
          <w:color w:val="0070C0"/>
        </w:rPr>
        <w:t>Difficile à établir. La plupart des données sont issues d’auto-questionnaires, avec un risque de surestimation.</w:t>
      </w:r>
    </w:p>
    <w:p w14:paraId="652B8234" w14:textId="77777777" w:rsidR="0028403E" w:rsidRDefault="0028403E">
      <w:pPr>
        <w:numPr>
          <w:ilvl w:val="0"/>
          <w:numId w:val="4"/>
        </w:numPr>
        <w:pBdr>
          <w:top w:val="nil"/>
          <w:left w:val="nil"/>
          <w:bottom w:val="nil"/>
          <w:right w:val="nil"/>
          <w:between w:val="nil"/>
        </w:pBdr>
        <w:spacing w:line="276" w:lineRule="auto"/>
        <w:ind w:left="284" w:hanging="142"/>
        <w:rPr>
          <w:color w:val="0070C0"/>
        </w:rPr>
      </w:pPr>
      <w:r>
        <w:rPr>
          <w:color w:val="0070C0"/>
        </w:rPr>
        <w:t>On considère qu’elles touchent 4 % des enfants entre l’âge de 2 et 5 ans</w:t>
      </w:r>
      <w:r>
        <w:rPr>
          <w:rFonts w:ascii="Arial" w:eastAsia="Arial" w:hAnsi="Arial" w:cs="Arial"/>
          <w:color w:val="0070C0"/>
        </w:rPr>
        <w:t> </w:t>
      </w:r>
      <w:r>
        <w:rPr>
          <w:color w:val="0070C0"/>
        </w:rPr>
        <w:t>; 6,8 % entre 6 et 10 ans</w:t>
      </w:r>
      <w:r>
        <w:rPr>
          <w:rFonts w:ascii="Arial" w:eastAsia="Arial" w:hAnsi="Arial" w:cs="Arial"/>
          <w:color w:val="0070C0"/>
        </w:rPr>
        <w:t> </w:t>
      </w:r>
      <w:r>
        <w:rPr>
          <w:color w:val="0070C0"/>
        </w:rPr>
        <w:t>; 3,4 % entre 11 et 14 ans</w:t>
      </w:r>
      <w:r>
        <w:rPr>
          <w:rFonts w:ascii="Arial" w:eastAsia="Arial" w:hAnsi="Arial" w:cs="Arial"/>
          <w:color w:val="0070C0"/>
        </w:rPr>
        <w:t> </w:t>
      </w:r>
      <w:r>
        <w:rPr>
          <w:color w:val="0070C0"/>
        </w:rPr>
        <w:t>; 2-3 % chez l’adulte.</w:t>
      </w:r>
    </w:p>
    <w:p w14:paraId="512EF429" w14:textId="77777777" w:rsidR="0028403E" w:rsidRDefault="0028403E" w:rsidP="00346B18">
      <w:pPr>
        <w:pBdr>
          <w:top w:val="nil"/>
          <w:left w:val="nil"/>
          <w:bottom w:val="nil"/>
          <w:right w:val="nil"/>
          <w:between w:val="nil"/>
        </w:pBdr>
        <w:spacing w:line="276" w:lineRule="auto"/>
        <w:rPr>
          <w:color w:val="0070C0"/>
        </w:rPr>
      </w:pPr>
      <w:r>
        <w:rPr>
          <w:color w:val="0070C0"/>
        </w:rPr>
        <w:t>- 10 à 41 % des chocs anaphylactiques sont dus à une allergie alimentaire.</w:t>
      </w:r>
    </w:p>
    <w:p w14:paraId="1159989F" w14:textId="77777777" w:rsidR="0028403E" w:rsidRDefault="0028403E" w:rsidP="00346B18">
      <w:pPr>
        <w:pBdr>
          <w:top w:val="nil"/>
          <w:left w:val="nil"/>
          <w:bottom w:val="nil"/>
          <w:right w:val="nil"/>
          <w:between w:val="nil"/>
        </w:pBdr>
        <w:spacing w:line="276" w:lineRule="auto"/>
        <w:rPr>
          <w:color w:val="0070C0"/>
        </w:rPr>
      </w:pPr>
      <w:r>
        <w:rPr>
          <w:color w:val="0070C0"/>
        </w:rPr>
        <w:t>- Les allergènes les plus fréquents sont :</w:t>
      </w:r>
    </w:p>
    <w:p w14:paraId="3540C96E" w14:textId="77777777" w:rsidR="0028403E" w:rsidRDefault="0028403E">
      <w:pPr>
        <w:numPr>
          <w:ilvl w:val="0"/>
          <w:numId w:val="4"/>
        </w:numPr>
        <w:pBdr>
          <w:top w:val="nil"/>
          <w:left w:val="nil"/>
          <w:bottom w:val="nil"/>
          <w:right w:val="nil"/>
          <w:between w:val="nil"/>
        </w:pBdr>
        <w:spacing w:line="276" w:lineRule="auto"/>
        <w:ind w:left="284" w:hanging="142"/>
        <w:rPr>
          <w:color w:val="0070C0"/>
        </w:rPr>
      </w:pPr>
      <w:r>
        <w:rPr>
          <w:color w:val="0070C0"/>
        </w:rPr>
        <w:t>Avant l’âge de 6 mois : lait.</w:t>
      </w:r>
    </w:p>
    <w:p w14:paraId="117C473F" w14:textId="77777777" w:rsidR="0028403E" w:rsidRDefault="0028403E">
      <w:pPr>
        <w:numPr>
          <w:ilvl w:val="0"/>
          <w:numId w:val="4"/>
        </w:numPr>
        <w:pBdr>
          <w:top w:val="nil"/>
          <w:left w:val="nil"/>
          <w:bottom w:val="nil"/>
          <w:right w:val="nil"/>
          <w:between w:val="nil"/>
        </w:pBdr>
        <w:spacing w:line="276" w:lineRule="auto"/>
        <w:ind w:left="284" w:hanging="142"/>
        <w:rPr>
          <w:color w:val="0070C0"/>
        </w:rPr>
      </w:pPr>
      <w:r>
        <w:rPr>
          <w:color w:val="0070C0"/>
        </w:rPr>
        <w:t>De 5 mois à 15 ans : œuf (plus fréquent), arachide, lait de vache, moutarde, morue.</w:t>
      </w:r>
    </w:p>
    <w:p w14:paraId="67C5FDE5" w14:textId="77777777" w:rsidR="0028403E" w:rsidRDefault="0028403E">
      <w:pPr>
        <w:numPr>
          <w:ilvl w:val="0"/>
          <w:numId w:val="4"/>
        </w:numPr>
        <w:pBdr>
          <w:top w:val="nil"/>
          <w:left w:val="nil"/>
          <w:bottom w:val="nil"/>
          <w:right w:val="nil"/>
          <w:between w:val="nil"/>
        </w:pBdr>
        <w:spacing w:line="276" w:lineRule="auto"/>
        <w:ind w:left="284" w:hanging="142"/>
        <w:rPr>
          <w:color w:val="0070C0"/>
        </w:rPr>
      </w:pPr>
      <w:r>
        <w:rPr>
          <w:color w:val="0070C0"/>
        </w:rPr>
        <w:t>Après 3 ans : arachide.</w:t>
      </w:r>
    </w:p>
    <w:p w14:paraId="31AA3B5E" w14:textId="77777777" w:rsidR="0028403E" w:rsidRDefault="0028403E">
      <w:pPr>
        <w:numPr>
          <w:ilvl w:val="0"/>
          <w:numId w:val="4"/>
        </w:numPr>
        <w:pBdr>
          <w:top w:val="nil"/>
          <w:left w:val="nil"/>
          <w:bottom w:val="nil"/>
          <w:right w:val="nil"/>
          <w:between w:val="nil"/>
        </w:pBdr>
        <w:spacing w:line="276" w:lineRule="auto"/>
        <w:ind w:left="284" w:hanging="142"/>
        <w:rPr>
          <w:color w:val="0070C0"/>
        </w:rPr>
      </w:pPr>
      <w:r>
        <w:rPr>
          <w:color w:val="0070C0"/>
        </w:rPr>
        <w:t>Chez l’adulte : fruits à coque, légumineuses, et certains fruits et légumes, dans le cadre du syndrome d’allergie croisée pollens-aliments végétaux, crustacés, viandes.</w:t>
      </w:r>
    </w:p>
    <w:p w14:paraId="6AB464AE" w14:textId="77777777" w:rsidR="0028403E" w:rsidRDefault="0028403E" w:rsidP="00346B18">
      <w:pPr>
        <w:pBdr>
          <w:top w:val="nil"/>
          <w:left w:val="nil"/>
          <w:bottom w:val="nil"/>
          <w:right w:val="nil"/>
          <w:between w:val="nil"/>
        </w:pBdr>
        <w:spacing w:line="276" w:lineRule="auto"/>
        <w:ind w:left="1276"/>
        <w:rPr>
          <w:color w:val="0070C0"/>
        </w:rPr>
      </w:pPr>
    </w:p>
    <w:p w14:paraId="258757C1" w14:textId="77777777" w:rsidR="0028403E" w:rsidRDefault="0028403E" w:rsidP="00346B18">
      <w:pPr>
        <w:spacing w:line="276" w:lineRule="auto"/>
        <w:rPr>
          <w:b/>
          <w:bCs/>
          <w:color w:val="0070C0"/>
        </w:rPr>
      </w:pPr>
      <w:r>
        <w:rPr>
          <w:b/>
          <w:bCs/>
          <w:color w:val="0070C0"/>
        </w:rPr>
        <w:t>Hypersensibilité médicamenteuse :</w:t>
      </w:r>
    </w:p>
    <w:p w14:paraId="543E5A35" w14:textId="77777777" w:rsidR="0028403E" w:rsidRDefault="0028403E" w:rsidP="00346B18">
      <w:pPr>
        <w:spacing w:line="276" w:lineRule="auto"/>
        <w:rPr>
          <w:color w:val="0070C0"/>
        </w:rPr>
      </w:pPr>
      <w:r>
        <w:rPr>
          <w:color w:val="0070C0"/>
        </w:rPr>
        <w:t>- Environ 7 % de la population générale.</w:t>
      </w:r>
    </w:p>
    <w:p w14:paraId="77178DF3" w14:textId="77777777" w:rsidR="0028403E" w:rsidRDefault="0028403E" w:rsidP="00346B18">
      <w:pPr>
        <w:spacing w:line="276" w:lineRule="auto"/>
        <w:rPr>
          <w:color w:val="0070C0"/>
        </w:rPr>
      </w:pPr>
      <w:r>
        <w:rPr>
          <w:color w:val="0070C0"/>
        </w:rPr>
        <w:t xml:space="preserve">- Potentiellement responsable d’anaphylaxie sévère. </w:t>
      </w:r>
    </w:p>
    <w:p w14:paraId="5DAD964A" w14:textId="77777777" w:rsidR="0028403E" w:rsidRDefault="0028403E" w:rsidP="00346B18">
      <w:pPr>
        <w:spacing w:line="276" w:lineRule="auto"/>
        <w:rPr>
          <w:color w:val="0070C0"/>
        </w:rPr>
      </w:pPr>
      <w:r>
        <w:rPr>
          <w:color w:val="0070C0"/>
        </w:rPr>
        <w:t xml:space="preserve">- En France, la plupart des décès dus à une anaphylaxie chez l’adulte sont d’étiologie médicamenteuse. </w:t>
      </w:r>
    </w:p>
    <w:p w14:paraId="676B8E31" w14:textId="77777777" w:rsidR="0028403E" w:rsidRDefault="0028403E" w:rsidP="00346B18">
      <w:pPr>
        <w:spacing w:line="276" w:lineRule="auto"/>
        <w:rPr>
          <w:i/>
          <w:iCs/>
        </w:rPr>
      </w:pPr>
    </w:p>
    <w:p w14:paraId="243ACA90" w14:textId="77777777" w:rsidR="0028403E" w:rsidRDefault="0028403E" w:rsidP="002A6DAC">
      <w:pPr>
        <w:pStyle w:val="Titre2"/>
      </w:pPr>
      <w:r>
        <w:t>Facteurs de risques</w:t>
      </w:r>
    </w:p>
    <w:p w14:paraId="7E79CB34" w14:textId="77777777" w:rsidR="0028403E" w:rsidRDefault="0028403E" w:rsidP="00346B18">
      <w:pPr>
        <w:spacing w:line="276" w:lineRule="auto"/>
      </w:pPr>
      <w:r>
        <w:t>Composante génétique et environnementale.</w:t>
      </w:r>
    </w:p>
    <w:p w14:paraId="21758261" w14:textId="77777777" w:rsidR="0028403E" w:rsidRDefault="0028403E" w:rsidP="00346B18">
      <w:pPr>
        <w:spacing w:line="276" w:lineRule="auto"/>
      </w:pPr>
      <w:r>
        <w:t>En France, la prévalence des allergies respiratoires est élevée et en augmentation, et concerne environ 25 à 30 % de la population. La prévalence de la rhinite allergique a triplé en 30 ans. L’évolution des expositions environnementales en est la cause.</w:t>
      </w:r>
    </w:p>
    <w:p w14:paraId="341779B6" w14:textId="77777777" w:rsidR="0028403E" w:rsidRDefault="0028403E" w:rsidP="00346B18">
      <w:pPr>
        <w:spacing w:line="276" w:lineRule="auto"/>
      </w:pPr>
    </w:p>
    <w:p w14:paraId="03A516FC" w14:textId="77777777" w:rsidR="0028403E" w:rsidRDefault="0028403E" w:rsidP="00346B18">
      <w:pPr>
        <w:spacing w:line="276" w:lineRule="auto"/>
      </w:pPr>
      <w:r>
        <w:t>Les facteurs environnementaux évoqués sont :</w:t>
      </w:r>
    </w:p>
    <w:p w14:paraId="6F6F692E" w14:textId="77777777" w:rsidR="0028403E" w:rsidRDefault="0028403E" w:rsidP="00346B18">
      <w:pPr>
        <w:spacing w:line="276" w:lineRule="auto"/>
      </w:pPr>
      <w:r>
        <w:t>- La modification des habitudes alimentaires.</w:t>
      </w:r>
    </w:p>
    <w:p w14:paraId="20230D4A" w14:textId="77777777" w:rsidR="0028403E" w:rsidRDefault="0028403E" w:rsidP="00346B18">
      <w:pPr>
        <w:spacing w:line="276" w:lineRule="auto"/>
      </w:pPr>
      <w:r>
        <w:t>- Le tabagisme passif (pré- et post-natal).</w:t>
      </w:r>
    </w:p>
    <w:p w14:paraId="7BC181DB" w14:textId="77777777" w:rsidR="0028403E" w:rsidRDefault="0028403E" w:rsidP="00346B18">
      <w:pPr>
        <w:spacing w:line="276" w:lineRule="auto"/>
      </w:pPr>
      <w:r>
        <w:t>- L’environnement allergénique.</w:t>
      </w:r>
    </w:p>
    <w:p w14:paraId="499FB4AE" w14:textId="77777777" w:rsidR="0028403E" w:rsidRDefault="0028403E" w:rsidP="00346B18">
      <w:pPr>
        <w:spacing w:line="276" w:lineRule="auto"/>
      </w:pPr>
      <w:r>
        <w:t>- La pollution atmosphérique.</w:t>
      </w:r>
    </w:p>
    <w:p w14:paraId="0EE35673" w14:textId="77777777" w:rsidR="0028403E" w:rsidRDefault="0028403E" w:rsidP="00346B18">
      <w:pPr>
        <w:spacing w:line="276" w:lineRule="auto"/>
      </w:pPr>
      <w:r>
        <w:t>- Le réchauffement climatique avec un impact sur les saisons polliniques et la pollution.</w:t>
      </w:r>
    </w:p>
    <w:p w14:paraId="42782815" w14:textId="77777777" w:rsidR="0028403E" w:rsidRDefault="0028403E" w:rsidP="00346B18">
      <w:pPr>
        <w:spacing w:line="276" w:lineRule="auto"/>
      </w:pPr>
      <w:r>
        <w:t>- Théorie hygiéniste et augmentation des allergies : il existe une relation épidémiologique entre la baisse des contacts infectieux et l’augmentation des maladies allergiques et auto-immunes</w:t>
      </w:r>
      <w:r>
        <w:rPr>
          <w:rFonts w:ascii="Arial" w:eastAsia="Arial" w:hAnsi="Arial" w:cs="Arial"/>
        </w:rPr>
        <w:t> </w:t>
      </w:r>
      <w:r>
        <w:t>; on incrimine actuellement plutôt la baisse de la biodiversité.</w:t>
      </w:r>
    </w:p>
    <w:p w14:paraId="16A69136" w14:textId="77777777" w:rsidR="0028403E" w:rsidRDefault="0028403E" w:rsidP="00346B18">
      <w:pPr>
        <w:spacing w:line="276" w:lineRule="auto"/>
      </w:pPr>
    </w:p>
    <w:p w14:paraId="0F1D8775" w14:textId="77777777" w:rsidR="0028403E" w:rsidRDefault="0028403E" w:rsidP="00346B18">
      <w:pPr>
        <w:spacing w:line="276" w:lineRule="auto"/>
      </w:pPr>
      <w:r>
        <w:t>La fréquence de l’atopie est moindre :</w:t>
      </w:r>
    </w:p>
    <w:p w14:paraId="7AE247E0" w14:textId="77777777" w:rsidR="0028403E" w:rsidRDefault="0028403E" w:rsidP="00346B18">
      <w:pPr>
        <w:spacing w:line="276" w:lineRule="auto"/>
      </w:pPr>
      <w:r>
        <w:t>- Chez les plus jeunes enfants d’une fratrie (plus souvent infectés par les aînés).</w:t>
      </w:r>
    </w:p>
    <w:p w14:paraId="55EC5B4D" w14:textId="77777777" w:rsidR="0028403E" w:rsidRDefault="0028403E" w:rsidP="00346B18">
      <w:pPr>
        <w:spacing w:line="276" w:lineRule="auto"/>
      </w:pPr>
      <w:r>
        <w:t>- Chez les enfants ayant été en crèche (contage infectieux).</w:t>
      </w:r>
    </w:p>
    <w:p w14:paraId="67778DC9" w14:textId="77777777" w:rsidR="0028403E" w:rsidRDefault="0028403E" w:rsidP="00346B18">
      <w:pPr>
        <w:spacing w:line="276" w:lineRule="auto"/>
      </w:pPr>
      <w:r>
        <w:t>- Conçus, nés et élevés en milieu rural et dans les milieux riches en endotoxines bactériennes.</w:t>
      </w:r>
    </w:p>
    <w:p w14:paraId="708738AD" w14:textId="77777777" w:rsidR="0028403E" w:rsidRDefault="0028403E" w:rsidP="00346B18">
      <w:pPr>
        <w:widowControl w:val="0"/>
        <w:pBdr>
          <w:top w:val="nil"/>
          <w:left w:val="nil"/>
          <w:bottom w:val="nil"/>
          <w:right w:val="nil"/>
          <w:between w:val="nil"/>
        </w:pBdr>
        <w:spacing w:line="276" w:lineRule="auto"/>
      </w:pPr>
    </w:p>
    <w:p w14:paraId="0E962AD4" w14:textId="77777777" w:rsidR="0028403E" w:rsidRDefault="0028403E" w:rsidP="002A6DAC">
      <w:pPr>
        <w:pStyle w:val="Titre2"/>
      </w:pPr>
      <w:r>
        <w:t>Morbidité – Mortalité</w:t>
      </w:r>
    </w:p>
    <w:p w14:paraId="31F5C2BC" w14:textId="77777777" w:rsidR="0028403E" w:rsidRDefault="0028403E" w:rsidP="00346B18">
      <w:pPr>
        <w:spacing w:line="276" w:lineRule="auto"/>
      </w:pPr>
      <w:r>
        <w:lastRenderedPageBreak/>
        <w:t xml:space="preserve">La rhinite et l’asthme ont un retentissement important sur la qualité de vie. </w:t>
      </w:r>
    </w:p>
    <w:p w14:paraId="3C3C7738" w14:textId="5A06F5AF" w:rsidR="0028403E" w:rsidRDefault="0028403E" w:rsidP="00346B18">
      <w:pPr>
        <w:spacing w:line="276" w:lineRule="auto"/>
      </w:pPr>
    </w:p>
    <w:p w14:paraId="76B67FC6" w14:textId="580C2280" w:rsidR="0028403E" w:rsidRDefault="002A6DAC" w:rsidP="00346B18">
      <w:pPr>
        <w:spacing w:line="276" w:lineRule="auto"/>
        <w:rPr>
          <w:color w:val="00B050"/>
        </w:rPr>
      </w:pPr>
      <w:r>
        <w:rPr>
          <w:noProof/>
        </w:rPr>
        <w:drawing>
          <wp:anchor distT="0" distB="0" distL="114300" distR="114300" simplePos="0" relativeHeight="251789312" behindDoc="0" locked="0" layoutInCell="1" hidden="0" allowOverlap="1" wp14:anchorId="64945FDD" wp14:editId="33696437">
            <wp:simplePos x="0" y="0"/>
            <wp:positionH relativeFrom="column">
              <wp:posOffset>-247487</wp:posOffset>
            </wp:positionH>
            <wp:positionV relativeFrom="paragraph">
              <wp:posOffset>12065</wp:posOffset>
            </wp:positionV>
            <wp:extent cx="135890" cy="138430"/>
            <wp:effectExtent l="0" t="0" r="0" b="0"/>
            <wp:wrapSquare wrapText="bothSides" distT="0" distB="0" distL="114300" distR="11430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35890" cy="138430"/>
                    </a:xfrm>
                    <a:prstGeom prst="rect">
                      <a:avLst/>
                    </a:prstGeom>
                    <a:ln/>
                  </pic:spPr>
                </pic:pic>
              </a:graphicData>
            </a:graphic>
          </wp:anchor>
        </w:drawing>
      </w:r>
      <w:r w:rsidR="0028403E">
        <w:rPr>
          <w:color w:val="00B050"/>
        </w:rPr>
        <w:t>L’asthme coûte en France 1,5 milliards d’euros, dont 65 % de coûts directs (hôpital, traitements, consultations) et 35 % de coûts indirects (absentéisme scolaire ou professionnel et présentéisme).</w:t>
      </w:r>
    </w:p>
    <w:p w14:paraId="5250C65D" w14:textId="77777777" w:rsidR="0028403E" w:rsidRDefault="0028403E" w:rsidP="00346B18">
      <w:pPr>
        <w:spacing w:line="276" w:lineRule="auto"/>
        <w:rPr>
          <w:color w:val="00B050"/>
        </w:rPr>
      </w:pPr>
    </w:p>
    <w:p w14:paraId="7FD6CC4D" w14:textId="77777777" w:rsidR="0028403E" w:rsidRDefault="0028403E" w:rsidP="00346B18">
      <w:pPr>
        <w:spacing w:line="276" w:lineRule="auto"/>
      </w:pPr>
      <w:r>
        <w:t>L’asthme est responsable d’une mortalité en baisse constante, mais encore trop importante :</w:t>
      </w:r>
    </w:p>
    <w:p w14:paraId="6E68A31A" w14:textId="77777777" w:rsidR="0028403E" w:rsidRDefault="0028403E" w:rsidP="00346B18">
      <w:pPr>
        <w:spacing w:line="276" w:lineRule="auto"/>
      </w:pPr>
      <w:r>
        <w:t>- Environ 900 à 1000 décès/an par asthme en France.</w:t>
      </w:r>
    </w:p>
    <w:p w14:paraId="3F460379" w14:textId="77777777" w:rsidR="0028403E" w:rsidRDefault="0028403E" w:rsidP="00346B18">
      <w:pPr>
        <w:spacing w:line="276" w:lineRule="auto"/>
      </w:pPr>
      <w:r>
        <w:t>- La mortalité est plus importante dans les niveaux socio-économiques les plus défavorisés.</w:t>
      </w:r>
    </w:p>
    <w:p w14:paraId="7C000980" w14:textId="77777777" w:rsidR="0028403E" w:rsidRDefault="0028403E" w:rsidP="00346B18">
      <w:pPr>
        <w:spacing w:line="276" w:lineRule="auto"/>
      </w:pPr>
      <w:r>
        <w:t>- De nombreux décès par asthme sont évitables, en particulier chez le sujet jeune. Ces décès semblent liés :</w:t>
      </w:r>
    </w:p>
    <w:p w14:paraId="28797DD2" w14:textId="77777777" w:rsidR="0028403E" w:rsidRDefault="0028403E">
      <w:pPr>
        <w:numPr>
          <w:ilvl w:val="1"/>
          <w:numId w:val="5"/>
        </w:numPr>
        <w:spacing w:line="276" w:lineRule="auto"/>
        <w:ind w:left="284" w:hanging="142"/>
      </w:pPr>
      <w:r>
        <w:t>À l’absence de traitement de fond ou à sa mauvaise observance.</w:t>
      </w:r>
    </w:p>
    <w:p w14:paraId="57DCA0C1" w14:textId="77777777" w:rsidR="0028403E" w:rsidRDefault="0028403E">
      <w:pPr>
        <w:numPr>
          <w:ilvl w:val="1"/>
          <w:numId w:val="5"/>
        </w:numPr>
        <w:spacing w:line="276" w:lineRule="auto"/>
        <w:ind w:left="284" w:hanging="142"/>
      </w:pPr>
      <w:r>
        <w:t>À la mauvaise gestion de la crise d’asthme et au recours trop tardif au médecin ou à la structure d’urgence.</w:t>
      </w:r>
    </w:p>
    <w:p w14:paraId="460FE02F" w14:textId="77777777" w:rsidR="0028403E" w:rsidRDefault="0028403E" w:rsidP="00346B18">
      <w:pPr>
        <w:spacing w:line="276" w:lineRule="auto"/>
      </w:pPr>
    </w:p>
    <w:p w14:paraId="3EF363DF" w14:textId="397505D4" w:rsidR="0028403E" w:rsidRDefault="0028403E" w:rsidP="002A6DAC">
      <w:pPr>
        <w:pStyle w:val="titredepartie"/>
      </w:pPr>
      <w:r>
        <w:t>STRATÉGIE DIAGNOSTIQUE</w:t>
      </w:r>
    </w:p>
    <w:p w14:paraId="1A4B39C1" w14:textId="77777777" w:rsidR="0028403E" w:rsidRDefault="0028403E" w:rsidP="002A6DAC">
      <w:pPr>
        <w:pStyle w:val="titredesous-partie"/>
        <w:rPr>
          <w:i/>
          <w:iCs/>
        </w:rPr>
      </w:pPr>
      <w:r>
        <w:t>MOTIF DE CONSULTATION/PRISE EN CHARGE</w:t>
      </w:r>
      <w:r>
        <w:rPr>
          <w:i/>
          <w:iCs/>
        </w:rPr>
        <w:t xml:space="preserve"> </w:t>
      </w:r>
    </w:p>
    <w:p w14:paraId="52F36F7D" w14:textId="77777777" w:rsidR="0028403E" w:rsidRDefault="0028403E" w:rsidP="00346B18">
      <w:pPr>
        <w:spacing w:line="276" w:lineRule="auto"/>
      </w:pPr>
      <w:r>
        <w:rPr>
          <w:b/>
          <w:bCs/>
        </w:rPr>
        <w:t>Les allergies respiratoires</w:t>
      </w:r>
      <w:r>
        <w:t xml:space="preserve"> se manifestent cliniquement essentiellement par un asthme et/ou une rhinite.</w:t>
      </w:r>
    </w:p>
    <w:p w14:paraId="6008E819" w14:textId="77777777" w:rsidR="0028403E" w:rsidRDefault="0028403E" w:rsidP="00346B18">
      <w:pPr>
        <w:spacing w:line="276" w:lineRule="auto"/>
      </w:pPr>
    </w:p>
    <w:p w14:paraId="50BCF12E" w14:textId="77777777" w:rsidR="0028403E" w:rsidRDefault="0028403E" w:rsidP="002A6DAC">
      <w:pPr>
        <w:pStyle w:val="titredesous-partie"/>
      </w:pPr>
      <w:r>
        <w:t>TERRAIN ET ATCD</w:t>
      </w:r>
    </w:p>
    <w:p w14:paraId="7B7D5357" w14:textId="77777777" w:rsidR="0028403E" w:rsidRDefault="0028403E" w:rsidP="00346B18">
      <w:pPr>
        <w:spacing w:line="276" w:lineRule="auto"/>
      </w:pPr>
      <w:r>
        <w:t>- Interrogatoire sur le tabagisme, comme dans toutes les maladies respiratoires.</w:t>
      </w:r>
    </w:p>
    <w:p w14:paraId="11F32473" w14:textId="77777777" w:rsidR="0028403E" w:rsidRDefault="0028403E" w:rsidP="00346B18">
      <w:pPr>
        <w:spacing w:line="276" w:lineRule="auto"/>
      </w:pPr>
      <w:r>
        <w:t>- Interrogatoire sur les ATCD personnels ou familiaux d’allergies.</w:t>
      </w:r>
    </w:p>
    <w:p w14:paraId="37C9FC5C" w14:textId="77777777" w:rsidR="0028403E" w:rsidRDefault="0028403E" w:rsidP="00346B18">
      <w:pPr>
        <w:spacing w:line="276" w:lineRule="auto"/>
      </w:pPr>
      <w:r>
        <w:t>- Interrogatoire sur une exposition professionnelle :</w:t>
      </w:r>
    </w:p>
    <w:p w14:paraId="5AE3322F" w14:textId="77777777" w:rsidR="0028403E" w:rsidRDefault="0028403E" w:rsidP="00346B18">
      <w:pPr>
        <w:spacing w:line="276" w:lineRule="auto"/>
      </w:pPr>
      <w:r>
        <w:t xml:space="preserve">Une allergie professionnelle doit être systématiquement recherchée chez les asthmatiques. Les métiers les plus concernés sont : </w:t>
      </w:r>
    </w:p>
    <w:p w14:paraId="590909F7" w14:textId="77777777" w:rsidR="0028403E" w:rsidRDefault="0028403E" w:rsidP="00346B18">
      <w:pPr>
        <w:spacing w:line="276" w:lineRule="auto"/>
      </w:pPr>
      <w:r>
        <w:t>- Boulanger, pâtissier (allergènes = blé, acariens de la farine, blattes, moisissures…).</w:t>
      </w:r>
    </w:p>
    <w:p w14:paraId="4AD04137" w14:textId="77777777" w:rsidR="0028403E" w:rsidRDefault="0028403E" w:rsidP="00346B18">
      <w:pPr>
        <w:spacing w:line="276" w:lineRule="auto"/>
      </w:pPr>
      <w:r>
        <w:t>- Professionnels de santé (latex, aldéhydes, ammoniums).</w:t>
      </w:r>
    </w:p>
    <w:p w14:paraId="3262B7D1" w14:textId="77777777" w:rsidR="0028403E" w:rsidRDefault="0028403E" w:rsidP="00346B18">
      <w:pPr>
        <w:spacing w:line="276" w:lineRule="auto"/>
      </w:pPr>
      <w:r>
        <w:t>- Coiffeurs (persulfates).</w:t>
      </w:r>
    </w:p>
    <w:p w14:paraId="1032A8CB" w14:textId="77777777" w:rsidR="0028403E" w:rsidRDefault="0028403E" w:rsidP="00346B18">
      <w:pPr>
        <w:spacing w:line="276" w:lineRule="auto"/>
      </w:pPr>
      <w:r>
        <w:t>- Peintres (isocyanates).</w:t>
      </w:r>
    </w:p>
    <w:p w14:paraId="02821B63" w14:textId="77777777" w:rsidR="0028403E" w:rsidRDefault="0028403E" w:rsidP="00346B18">
      <w:pPr>
        <w:spacing w:line="276" w:lineRule="auto"/>
      </w:pPr>
      <w:r>
        <w:t>- Agents d’entretien (ammoniums…).</w:t>
      </w:r>
    </w:p>
    <w:p w14:paraId="54615BD0" w14:textId="77777777" w:rsidR="0028403E" w:rsidRDefault="0028403E" w:rsidP="00346B18">
      <w:pPr>
        <w:spacing w:line="276" w:lineRule="auto"/>
      </w:pPr>
      <w:r>
        <w:t>- Travailleurs du bois (poussières, moisissures…).</w:t>
      </w:r>
    </w:p>
    <w:p w14:paraId="360C12E8" w14:textId="77777777" w:rsidR="0028403E" w:rsidRDefault="0028403E" w:rsidP="00346B18">
      <w:pPr>
        <w:spacing w:line="276" w:lineRule="auto"/>
      </w:pPr>
    </w:p>
    <w:p w14:paraId="083E1EAF" w14:textId="77777777" w:rsidR="0028403E" w:rsidRDefault="0028403E" w:rsidP="00346B18">
      <w:pPr>
        <w:spacing w:line="276" w:lineRule="auto"/>
      </w:pPr>
      <w:r>
        <w:t>Le diagnostic d’asthme professionnel repose sur la mise en évidence d’un lien entre la survenue des manifestations d’asthme et l’exposition professionnelle.</w:t>
      </w:r>
    </w:p>
    <w:p w14:paraId="522BCF3A" w14:textId="77777777" w:rsidR="0028403E" w:rsidRDefault="0028403E" w:rsidP="00346B18">
      <w:pPr>
        <w:spacing w:line="276" w:lineRule="auto"/>
        <w:rPr>
          <w:b/>
          <w:bCs/>
        </w:rPr>
      </w:pPr>
    </w:p>
    <w:p w14:paraId="75B9D1FD" w14:textId="77777777" w:rsidR="0028403E" w:rsidRDefault="0028403E" w:rsidP="002A6DAC">
      <w:pPr>
        <w:pStyle w:val="titredesous-partie"/>
        <w:rPr>
          <w:i/>
          <w:iCs/>
        </w:rPr>
      </w:pPr>
      <w:r>
        <w:t>HISTOIRE DE LA MALADIE</w:t>
      </w:r>
    </w:p>
    <w:p w14:paraId="74B9C2A7" w14:textId="77777777" w:rsidR="0028403E" w:rsidRDefault="0028403E" w:rsidP="00346B18">
      <w:pPr>
        <w:widowControl w:val="0"/>
        <w:spacing w:line="276" w:lineRule="auto"/>
      </w:pPr>
      <w:r>
        <w:t>La recherche d’allergie sera importante à réaliser.</w:t>
      </w:r>
    </w:p>
    <w:p w14:paraId="156D88AA" w14:textId="77777777" w:rsidR="0028403E" w:rsidRDefault="0028403E" w:rsidP="00346B18">
      <w:pPr>
        <w:spacing w:line="276" w:lineRule="auto"/>
      </w:pPr>
      <w:r>
        <w:t>Le diagnostic d’allergie repose sur :</w:t>
      </w:r>
    </w:p>
    <w:p w14:paraId="2620AF4F" w14:textId="77777777" w:rsidR="0028403E" w:rsidRDefault="0028403E">
      <w:pPr>
        <w:numPr>
          <w:ilvl w:val="0"/>
          <w:numId w:val="6"/>
        </w:numPr>
        <w:pBdr>
          <w:top w:val="nil"/>
          <w:left w:val="nil"/>
          <w:bottom w:val="nil"/>
          <w:right w:val="nil"/>
          <w:between w:val="nil"/>
        </w:pBdr>
        <w:spacing w:line="276" w:lineRule="auto"/>
        <w:ind w:left="284" w:hanging="284"/>
      </w:pPr>
      <w:r>
        <w:t xml:space="preserve">La mise en évidence d’une </w:t>
      </w:r>
      <w:r>
        <w:rPr>
          <w:b/>
          <w:bCs/>
        </w:rPr>
        <w:t>relation</w:t>
      </w:r>
      <w:r>
        <w:t xml:space="preserve"> forte entre </w:t>
      </w:r>
      <w:r>
        <w:rPr>
          <w:b/>
          <w:bCs/>
        </w:rPr>
        <w:t>l’exposition</w:t>
      </w:r>
      <w:r>
        <w:t xml:space="preserve"> à un allergène et la survenue des </w:t>
      </w:r>
      <w:r>
        <w:rPr>
          <w:b/>
          <w:bCs/>
        </w:rPr>
        <w:t>symptômes, avec une unité de temps et de lieu.</w:t>
      </w:r>
    </w:p>
    <w:p w14:paraId="4EF24376" w14:textId="77777777" w:rsidR="0028403E" w:rsidRDefault="0028403E" w:rsidP="00346B18">
      <w:pPr>
        <w:spacing w:line="276" w:lineRule="auto"/>
      </w:pPr>
      <w:r>
        <w:t xml:space="preserve">- Les pneumallergènes per-annuels (responsables de symptômes per-annuels) sont le plus souvent des allergènes d’intérieur : </w:t>
      </w:r>
    </w:p>
    <w:p w14:paraId="3F12F6EF" w14:textId="77777777" w:rsidR="0028403E" w:rsidRDefault="0028403E">
      <w:pPr>
        <w:numPr>
          <w:ilvl w:val="0"/>
          <w:numId w:val="7"/>
        </w:numPr>
        <w:spacing w:line="276" w:lineRule="auto"/>
        <w:ind w:left="284" w:hanging="142"/>
      </w:pPr>
      <w:r>
        <w:lastRenderedPageBreak/>
        <w:t>Acariens et blattes.</w:t>
      </w:r>
    </w:p>
    <w:p w14:paraId="55980C55" w14:textId="77777777" w:rsidR="0028403E" w:rsidRDefault="0028403E">
      <w:pPr>
        <w:numPr>
          <w:ilvl w:val="0"/>
          <w:numId w:val="7"/>
        </w:numPr>
        <w:spacing w:line="276" w:lineRule="auto"/>
        <w:ind w:left="284" w:hanging="142"/>
      </w:pPr>
      <w:r>
        <w:t>Phanères d’animaux : chien, chat, rongeurs.</w:t>
      </w:r>
    </w:p>
    <w:p w14:paraId="451E0D18" w14:textId="77777777" w:rsidR="0028403E" w:rsidRDefault="0028403E">
      <w:pPr>
        <w:numPr>
          <w:ilvl w:val="0"/>
          <w:numId w:val="7"/>
        </w:numPr>
        <w:spacing w:line="276" w:lineRule="auto"/>
        <w:ind w:left="284" w:hanging="142"/>
      </w:pPr>
      <w:r>
        <w:t>Moisissures.</w:t>
      </w:r>
    </w:p>
    <w:p w14:paraId="2CE920FF" w14:textId="77777777" w:rsidR="0028403E" w:rsidRDefault="0028403E" w:rsidP="00346B18">
      <w:pPr>
        <w:spacing w:line="276" w:lineRule="auto"/>
      </w:pPr>
      <w:r>
        <w:t>- Les pneumallergènes saisonniers sont le plus souvent des allergènes d’extérieur :</w:t>
      </w:r>
    </w:p>
    <w:p w14:paraId="06A390DC" w14:textId="77777777" w:rsidR="0028403E" w:rsidRDefault="0028403E">
      <w:pPr>
        <w:numPr>
          <w:ilvl w:val="0"/>
          <w:numId w:val="7"/>
        </w:numPr>
        <w:spacing w:line="276" w:lineRule="auto"/>
        <w:ind w:left="284" w:hanging="142"/>
      </w:pPr>
      <w:r>
        <w:t>Pollens d’arbres.</w:t>
      </w:r>
    </w:p>
    <w:p w14:paraId="4BF90091" w14:textId="77777777" w:rsidR="0028403E" w:rsidRDefault="0028403E">
      <w:pPr>
        <w:numPr>
          <w:ilvl w:val="0"/>
          <w:numId w:val="7"/>
        </w:numPr>
        <w:spacing w:line="276" w:lineRule="auto"/>
        <w:ind w:left="284" w:hanging="142"/>
      </w:pPr>
      <w:r>
        <w:t>Pollens de graminées, les plus ubiquitaires.</w:t>
      </w:r>
    </w:p>
    <w:p w14:paraId="2A97A0CE" w14:textId="77777777" w:rsidR="0028403E" w:rsidRDefault="0028403E">
      <w:pPr>
        <w:numPr>
          <w:ilvl w:val="0"/>
          <w:numId w:val="7"/>
        </w:numPr>
        <w:spacing w:line="276" w:lineRule="auto"/>
        <w:ind w:left="284" w:hanging="142"/>
      </w:pPr>
      <w:r>
        <w:t>Pollens d’herbacées.</w:t>
      </w:r>
    </w:p>
    <w:p w14:paraId="1600C86B" w14:textId="77777777" w:rsidR="0028403E" w:rsidRDefault="0028403E">
      <w:pPr>
        <w:numPr>
          <w:ilvl w:val="0"/>
          <w:numId w:val="7"/>
        </w:numPr>
        <w:spacing w:line="276" w:lineRule="auto"/>
        <w:ind w:left="284" w:hanging="142"/>
      </w:pPr>
      <w:r>
        <w:t>Certaines moisissures atmosphériques comme l’</w:t>
      </w:r>
      <w:proofErr w:type="spellStart"/>
      <w:r>
        <w:rPr>
          <w:i/>
          <w:iCs/>
        </w:rPr>
        <w:t>Alternaria</w:t>
      </w:r>
      <w:proofErr w:type="spellEnd"/>
      <w:r>
        <w:rPr>
          <w:i/>
          <w:iCs/>
        </w:rPr>
        <w:t xml:space="preserve"> </w:t>
      </w:r>
      <w:proofErr w:type="spellStart"/>
      <w:r>
        <w:rPr>
          <w:i/>
          <w:iCs/>
        </w:rPr>
        <w:t>alternata</w:t>
      </w:r>
      <w:proofErr w:type="spellEnd"/>
      <w:r>
        <w:t xml:space="preserve"> sont aussi impliquées dans les phénomènes allergiques et dans l’asthme, avec un cycle saisonnier en période estivale.</w:t>
      </w:r>
    </w:p>
    <w:p w14:paraId="37157296" w14:textId="77777777" w:rsidR="0028403E" w:rsidRDefault="0028403E" w:rsidP="00346B18">
      <w:pPr>
        <w:spacing w:line="276" w:lineRule="auto"/>
        <w:ind w:left="284"/>
      </w:pPr>
    </w:p>
    <w:p w14:paraId="4CD9A36E" w14:textId="77777777" w:rsidR="0028403E" w:rsidRDefault="0028403E">
      <w:pPr>
        <w:numPr>
          <w:ilvl w:val="0"/>
          <w:numId w:val="6"/>
        </w:numPr>
        <w:pBdr>
          <w:top w:val="nil"/>
          <w:left w:val="nil"/>
          <w:bottom w:val="nil"/>
          <w:right w:val="nil"/>
          <w:between w:val="nil"/>
        </w:pBdr>
        <w:spacing w:line="276" w:lineRule="auto"/>
        <w:ind w:left="284" w:hanging="284"/>
      </w:pPr>
      <w:r>
        <w:t xml:space="preserve">ET (voir examens complémentaires) l’objectivation d’une sensibilisation immunologique IgE-médiée vis-à-vis de l’allergène (test cutané positif et/ou présence d’IgE spécifiques). </w:t>
      </w:r>
    </w:p>
    <w:p w14:paraId="545FA2FA" w14:textId="77777777" w:rsidR="0028403E" w:rsidRDefault="0028403E" w:rsidP="00346B18">
      <w:pPr>
        <w:spacing w:line="276" w:lineRule="auto"/>
      </w:pPr>
    </w:p>
    <w:p w14:paraId="2F2AE278" w14:textId="435A13FF" w:rsidR="0028403E" w:rsidRDefault="0028403E" w:rsidP="002A6DAC">
      <w:pPr>
        <w:pStyle w:val="titredesous-partie"/>
        <w:spacing w:after="0"/>
      </w:pPr>
      <w:r>
        <w:t>EXAMEN CLINIQUE (cf. item 188)</w:t>
      </w:r>
    </w:p>
    <w:p w14:paraId="58BCF765" w14:textId="77777777" w:rsidR="002A6DAC" w:rsidRDefault="002A6DAC" w:rsidP="002A6DAC"/>
    <w:p w14:paraId="1B3EDFB3" w14:textId="77777777" w:rsidR="0028403E" w:rsidRDefault="0028403E" w:rsidP="002A6DAC">
      <w:pPr>
        <w:pStyle w:val="titredesous-partie"/>
      </w:pPr>
      <w:r>
        <w:t>EXAMENS COMPLÉMENTAIRES</w:t>
      </w:r>
    </w:p>
    <w:p w14:paraId="5618A227" w14:textId="77777777" w:rsidR="0028403E" w:rsidRDefault="0028403E" w:rsidP="00346B18">
      <w:pPr>
        <w:spacing w:line="276" w:lineRule="auto"/>
        <w:rPr>
          <w:i/>
          <w:iCs/>
        </w:rPr>
      </w:pPr>
      <w:r>
        <w:rPr>
          <w:b/>
          <w:bCs/>
        </w:rPr>
        <w:t xml:space="preserve">L’enquête allergologique dans l’asthme doit être systématique </w:t>
      </w:r>
      <w:r>
        <w:rPr>
          <w:i/>
          <w:iCs/>
        </w:rPr>
        <w:t>(SPLF 2021).</w:t>
      </w:r>
    </w:p>
    <w:p w14:paraId="0A11A0FE" w14:textId="2B5639C8" w:rsidR="0028403E" w:rsidRDefault="002A6DAC" w:rsidP="00346B18">
      <w:pPr>
        <w:spacing w:line="276" w:lineRule="auto"/>
        <w:rPr>
          <w:b/>
          <w:bCs/>
        </w:rPr>
      </w:pPr>
      <w:r>
        <w:rPr>
          <w:noProof/>
        </w:rPr>
        <w:drawing>
          <wp:anchor distT="0" distB="0" distL="114300" distR="114300" simplePos="0" relativeHeight="251779072" behindDoc="0" locked="0" layoutInCell="1" hidden="0" allowOverlap="1" wp14:anchorId="31722F56" wp14:editId="450F0BDA">
            <wp:simplePos x="0" y="0"/>
            <wp:positionH relativeFrom="column">
              <wp:posOffset>-272415</wp:posOffset>
            </wp:positionH>
            <wp:positionV relativeFrom="paragraph">
              <wp:posOffset>188123</wp:posOffset>
            </wp:positionV>
            <wp:extent cx="153670" cy="137160"/>
            <wp:effectExtent l="0" t="0" r="0" b="0"/>
            <wp:wrapSquare wrapText="bothSides" distT="0" distB="0" distL="114300" distR="1143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6159D62F" w14:textId="6D9FED0F" w:rsidR="0028403E" w:rsidRDefault="0028403E">
      <w:pPr>
        <w:pStyle w:val="1titre"/>
        <w:numPr>
          <w:ilvl w:val="0"/>
          <w:numId w:val="24"/>
        </w:numPr>
      </w:pPr>
      <w:r>
        <w:t xml:space="preserve">Tests cutanés : </w:t>
      </w:r>
      <w:proofErr w:type="spellStart"/>
      <w:r>
        <w:t>prick</w:t>
      </w:r>
      <w:proofErr w:type="spellEnd"/>
      <w:r>
        <w:t>-tests à lecture immédiate</w:t>
      </w:r>
    </w:p>
    <w:p w14:paraId="4E7AC5D4" w14:textId="69FBA0A5" w:rsidR="0028403E" w:rsidRDefault="0028403E" w:rsidP="00346B18">
      <w:pPr>
        <w:widowControl w:val="0"/>
        <w:spacing w:line="276" w:lineRule="auto"/>
        <w:rPr>
          <w:color w:val="0070C0"/>
        </w:rPr>
      </w:pPr>
      <w:r>
        <w:rPr>
          <w:color w:val="0070C0"/>
        </w:rPr>
        <w:t>Méthode de référence recommandée en première intention pour étudier la sensibilisation IgE-dépendante.</w:t>
      </w:r>
    </w:p>
    <w:p w14:paraId="5704406A" w14:textId="77777777" w:rsidR="0028403E" w:rsidRDefault="0028403E" w:rsidP="00346B18">
      <w:pPr>
        <w:widowControl w:val="0"/>
        <w:spacing w:line="276" w:lineRule="auto"/>
        <w:rPr>
          <w:color w:val="0070C0"/>
        </w:rPr>
      </w:pPr>
      <w:r>
        <w:rPr>
          <w:color w:val="0070C0"/>
        </w:rPr>
        <w:t>But : détecter la sensibilisation IgE-médiée, vis-à-vis d’un ou plusieurs allergènes. Les allergènes, en se fixant sur les IgE présents à la surface des mastocytes cutanés, entrainent la dégranulation mastocytaire, avec apparition d’une petite plaque d’urticaire prurigineuse.</w:t>
      </w:r>
    </w:p>
    <w:p w14:paraId="5927F9A6" w14:textId="77777777" w:rsidR="0028403E" w:rsidRDefault="0028403E" w:rsidP="00346B18">
      <w:pPr>
        <w:spacing w:line="276" w:lineRule="auto"/>
        <w:rPr>
          <w:color w:val="0070C0"/>
        </w:rPr>
      </w:pPr>
      <w:r>
        <w:rPr>
          <w:color w:val="0070C0"/>
        </w:rPr>
        <w:t>Technique :</w:t>
      </w:r>
    </w:p>
    <w:p w14:paraId="6DA138A8" w14:textId="77777777" w:rsidR="0028403E" w:rsidRDefault="0028403E">
      <w:pPr>
        <w:numPr>
          <w:ilvl w:val="0"/>
          <w:numId w:val="8"/>
        </w:numPr>
        <w:pBdr>
          <w:top w:val="nil"/>
          <w:left w:val="nil"/>
          <w:bottom w:val="nil"/>
          <w:right w:val="nil"/>
          <w:between w:val="nil"/>
        </w:pBdr>
        <w:spacing w:line="276" w:lineRule="auto"/>
        <w:ind w:left="284" w:hanging="142"/>
        <w:rPr>
          <w:color w:val="0070C0"/>
        </w:rPr>
      </w:pPr>
      <w:r>
        <w:rPr>
          <w:color w:val="0070C0"/>
        </w:rPr>
        <w:t>En zone de peau saine (face antérieure de l’avant-bras, du bras, voire du tiers supérieur du dos à l’aide d’une lancette ou d’une aiguille.</w:t>
      </w:r>
    </w:p>
    <w:p w14:paraId="5D077FB0" w14:textId="77777777" w:rsidR="0028403E" w:rsidRDefault="0028403E">
      <w:pPr>
        <w:numPr>
          <w:ilvl w:val="0"/>
          <w:numId w:val="8"/>
        </w:numPr>
        <w:pBdr>
          <w:top w:val="nil"/>
          <w:left w:val="nil"/>
          <w:bottom w:val="nil"/>
          <w:right w:val="nil"/>
          <w:between w:val="nil"/>
        </w:pBdr>
        <w:spacing w:line="276" w:lineRule="auto"/>
        <w:ind w:left="284" w:hanging="142"/>
        <w:rPr>
          <w:color w:val="0070C0"/>
        </w:rPr>
      </w:pPr>
      <w:r>
        <w:rPr>
          <w:color w:val="0070C0"/>
        </w:rPr>
        <w:t>Introduction épidermique d’une très faible quantité d’allergène purifié et standardisé.</w:t>
      </w:r>
    </w:p>
    <w:p w14:paraId="03BA6A1E" w14:textId="77777777" w:rsidR="0028403E" w:rsidRDefault="0028403E">
      <w:pPr>
        <w:numPr>
          <w:ilvl w:val="0"/>
          <w:numId w:val="8"/>
        </w:numPr>
        <w:pBdr>
          <w:top w:val="nil"/>
          <w:left w:val="nil"/>
          <w:bottom w:val="nil"/>
          <w:right w:val="nil"/>
          <w:between w:val="nil"/>
        </w:pBdr>
        <w:spacing w:line="276" w:lineRule="auto"/>
        <w:ind w:left="284" w:hanging="142"/>
        <w:rPr>
          <w:color w:val="0070C0"/>
        </w:rPr>
      </w:pPr>
      <w:r>
        <w:rPr>
          <w:color w:val="0070C0"/>
        </w:rPr>
        <w:t xml:space="preserve">Lecture de la réaction à 15-20 minutes : le test est positif si apparaissent localement une papule, un érythème et un prurit (plaque d’urticaire).  </w:t>
      </w:r>
    </w:p>
    <w:p w14:paraId="2185B8F2" w14:textId="77777777" w:rsidR="0028403E" w:rsidRDefault="0028403E" w:rsidP="00346B18">
      <w:pPr>
        <w:spacing w:line="276" w:lineRule="auto"/>
        <w:rPr>
          <w:color w:val="0070C0"/>
        </w:rPr>
      </w:pPr>
      <w:r>
        <w:rPr>
          <w:color w:val="0070C0"/>
        </w:rPr>
        <w:t>Résultats : test positif si le diamètre de la papule est supérieur de 3 mm par rapport au témoin négatif (habituellement diamètre nul). Résultats à interpréter en fonction du témoin positif (histamine) afin de vérifier la réactivité cutanée, et du témoin négatif (sérum physiologique) qui lui peut être positif en cas de dermographisme.</w:t>
      </w:r>
    </w:p>
    <w:p w14:paraId="2214F0A9" w14:textId="77777777" w:rsidR="0028403E" w:rsidRDefault="0028403E" w:rsidP="00346B18">
      <w:pPr>
        <w:spacing w:line="276" w:lineRule="auto"/>
        <w:rPr>
          <w:color w:val="0070C0"/>
        </w:rPr>
      </w:pPr>
      <w:r>
        <w:rPr>
          <w:color w:val="0070C0"/>
        </w:rPr>
        <w:t>Précautions : arrêt des antihistaminiques 5 jours, idéalement 7 jours, avant les tests cutanés, de l'</w:t>
      </w:r>
      <w:proofErr w:type="spellStart"/>
      <w:r>
        <w:rPr>
          <w:color w:val="0070C0"/>
        </w:rPr>
        <w:t>omalizumab</w:t>
      </w:r>
      <w:proofErr w:type="spellEnd"/>
      <w:r>
        <w:rPr>
          <w:color w:val="0070C0"/>
        </w:rPr>
        <w:t xml:space="preserve"> (immunothérapie) 6 semaines avant, et des dermocorticoïdes 3 semaines avant. </w:t>
      </w:r>
      <w:proofErr w:type="gramStart"/>
      <w:r>
        <w:rPr>
          <w:color w:val="0070C0"/>
        </w:rPr>
        <w:t>Par contre</w:t>
      </w:r>
      <w:proofErr w:type="gramEnd"/>
      <w:r>
        <w:rPr>
          <w:color w:val="0070C0"/>
        </w:rPr>
        <w:t>, les cures courtes de corticoïdes oraux ne diminuent pas la réactivité cutanée (prednisone 30 mg/j pendant 7 jours).</w:t>
      </w:r>
    </w:p>
    <w:p w14:paraId="18614795" w14:textId="77777777" w:rsidR="0028403E" w:rsidRDefault="0028403E" w:rsidP="00346B18">
      <w:pPr>
        <w:spacing w:line="276" w:lineRule="auto"/>
        <w:rPr>
          <w:color w:val="0070C0"/>
        </w:rPr>
      </w:pPr>
      <w:r>
        <w:rPr>
          <w:color w:val="0070C0"/>
        </w:rPr>
        <w:t>Effets secondaires :</w:t>
      </w:r>
    </w:p>
    <w:p w14:paraId="6703DDD8" w14:textId="77777777" w:rsidR="0028403E" w:rsidRDefault="0028403E">
      <w:pPr>
        <w:numPr>
          <w:ilvl w:val="0"/>
          <w:numId w:val="9"/>
        </w:numPr>
        <w:pBdr>
          <w:top w:val="nil"/>
          <w:left w:val="nil"/>
          <w:bottom w:val="nil"/>
          <w:right w:val="nil"/>
          <w:between w:val="nil"/>
        </w:pBdr>
        <w:spacing w:line="276" w:lineRule="auto"/>
        <w:ind w:left="284" w:hanging="142"/>
        <w:rPr>
          <w:color w:val="0070C0"/>
        </w:rPr>
      </w:pPr>
      <w:r>
        <w:rPr>
          <w:color w:val="0070C0"/>
        </w:rPr>
        <w:t>Très rarement réaction locale étendue, urticaire généralisée, réaction syndromique (rhinite, asthme).</w:t>
      </w:r>
    </w:p>
    <w:p w14:paraId="1A628296" w14:textId="77777777" w:rsidR="0028403E" w:rsidRDefault="0028403E">
      <w:pPr>
        <w:numPr>
          <w:ilvl w:val="0"/>
          <w:numId w:val="9"/>
        </w:numPr>
        <w:pBdr>
          <w:top w:val="nil"/>
          <w:left w:val="nil"/>
          <w:bottom w:val="nil"/>
          <w:right w:val="nil"/>
          <w:between w:val="nil"/>
        </w:pBdr>
        <w:spacing w:line="276" w:lineRule="auto"/>
        <w:ind w:left="284" w:hanging="142"/>
        <w:rPr>
          <w:color w:val="0070C0"/>
        </w:rPr>
      </w:pPr>
      <w:r>
        <w:rPr>
          <w:color w:val="0070C0"/>
        </w:rPr>
        <w:t>Exceptionnellement réactions anaphylactiques (surtout avec médicaments).</w:t>
      </w:r>
    </w:p>
    <w:p w14:paraId="5038632C" w14:textId="77777777" w:rsidR="0028403E" w:rsidRDefault="0028403E" w:rsidP="00346B18">
      <w:pPr>
        <w:spacing w:line="276" w:lineRule="auto"/>
        <w:rPr>
          <w:color w:val="0070C0"/>
        </w:rPr>
      </w:pPr>
      <w:r>
        <w:rPr>
          <w:color w:val="0070C0"/>
        </w:rPr>
        <w:t>Les tests cutanés doivent donc toujours être effectués sous surveillance médicale.</w:t>
      </w:r>
    </w:p>
    <w:p w14:paraId="1E416F0B" w14:textId="77777777" w:rsidR="0028403E" w:rsidRDefault="0028403E" w:rsidP="00346B18">
      <w:pPr>
        <w:spacing w:line="276" w:lineRule="auto"/>
        <w:rPr>
          <w:color w:val="0070C0"/>
        </w:rPr>
      </w:pPr>
    </w:p>
    <w:p w14:paraId="4F4DCD97" w14:textId="77777777" w:rsidR="0028403E" w:rsidRPr="002A6DAC" w:rsidRDefault="0028403E" w:rsidP="002A6DAC">
      <w:pPr>
        <w:pStyle w:val="lgende"/>
        <w:jc w:val="center"/>
        <w:rPr>
          <w:color w:val="0070C0"/>
        </w:rPr>
      </w:pPr>
      <w:r w:rsidRPr="002A6DAC">
        <w:rPr>
          <w:color w:val="0070C0"/>
        </w:rPr>
        <w:lastRenderedPageBreak/>
        <w:t xml:space="preserve">Figure 4 : </w:t>
      </w:r>
      <w:proofErr w:type="spellStart"/>
      <w:r w:rsidRPr="002A6DAC">
        <w:rPr>
          <w:color w:val="0070C0"/>
        </w:rPr>
        <w:t>Prick</w:t>
      </w:r>
      <w:proofErr w:type="spellEnd"/>
      <w:r w:rsidRPr="002A6DAC">
        <w:rPr>
          <w:color w:val="0070C0"/>
        </w:rPr>
        <w:t xml:space="preserve"> tests.</w:t>
      </w:r>
    </w:p>
    <w:p w14:paraId="76D4F677" w14:textId="77777777" w:rsidR="0028403E" w:rsidRDefault="0028403E" w:rsidP="00346B18">
      <w:pPr>
        <w:spacing w:before="120" w:line="276" w:lineRule="auto"/>
        <w:jc w:val="center"/>
        <w:rPr>
          <w:color w:val="0070C0"/>
        </w:rPr>
      </w:pPr>
      <w:r>
        <w:rPr>
          <w:noProof/>
          <w:color w:val="0070C0"/>
        </w:rPr>
        <w:drawing>
          <wp:inline distT="0" distB="0" distL="0" distR="0" wp14:anchorId="727BCDB5" wp14:editId="128F94D7">
            <wp:extent cx="1937763" cy="2899916"/>
            <wp:effectExtent l="0" t="0" r="0" b="0"/>
            <wp:docPr id="1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5"/>
                    <a:srcRect/>
                    <a:stretch>
                      <a:fillRect/>
                    </a:stretch>
                  </pic:blipFill>
                  <pic:spPr>
                    <a:xfrm>
                      <a:off x="0" y="0"/>
                      <a:ext cx="1937763" cy="2899916"/>
                    </a:xfrm>
                    <a:prstGeom prst="rect">
                      <a:avLst/>
                    </a:prstGeom>
                    <a:ln/>
                  </pic:spPr>
                </pic:pic>
              </a:graphicData>
            </a:graphic>
          </wp:inline>
        </w:drawing>
      </w:r>
    </w:p>
    <w:p w14:paraId="6300208D" w14:textId="77777777" w:rsidR="0028403E" w:rsidRDefault="0028403E" w:rsidP="00346B18">
      <w:pPr>
        <w:widowControl w:val="0"/>
        <w:spacing w:line="276" w:lineRule="auto"/>
        <w:rPr>
          <w:color w:val="0070C0"/>
          <w:u w:val="single"/>
        </w:rPr>
      </w:pPr>
    </w:p>
    <w:p w14:paraId="16ED9BAA" w14:textId="77777777" w:rsidR="0028403E" w:rsidRDefault="0028403E" w:rsidP="002A6DAC">
      <w:pPr>
        <w:pStyle w:val="Titre2"/>
      </w:pPr>
      <w:r>
        <w:t>Dosage des IgE spécifiques (sang)</w:t>
      </w:r>
    </w:p>
    <w:p w14:paraId="34798573" w14:textId="77777777" w:rsidR="0028403E" w:rsidRDefault="0028403E" w:rsidP="00346B18">
      <w:pPr>
        <w:spacing w:line="276" w:lineRule="auto"/>
        <w:rPr>
          <w:color w:val="0070C0"/>
        </w:rPr>
      </w:pPr>
      <w:r>
        <w:rPr>
          <w:color w:val="0070C0"/>
        </w:rPr>
        <w:t>- IgE spécifiques d’une source allergénique entière (extrait complet) ou d’une protéine allergénique précise (allergène moléculaire) parmi toutes les protéines de la source allergénique.</w:t>
      </w:r>
    </w:p>
    <w:p w14:paraId="35016B90" w14:textId="77777777" w:rsidR="0028403E" w:rsidRDefault="0028403E" w:rsidP="00346B18">
      <w:pPr>
        <w:spacing w:line="276" w:lineRule="auto"/>
        <w:rPr>
          <w:color w:val="0070C0"/>
        </w:rPr>
      </w:pPr>
      <w:r>
        <w:rPr>
          <w:color w:val="0070C0"/>
        </w:rPr>
        <w:t xml:space="preserve">- Méthode </w:t>
      </w:r>
      <w:proofErr w:type="spellStart"/>
      <w:r>
        <w:rPr>
          <w:color w:val="0070C0"/>
        </w:rPr>
        <w:t>immuno</w:t>
      </w:r>
      <w:proofErr w:type="spellEnd"/>
      <w:r>
        <w:rPr>
          <w:color w:val="0070C0"/>
        </w:rPr>
        <w:t xml:space="preserve">-enzymatique (ELISA), en </w:t>
      </w:r>
      <w:proofErr w:type="spellStart"/>
      <w:r>
        <w:rPr>
          <w:color w:val="0070C0"/>
        </w:rPr>
        <w:t>immuno-fluorescence</w:t>
      </w:r>
      <w:proofErr w:type="spellEnd"/>
      <w:r>
        <w:rPr>
          <w:color w:val="0070C0"/>
        </w:rPr>
        <w:t xml:space="preserve"> ou en </w:t>
      </w:r>
      <w:proofErr w:type="spellStart"/>
      <w:r>
        <w:rPr>
          <w:color w:val="0070C0"/>
        </w:rPr>
        <w:t>immuno</w:t>
      </w:r>
      <w:proofErr w:type="spellEnd"/>
      <w:r>
        <w:rPr>
          <w:color w:val="0070C0"/>
        </w:rPr>
        <w:t>-chimioluminescence.</w:t>
      </w:r>
    </w:p>
    <w:p w14:paraId="1288448A" w14:textId="77777777" w:rsidR="0028403E" w:rsidRDefault="0028403E" w:rsidP="00346B18">
      <w:pPr>
        <w:spacing w:line="276" w:lineRule="auto"/>
        <w:rPr>
          <w:b/>
          <w:bCs/>
          <w:color w:val="0070C0"/>
        </w:rPr>
      </w:pPr>
    </w:p>
    <w:p w14:paraId="10BA11B7" w14:textId="77777777" w:rsidR="0028403E" w:rsidRDefault="0028403E" w:rsidP="00346B18">
      <w:pPr>
        <w:spacing w:line="276" w:lineRule="auto"/>
        <w:rPr>
          <w:color w:val="0070C0"/>
        </w:rPr>
      </w:pPr>
      <w:r>
        <w:rPr>
          <w:color w:val="0070C0"/>
        </w:rPr>
        <w:t xml:space="preserve">Les IgE spécifiques positifs témoignent de la sensibilisation aux allergènes, et ont une bonne corrélation avec les tests cutanés, dont ils peuvent être complémentaires.  </w:t>
      </w:r>
    </w:p>
    <w:p w14:paraId="4D465A11" w14:textId="77777777" w:rsidR="0028403E" w:rsidRDefault="0028403E" w:rsidP="00346B18">
      <w:pPr>
        <w:spacing w:line="276" w:lineRule="auto"/>
        <w:rPr>
          <w:color w:val="0070C0"/>
        </w:rPr>
      </w:pPr>
      <w:r>
        <w:rPr>
          <w:color w:val="0070C0"/>
        </w:rPr>
        <w:t xml:space="preserve">Ils sont dosés secondairement, en cas de discordance entre la clinique et les tests cutanés, et si les tests cutanés ne sont pas réalisables ou interprétables (SPLF 2021). </w:t>
      </w:r>
    </w:p>
    <w:p w14:paraId="1EFA2E0C" w14:textId="77777777" w:rsidR="0028403E" w:rsidRDefault="0028403E" w:rsidP="00346B18">
      <w:pPr>
        <w:widowControl w:val="0"/>
        <w:spacing w:line="276" w:lineRule="auto"/>
        <w:rPr>
          <w:color w:val="0070C0"/>
          <w:u w:val="single"/>
        </w:rPr>
      </w:pPr>
    </w:p>
    <w:p w14:paraId="7EC53D1A" w14:textId="77777777" w:rsidR="0028403E" w:rsidRDefault="0028403E" w:rsidP="002A6DAC">
      <w:pPr>
        <w:pStyle w:val="Titre2"/>
      </w:pPr>
      <w:r>
        <w:t>Tests multi-allergéniques d’orientation (sang)</w:t>
      </w:r>
    </w:p>
    <w:p w14:paraId="6FC5F7DE" w14:textId="77777777" w:rsidR="0028403E" w:rsidRDefault="0028403E" w:rsidP="00346B18">
      <w:pPr>
        <w:spacing w:line="276" w:lineRule="auto"/>
        <w:rPr>
          <w:color w:val="0070C0"/>
        </w:rPr>
      </w:pPr>
      <w:r>
        <w:rPr>
          <w:color w:val="0070C0"/>
        </w:rPr>
        <w:t>Détection d’IgE spécifiques d’un panel d’allergènes le plus souvent rencontrés dans l’allergie de type immédiate (</w:t>
      </w:r>
      <w:proofErr w:type="spellStart"/>
      <w:r>
        <w:rPr>
          <w:color w:val="0070C0"/>
        </w:rPr>
        <w:t>Phadiatop</w:t>
      </w:r>
      <w:proofErr w:type="spellEnd"/>
      <w:r>
        <w:rPr>
          <w:color w:val="0070C0"/>
        </w:rPr>
        <w:t xml:space="preserve">®, </w:t>
      </w:r>
      <w:proofErr w:type="spellStart"/>
      <w:r>
        <w:rPr>
          <w:color w:val="0070C0"/>
        </w:rPr>
        <w:t>Alatop</w:t>
      </w:r>
      <w:proofErr w:type="spellEnd"/>
      <w:r>
        <w:rPr>
          <w:color w:val="0070C0"/>
        </w:rPr>
        <w:t xml:space="preserve">®, </w:t>
      </w:r>
      <w:proofErr w:type="spellStart"/>
      <w:r>
        <w:rPr>
          <w:color w:val="0070C0"/>
        </w:rPr>
        <w:t>Allergyscreen</w:t>
      </w:r>
      <w:proofErr w:type="spellEnd"/>
      <w:r>
        <w:rPr>
          <w:color w:val="0070C0"/>
        </w:rPr>
        <w:t xml:space="preserve">®). </w:t>
      </w:r>
      <w:r>
        <w:rPr>
          <w:b/>
          <w:bCs/>
          <w:color w:val="0070C0"/>
        </w:rPr>
        <w:t>Peu d’indications pour le pneumo-allergologue</w:t>
      </w:r>
      <w:r>
        <w:rPr>
          <w:color w:val="0070C0"/>
        </w:rPr>
        <w:t>. Mais ils sont cependant utiles et indiqués en première intention pour le non-allergologue en cas de suspicion clinique d’allergie respiratoire.</w:t>
      </w:r>
    </w:p>
    <w:p w14:paraId="18C2EF5F" w14:textId="77777777" w:rsidR="0028403E" w:rsidRDefault="0028403E" w:rsidP="00346B18">
      <w:pPr>
        <w:spacing w:line="276" w:lineRule="auto"/>
        <w:rPr>
          <w:color w:val="0070C0"/>
        </w:rPr>
      </w:pPr>
      <w:r>
        <w:rPr>
          <w:color w:val="0070C0"/>
        </w:rPr>
        <w:t>La réponse est qualitative (positif ou négatif) :</w:t>
      </w:r>
    </w:p>
    <w:p w14:paraId="0965BC66" w14:textId="77777777" w:rsidR="0028403E" w:rsidRDefault="0028403E" w:rsidP="00346B18">
      <w:pPr>
        <w:pBdr>
          <w:top w:val="nil"/>
          <w:left w:val="nil"/>
          <w:bottom w:val="nil"/>
          <w:right w:val="nil"/>
          <w:between w:val="nil"/>
        </w:pBdr>
        <w:spacing w:line="276" w:lineRule="auto"/>
        <w:jc w:val="left"/>
        <w:rPr>
          <w:color w:val="0070C0"/>
        </w:rPr>
      </w:pPr>
      <w:r>
        <w:rPr>
          <w:color w:val="0070C0"/>
        </w:rPr>
        <w:t>- Leur positivité démontre la sensibilisation à un des allergènes du panel testé.</w:t>
      </w:r>
    </w:p>
    <w:p w14:paraId="1EF940F7" w14:textId="77777777" w:rsidR="0028403E" w:rsidRDefault="0028403E" w:rsidP="00346B18">
      <w:pPr>
        <w:pBdr>
          <w:top w:val="nil"/>
          <w:left w:val="nil"/>
          <w:bottom w:val="nil"/>
          <w:right w:val="nil"/>
          <w:between w:val="nil"/>
        </w:pBdr>
        <w:spacing w:line="276" w:lineRule="auto"/>
        <w:jc w:val="left"/>
        <w:rPr>
          <w:color w:val="0070C0"/>
        </w:rPr>
      </w:pPr>
      <w:r>
        <w:rPr>
          <w:color w:val="0070C0"/>
        </w:rPr>
        <w:t>- Ils permettent de dépister une sensibilisation IgE avec une très bonne sensibilité (&gt; 90 %) et une bonne VPN et VPP.</w:t>
      </w:r>
    </w:p>
    <w:p w14:paraId="5B3E0823" w14:textId="77777777" w:rsidR="0028403E" w:rsidRDefault="0028403E" w:rsidP="00346B18">
      <w:pPr>
        <w:spacing w:line="276" w:lineRule="auto"/>
        <w:rPr>
          <w:b/>
          <w:bCs/>
        </w:rPr>
      </w:pPr>
    </w:p>
    <w:p w14:paraId="75CB20B2" w14:textId="77777777" w:rsidR="0028403E" w:rsidRDefault="0028403E" w:rsidP="002A6DAC">
      <w:pPr>
        <w:pStyle w:val="Titre2"/>
      </w:pPr>
      <w:r>
        <w:t>Test de provocation - TP (diagnostic de certitude)</w:t>
      </w:r>
    </w:p>
    <w:p w14:paraId="0CB241C8" w14:textId="77777777" w:rsidR="0028403E" w:rsidRDefault="0028403E" w:rsidP="00346B18">
      <w:pPr>
        <w:spacing w:line="276" w:lineRule="auto"/>
      </w:pPr>
      <w:r>
        <w:t>Les TP comportent des risques et ont des indications très précises et spécialisées.</w:t>
      </w:r>
    </w:p>
    <w:p w14:paraId="2D924589" w14:textId="77777777" w:rsidR="0028403E" w:rsidRDefault="0028403E" w:rsidP="00346B18">
      <w:pPr>
        <w:spacing w:line="276" w:lineRule="auto"/>
      </w:pPr>
      <w:r>
        <w:lastRenderedPageBreak/>
        <w:t xml:space="preserve">Ils ne sont pratiqués que dans certaines circonstances cliniques où le doute diagnostique persiste après le bilan de première intention, et où le résultat conditionne et modifie l’attitude thérapeutique (+++). </w:t>
      </w:r>
    </w:p>
    <w:p w14:paraId="5F82753B" w14:textId="77777777" w:rsidR="0028403E" w:rsidRDefault="0028403E" w:rsidP="00346B18">
      <w:pPr>
        <w:spacing w:line="276" w:lineRule="auto"/>
      </w:pPr>
      <w:r>
        <w:t>Indications :</w:t>
      </w:r>
    </w:p>
    <w:p w14:paraId="2AD837D2" w14:textId="77777777" w:rsidR="0028403E" w:rsidRDefault="0028403E" w:rsidP="00346B18">
      <w:pPr>
        <w:spacing w:line="276" w:lineRule="auto"/>
      </w:pPr>
      <w:r>
        <w:t>- Les indications principales sont les allergies alimentaires (voie orale), médicamenteuses (voie orale, injectable, ou nasale), et certaines allergies professionnelles (en particulier la rhinite et/ou l’asthme, avec test de provocation nasal et/ou bronchique, chez des patients ayant un asthme contrôlé et un VEMS &gt; 70 %).</w:t>
      </w:r>
    </w:p>
    <w:p w14:paraId="43E22F88" w14:textId="77777777" w:rsidR="0028403E" w:rsidRDefault="0028403E" w:rsidP="00346B18">
      <w:pPr>
        <w:spacing w:line="276" w:lineRule="auto"/>
      </w:pPr>
    </w:p>
    <w:p w14:paraId="57464FBE" w14:textId="77777777" w:rsidR="0028403E" w:rsidRDefault="0028403E" w:rsidP="00346B18">
      <w:pPr>
        <w:spacing w:line="276" w:lineRule="auto"/>
      </w:pPr>
      <w:r>
        <w:t>Technique :</w:t>
      </w:r>
    </w:p>
    <w:p w14:paraId="3F6E15F9" w14:textId="77777777" w:rsidR="0028403E" w:rsidRDefault="0028403E" w:rsidP="00346B18">
      <w:pPr>
        <w:spacing w:line="276" w:lineRule="auto"/>
      </w:pPr>
      <w:r>
        <w:t>- En milieu hospitalier spécialisé, sous surveillance étroite, avec chariot d’urgence à proximité.</w:t>
      </w:r>
    </w:p>
    <w:p w14:paraId="7D4DC526" w14:textId="77777777" w:rsidR="0028403E" w:rsidRDefault="0028403E" w:rsidP="00346B18">
      <w:pPr>
        <w:spacing w:line="276" w:lineRule="auto"/>
      </w:pPr>
      <w:r>
        <w:t>- Administration de doses croissantes d’un allergène ou d’un médicament.</w:t>
      </w:r>
    </w:p>
    <w:p w14:paraId="2B913EE3" w14:textId="77777777" w:rsidR="0028403E" w:rsidRDefault="0028403E" w:rsidP="00346B18">
      <w:pPr>
        <w:spacing w:line="276" w:lineRule="auto"/>
      </w:pPr>
    </w:p>
    <w:p w14:paraId="7E265C82" w14:textId="77777777" w:rsidR="0028403E" w:rsidRDefault="0028403E" w:rsidP="00346B18">
      <w:pPr>
        <w:spacing w:line="276" w:lineRule="auto"/>
      </w:pPr>
      <w:r>
        <w:t>Résultats :</w:t>
      </w:r>
    </w:p>
    <w:p w14:paraId="20B7E376" w14:textId="77777777" w:rsidR="0028403E" w:rsidRDefault="0028403E" w:rsidP="00346B18">
      <w:pPr>
        <w:spacing w:line="276" w:lineRule="auto"/>
      </w:pPr>
      <w:r>
        <w:t>- La survenue de symptômes objectifs au cours du test permet le diagnostic.</w:t>
      </w:r>
    </w:p>
    <w:p w14:paraId="499DDFA3" w14:textId="77777777" w:rsidR="0028403E" w:rsidRDefault="0028403E" w:rsidP="00346B18">
      <w:pPr>
        <w:spacing w:line="276" w:lineRule="auto"/>
      </w:pPr>
    </w:p>
    <w:p w14:paraId="48994BC7" w14:textId="77777777" w:rsidR="0028403E" w:rsidRDefault="0028403E" w:rsidP="00346B18">
      <w:pPr>
        <w:spacing w:line="276" w:lineRule="auto"/>
      </w:pPr>
      <w:r>
        <w:t>Contre-indications :</w:t>
      </w:r>
    </w:p>
    <w:p w14:paraId="3BFCE9C9" w14:textId="77777777" w:rsidR="0028403E" w:rsidRDefault="0028403E" w:rsidP="00346B18">
      <w:pPr>
        <w:spacing w:line="276" w:lineRule="auto"/>
      </w:pPr>
      <w:r>
        <w:t>- Prise de bêtabloquants (bloque l’effet de l’adrénaline en cas de besoin) dans le cadre de suspicion d’hypersensibilité immédiate.</w:t>
      </w:r>
    </w:p>
    <w:p w14:paraId="70A18B59" w14:textId="77777777" w:rsidR="0028403E" w:rsidRDefault="0028403E" w:rsidP="00346B18">
      <w:pPr>
        <w:spacing w:line="276" w:lineRule="auto"/>
      </w:pPr>
      <w:r>
        <w:t>- Grossesse.</w:t>
      </w:r>
    </w:p>
    <w:p w14:paraId="006BD28B" w14:textId="77777777" w:rsidR="0028403E" w:rsidRDefault="0028403E" w:rsidP="00346B18">
      <w:pPr>
        <w:spacing w:line="276" w:lineRule="auto"/>
      </w:pPr>
      <w:r>
        <w:t xml:space="preserve">- Maladie cardio-vasculaire et </w:t>
      </w:r>
      <w:proofErr w:type="gramStart"/>
      <w:r>
        <w:t>asthme non contrôlés</w:t>
      </w:r>
      <w:proofErr w:type="gramEnd"/>
      <w:r>
        <w:t>.</w:t>
      </w:r>
    </w:p>
    <w:p w14:paraId="4378BFB0" w14:textId="77777777" w:rsidR="0028403E" w:rsidRDefault="0028403E" w:rsidP="00346B18">
      <w:pPr>
        <w:spacing w:line="276" w:lineRule="auto"/>
      </w:pPr>
      <w:r>
        <w:t>- Précaution : arrêt préalable des antihistaminiques</w:t>
      </w:r>
      <w:r>
        <w:rPr>
          <w:color w:val="EE0000"/>
        </w:rPr>
        <w:t>.</w:t>
      </w:r>
    </w:p>
    <w:p w14:paraId="0A5EAEB0" w14:textId="77777777" w:rsidR="0028403E" w:rsidRDefault="0028403E" w:rsidP="00346B18">
      <w:pPr>
        <w:widowControl w:val="0"/>
        <w:spacing w:line="276" w:lineRule="auto"/>
        <w:rPr>
          <w:b/>
          <w:bCs/>
        </w:rPr>
      </w:pPr>
    </w:p>
    <w:p w14:paraId="6D605C84" w14:textId="77777777" w:rsidR="0028403E" w:rsidRDefault="0028403E" w:rsidP="002A6DAC">
      <w:pPr>
        <w:pStyle w:val="Titre2"/>
      </w:pPr>
      <w:r>
        <w:t>Autres éléments biologiques</w:t>
      </w:r>
    </w:p>
    <w:p w14:paraId="24CA3834" w14:textId="77777777" w:rsidR="0028403E" w:rsidRDefault="0028403E" w:rsidP="00346B18">
      <w:pPr>
        <w:widowControl w:val="0"/>
        <w:spacing w:line="276" w:lineRule="auto"/>
      </w:pPr>
      <w:r>
        <w:t>Aucun des tests suivants n’est indiqué pour le diagnostic d’allergie ou d’hypersensibilité :</w:t>
      </w:r>
    </w:p>
    <w:p w14:paraId="7CDAED4B" w14:textId="77777777" w:rsidR="0028403E" w:rsidRDefault="0028403E" w:rsidP="00346B18">
      <w:pPr>
        <w:spacing w:line="276" w:lineRule="auto"/>
      </w:pPr>
      <w:r>
        <w:t>- Dosage des IgE sériques totales.</w:t>
      </w:r>
    </w:p>
    <w:p w14:paraId="75CE3E3E" w14:textId="77777777" w:rsidR="0028403E" w:rsidRDefault="0028403E" w:rsidP="00346B18">
      <w:pPr>
        <w:spacing w:line="276" w:lineRule="auto"/>
      </w:pPr>
      <w:r>
        <w:t>- Dosage des IgG spécifiques.</w:t>
      </w:r>
    </w:p>
    <w:p w14:paraId="0436D53A" w14:textId="77777777" w:rsidR="0028403E" w:rsidRDefault="0028403E" w:rsidP="00346B18">
      <w:pPr>
        <w:spacing w:line="276" w:lineRule="auto"/>
      </w:pPr>
      <w:r>
        <w:t>- Dosage des éosinophiles périphériques.</w:t>
      </w:r>
    </w:p>
    <w:p w14:paraId="469EB98F" w14:textId="77777777" w:rsidR="0028403E" w:rsidRDefault="0028403E" w:rsidP="00346B18">
      <w:pPr>
        <w:spacing w:line="276" w:lineRule="auto"/>
      </w:pPr>
      <w:r>
        <w:t xml:space="preserve">- Dosage de la tryptase sérique (voir item 338) : son dosage permet de confirmer la </w:t>
      </w:r>
      <w:r>
        <w:rPr>
          <w:b/>
          <w:bCs/>
        </w:rPr>
        <w:t>dégranulation mastocytaire caractéristique de l’anaphylaxie, qu’elle soit d’origine allergique (IgE-médiée) ou non allergique (activation directe du mastocyte, de mécanisme non immunologique)</w:t>
      </w:r>
      <w:r>
        <w:t xml:space="preserve">. </w:t>
      </w:r>
    </w:p>
    <w:p w14:paraId="52417239" w14:textId="77777777" w:rsidR="0028403E" w:rsidRDefault="0028403E" w:rsidP="00346B18">
      <w:pPr>
        <w:spacing w:line="276" w:lineRule="auto"/>
      </w:pPr>
    </w:p>
    <w:p w14:paraId="144E56E5" w14:textId="59C69E53" w:rsidR="0028403E" w:rsidRDefault="0028403E" w:rsidP="002A6DAC">
      <w:pPr>
        <w:pStyle w:val="titredepartie"/>
      </w:pPr>
      <w:r>
        <w:t>CONNAISSANCE + : ALLERGIES AUTRES QUE RESPIRATOIRES</w:t>
      </w:r>
      <w:r>
        <w:tab/>
      </w:r>
    </w:p>
    <w:p w14:paraId="1C684EF5" w14:textId="1C4F4A98" w:rsidR="0028403E" w:rsidRDefault="0028403E">
      <w:pPr>
        <w:pStyle w:val="titredesous-partie"/>
        <w:numPr>
          <w:ilvl w:val="3"/>
          <w:numId w:val="6"/>
        </w:numPr>
        <w:ind w:left="426" w:hanging="284"/>
      </w:pPr>
      <w:r>
        <w:t xml:space="preserve">Diagnostic de la conjonctivite allergique </w:t>
      </w:r>
    </w:p>
    <w:p w14:paraId="68A9D695" w14:textId="77777777" w:rsidR="0028403E" w:rsidRDefault="0028403E" w:rsidP="00346B18">
      <w:pPr>
        <w:widowControl w:val="0"/>
        <w:spacing w:line="276" w:lineRule="auto"/>
      </w:pPr>
      <w:r>
        <w:t>Les conjonctivites allergiques sont une des plus fréquentes affections oculaires. Des symptômes oculaires sont présents chez 60 à 80 % des patients avec rhinites allergiques, et sont bilatéraux. Signes cliniques :</w:t>
      </w:r>
    </w:p>
    <w:p w14:paraId="5699FA34" w14:textId="77777777" w:rsidR="0028403E" w:rsidRDefault="0028403E" w:rsidP="00346B18">
      <w:pPr>
        <w:spacing w:line="276" w:lineRule="auto"/>
      </w:pPr>
      <w:r>
        <w:t>- Larmoiement.</w:t>
      </w:r>
    </w:p>
    <w:p w14:paraId="6C208231" w14:textId="77777777" w:rsidR="0028403E" w:rsidRDefault="0028403E" w:rsidP="00346B18">
      <w:pPr>
        <w:spacing w:line="276" w:lineRule="auto"/>
      </w:pPr>
      <w:r>
        <w:t>- Rougeurs.</w:t>
      </w:r>
    </w:p>
    <w:p w14:paraId="362F81D2" w14:textId="77777777" w:rsidR="0028403E" w:rsidRDefault="0028403E" w:rsidP="00346B18">
      <w:pPr>
        <w:spacing w:line="276" w:lineRule="auto"/>
      </w:pPr>
      <w:r>
        <w:t>- Démangeaisons.</w:t>
      </w:r>
    </w:p>
    <w:p w14:paraId="57941E0B" w14:textId="77777777" w:rsidR="0028403E" w:rsidRDefault="0028403E" w:rsidP="00346B18">
      <w:pPr>
        <w:spacing w:line="276" w:lineRule="auto"/>
      </w:pPr>
      <w:r>
        <w:t>- Caractère indolore (cf. item 83).</w:t>
      </w:r>
    </w:p>
    <w:p w14:paraId="68517425" w14:textId="77777777" w:rsidR="0028403E" w:rsidRDefault="0028403E" w:rsidP="00346B18">
      <w:pPr>
        <w:spacing w:line="276" w:lineRule="auto"/>
      </w:pPr>
    </w:p>
    <w:p w14:paraId="17E19BB7" w14:textId="77777777" w:rsidR="0028403E" w:rsidRDefault="0028403E" w:rsidP="00346B18">
      <w:pPr>
        <w:spacing w:line="276" w:lineRule="auto"/>
      </w:pPr>
      <w:r>
        <w:t>Le diagnostic repose sur :</w:t>
      </w:r>
    </w:p>
    <w:p w14:paraId="451F8104" w14:textId="77777777" w:rsidR="0028403E" w:rsidRDefault="0028403E" w:rsidP="00346B18">
      <w:pPr>
        <w:spacing w:line="276" w:lineRule="auto"/>
      </w:pPr>
      <w:r>
        <w:lastRenderedPageBreak/>
        <w:t>- Les signes cliniques</w:t>
      </w:r>
      <w:r>
        <w:rPr>
          <w:rFonts w:ascii="Arial" w:eastAsia="Arial" w:hAnsi="Arial" w:cs="Arial"/>
        </w:rPr>
        <w:t> </w:t>
      </w:r>
      <w:r>
        <w:t>: ils apparaissent immédiatement après le contact avec l’allergène.</w:t>
      </w:r>
    </w:p>
    <w:p w14:paraId="64A53F82" w14:textId="77777777" w:rsidR="0028403E" w:rsidRDefault="0028403E" w:rsidP="00346B18">
      <w:pPr>
        <w:spacing w:line="276" w:lineRule="auto"/>
      </w:pPr>
      <w:r>
        <w:t>- La présence d’une sensibilisation IgE-médiée (tests cutanés positifs ou IgE spécifiques).</w:t>
      </w:r>
    </w:p>
    <w:p w14:paraId="32823BE3" w14:textId="77777777" w:rsidR="0028403E" w:rsidRDefault="0028403E" w:rsidP="00346B18">
      <w:pPr>
        <w:spacing w:line="276" w:lineRule="auto"/>
      </w:pPr>
      <w:r>
        <w:t>- Le test de provocation conjonctival est rarement fait en pratique clinique, il est plutôt réservé à la recherche.</w:t>
      </w:r>
    </w:p>
    <w:p w14:paraId="49404F40" w14:textId="77777777" w:rsidR="0028403E" w:rsidRDefault="0028403E" w:rsidP="00346B18">
      <w:pPr>
        <w:widowControl w:val="0"/>
        <w:spacing w:line="276" w:lineRule="auto"/>
        <w:rPr>
          <w:b/>
          <w:bCs/>
        </w:rPr>
      </w:pPr>
    </w:p>
    <w:p w14:paraId="432D37A5" w14:textId="5D8ECD9C" w:rsidR="0028403E" w:rsidRDefault="0028403E">
      <w:pPr>
        <w:pStyle w:val="titredesous-partie"/>
        <w:numPr>
          <w:ilvl w:val="3"/>
          <w:numId w:val="6"/>
        </w:numPr>
        <w:ind w:left="426" w:hanging="284"/>
      </w:pPr>
      <w:r>
        <w:t xml:space="preserve">Diagnostic de l’allergie alimentaire </w:t>
      </w:r>
    </w:p>
    <w:p w14:paraId="38BC9646" w14:textId="24F788A5" w:rsidR="0028403E" w:rsidRDefault="002A6DAC" w:rsidP="00346B18">
      <w:pPr>
        <w:widowControl w:val="0"/>
        <w:spacing w:line="276" w:lineRule="auto"/>
        <w:rPr>
          <w:color w:val="0070C0"/>
        </w:rPr>
      </w:pPr>
      <w:r>
        <w:rPr>
          <w:noProof/>
        </w:rPr>
        <w:drawing>
          <wp:anchor distT="0" distB="0" distL="114300" distR="114300" simplePos="0" relativeHeight="251780096" behindDoc="0" locked="0" layoutInCell="1" hidden="0" allowOverlap="1" wp14:anchorId="294DA7CA" wp14:editId="112A0884">
            <wp:simplePos x="0" y="0"/>
            <wp:positionH relativeFrom="column">
              <wp:posOffset>-264160</wp:posOffset>
            </wp:positionH>
            <wp:positionV relativeFrom="paragraph">
              <wp:posOffset>13807</wp:posOffset>
            </wp:positionV>
            <wp:extent cx="153670" cy="137160"/>
            <wp:effectExtent l="0" t="0" r="0" b="0"/>
            <wp:wrapSquare wrapText="bothSides" distT="0" distB="0" distL="114300" distR="11430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28403E">
        <w:rPr>
          <w:color w:val="0070C0"/>
        </w:rPr>
        <w:t>Le diagnostic d’allergie alimentaire IgE-dépendante se base sur :</w:t>
      </w:r>
    </w:p>
    <w:p w14:paraId="35DDD365" w14:textId="77777777" w:rsidR="0028403E" w:rsidRDefault="0028403E" w:rsidP="00346B18">
      <w:pPr>
        <w:widowControl w:val="0"/>
        <w:spacing w:line="276" w:lineRule="auto"/>
        <w:rPr>
          <w:color w:val="0070C0"/>
        </w:rPr>
      </w:pPr>
      <w:r>
        <w:rPr>
          <w:color w:val="0070C0"/>
        </w:rPr>
        <w:t>- L’anamnèse (histoire clinique compatible avec une réaction immédiate, IgE médiée).</w:t>
      </w:r>
    </w:p>
    <w:p w14:paraId="1A03ACF9" w14:textId="77777777" w:rsidR="0028403E" w:rsidRDefault="0028403E" w:rsidP="00346B18">
      <w:pPr>
        <w:widowControl w:val="0"/>
        <w:spacing w:line="276" w:lineRule="auto"/>
        <w:rPr>
          <w:color w:val="0070C0"/>
        </w:rPr>
      </w:pPr>
      <w:r>
        <w:rPr>
          <w:color w:val="0070C0"/>
        </w:rPr>
        <w:t>- L’enquête catégorielle alimentaire.</w:t>
      </w:r>
    </w:p>
    <w:p w14:paraId="1A0F99C9" w14:textId="77777777" w:rsidR="0028403E" w:rsidRDefault="0028403E" w:rsidP="00346B18">
      <w:pPr>
        <w:widowControl w:val="0"/>
        <w:spacing w:line="276" w:lineRule="auto"/>
        <w:rPr>
          <w:color w:val="0070C0"/>
        </w:rPr>
      </w:pPr>
      <w:r>
        <w:rPr>
          <w:color w:val="0070C0"/>
        </w:rPr>
        <w:t>- Les tests cutanés (</w:t>
      </w:r>
      <w:proofErr w:type="spellStart"/>
      <w:r>
        <w:rPr>
          <w:color w:val="0070C0"/>
        </w:rPr>
        <w:t>prick</w:t>
      </w:r>
      <w:proofErr w:type="spellEnd"/>
      <w:r>
        <w:rPr>
          <w:color w:val="0070C0"/>
        </w:rPr>
        <w:t xml:space="preserve">-tests) avec des extraits standardisés ou, plus souvent, avec l’aliment natif. </w:t>
      </w:r>
    </w:p>
    <w:p w14:paraId="638B78E0" w14:textId="77777777" w:rsidR="0028403E" w:rsidRDefault="0028403E">
      <w:pPr>
        <w:widowControl w:val="0"/>
        <w:numPr>
          <w:ilvl w:val="1"/>
          <w:numId w:val="10"/>
        </w:numPr>
        <w:spacing w:line="276" w:lineRule="auto"/>
        <w:ind w:left="284" w:hanging="142"/>
        <w:rPr>
          <w:color w:val="0070C0"/>
        </w:rPr>
      </w:pPr>
      <w:r>
        <w:rPr>
          <w:color w:val="0070C0"/>
        </w:rPr>
        <w:t>Un test négatif exclut généralement une allergie.</w:t>
      </w:r>
    </w:p>
    <w:p w14:paraId="78A926CD" w14:textId="77777777" w:rsidR="0028403E" w:rsidRDefault="0028403E">
      <w:pPr>
        <w:widowControl w:val="0"/>
        <w:numPr>
          <w:ilvl w:val="1"/>
          <w:numId w:val="10"/>
        </w:numPr>
        <w:spacing w:line="276" w:lineRule="auto"/>
        <w:ind w:left="284" w:hanging="142"/>
        <w:rPr>
          <w:color w:val="0070C0"/>
        </w:rPr>
      </w:pPr>
      <w:r>
        <w:rPr>
          <w:color w:val="0070C0"/>
        </w:rPr>
        <w:t>Un test positif indique une sensibilisation à l’allergène testé, à confronter avec la pertinence clinique.</w:t>
      </w:r>
    </w:p>
    <w:p w14:paraId="0C42893A" w14:textId="77777777" w:rsidR="0028403E" w:rsidRDefault="0028403E" w:rsidP="00346B18">
      <w:pPr>
        <w:widowControl w:val="0"/>
        <w:spacing w:line="276" w:lineRule="auto"/>
        <w:rPr>
          <w:color w:val="0070C0"/>
        </w:rPr>
      </w:pPr>
      <w:r>
        <w:rPr>
          <w:color w:val="0070C0"/>
        </w:rPr>
        <w:t>- Le dosage des IgE spécifiques en deuxième intention, d’extraits complets (allergènes sources) et d’allergènes moléculaires.</w:t>
      </w:r>
    </w:p>
    <w:p w14:paraId="6F972832" w14:textId="77777777" w:rsidR="0028403E" w:rsidRDefault="0028403E" w:rsidP="00346B18">
      <w:pPr>
        <w:widowControl w:val="0"/>
        <w:spacing w:line="276" w:lineRule="auto"/>
        <w:rPr>
          <w:color w:val="0070C0"/>
        </w:rPr>
      </w:pPr>
      <w:r>
        <w:rPr>
          <w:color w:val="0070C0"/>
        </w:rPr>
        <w:t>- Des tests d’activation des basophiles peuvent être réalisés dans des centres spécialisés pour compléter le bilan avant le test de provocation.</w:t>
      </w:r>
    </w:p>
    <w:p w14:paraId="14EDF3DD" w14:textId="77777777" w:rsidR="0028403E" w:rsidRDefault="0028403E" w:rsidP="00346B18">
      <w:pPr>
        <w:widowControl w:val="0"/>
        <w:spacing w:line="276" w:lineRule="auto"/>
        <w:rPr>
          <w:color w:val="0070C0"/>
        </w:rPr>
      </w:pPr>
      <w:r>
        <w:rPr>
          <w:color w:val="0070C0"/>
        </w:rPr>
        <w:t>- Un test de provocation, pour apporter, si nécessaire, la preuve de la responsabilité de l’aliment suspecté (gold standard). Le test de provocation peut être utile même pour déterminer le seuil de tolérance vis-à-vis d’un allergène, ou pour vérifier une éventuelle acquisition de tolérance voire l’absence d’une allergie (en cas de test négatif).</w:t>
      </w:r>
    </w:p>
    <w:p w14:paraId="07B115C4" w14:textId="77777777" w:rsidR="0028403E" w:rsidRDefault="0028403E" w:rsidP="00346B18">
      <w:pPr>
        <w:widowControl w:val="0"/>
        <w:spacing w:line="276" w:lineRule="auto"/>
        <w:rPr>
          <w:i/>
          <w:iCs/>
        </w:rPr>
      </w:pPr>
    </w:p>
    <w:p w14:paraId="2F9CC7B0" w14:textId="77777777" w:rsidR="0028403E" w:rsidRDefault="0028403E" w:rsidP="00346B18">
      <w:pPr>
        <w:widowControl w:val="0"/>
        <w:spacing w:line="276" w:lineRule="auto"/>
      </w:pPr>
      <w:r>
        <w:t xml:space="preserve">L’arachide (qui est une légumineuse) est l’aliment le plus fréquemment impliqué dans les réactions anaphylactiques sévères et responsables de décès. </w:t>
      </w:r>
    </w:p>
    <w:p w14:paraId="2CA5695B" w14:textId="22A2B8C3" w:rsidR="0028403E" w:rsidRDefault="002A6DAC" w:rsidP="00346B18">
      <w:pPr>
        <w:widowControl w:val="0"/>
        <w:spacing w:line="276" w:lineRule="auto"/>
        <w:rPr>
          <w:color w:val="0070C0"/>
        </w:rPr>
      </w:pPr>
      <w:r>
        <w:rPr>
          <w:noProof/>
        </w:rPr>
        <w:drawing>
          <wp:anchor distT="0" distB="0" distL="114300" distR="114300" simplePos="0" relativeHeight="251781120" behindDoc="0" locked="0" layoutInCell="1" hidden="0" allowOverlap="1" wp14:anchorId="3B04653C" wp14:editId="5B4FD267">
            <wp:simplePos x="0" y="0"/>
            <wp:positionH relativeFrom="column">
              <wp:posOffset>-260822</wp:posOffset>
            </wp:positionH>
            <wp:positionV relativeFrom="paragraph">
              <wp:posOffset>1905</wp:posOffset>
            </wp:positionV>
            <wp:extent cx="153670" cy="137160"/>
            <wp:effectExtent l="0" t="0" r="0" b="0"/>
            <wp:wrapSquare wrapText="bothSides" distT="0" distB="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28403E">
        <w:rPr>
          <w:color w:val="0070C0"/>
        </w:rPr>
        <w:t>- Prévalence de l’allergie à l’arachide dans la population générale : 1 %.</w:t>
      </w:r>
    </w:p>
    <w:p w14:paraId="60C7874C" w14:textId="77777777" w:rsidR="0028403E" w:rsidRDefault="0028403E" w:rsidP="00346B18">
      <w:pPr>
        <w:widowControl w:val="0"/>
        <w:spacing w:line="276" w:lineRule="auto"/>
        <w:rPr>
          <w:color w:val="0070C0"/>
        </w:rPr>
      </w:pPr>
      <w:r>
        <w:rPr>
          <w:color w:val="0070C0"/>
        </w:rPr>
        <w:t>- Allergie généralement persistante au cours de la vie du patient.</w:t>
      </w:r>
    </w:p>
    <w:p w14:paraId="619E5423" w14:textId="77777777" w:rsidR="0028403E" w:rsidRDefault="0028403E" w:rsidP="00346B18">
      <w:pPr>
        <w:widowControl w:val="0"/>
        <w:spacing w:line="276" w:lineRule="auto"/>
        <w:rPr>
          <w:b/>
          <w:bCs/>
          <w:color w:val="0070C0"/>
        </w:rPr>
      </w:pPr>
      <w:r>
        <w:rPr>
          <w:color w:val="0070C0"/>
        </w:rPr>
        <w:t xml:space="preserve">- Parfois associée à une allergie aux autres </w:t>
      </w:r>
      <w:r>
        <w:rPr>
          <w:b/>
          <w:bCs/>
          <w:color w:val="0070C0"/>
        </w:rPr>
        <w:t>légumineuses.</w:t>
      </w:r>
    </w:p>
    <w:p w14:paraId="120EA147" w14:textId="77777777" w:rsidR="0028403E" w:rsidRDefault="0028403E" w:rsidP="00346B18">
      <w:pPr>
        <w:widowControl w:val="0"/>
        <w:spacing w:line="276" w:lineRule="auto"/>
        <w:rPr>
          <w:color w:val="0070C0"/>
        </w:rPr>
      </w:pPr>
      <w:r>
        <w:rPr>
          <w:color w:val="0070C0"/>
        </w:rPr>
        <w:t>-</w:t>
      </w:r>
      <w:r>
        <w:rPr>
          <w:b/>
          <w:bCs/>
          <w:color w:val="0070C0"/>
        </w:rPr>
        <w:t xml:space="preserve"> </w:t>
      </w:r>
      <w:r>
        <w:rPr>
          <w:color w:val="0070C0"/>
        </w:rPr>
        <w:t xml:space="preserve">Fréquemment associé à une sensibilisation ou même à une allergie à des </w:t>
      </w:r>
      <w:r>
        <w:rPr>
          <w:b/>
          <w:bCs/>
          <w:color w:val="0070C0"/>
        </w:rPr>
        <w:t>fruits à coque</w:t>
      </w:r>
      <w:r>
        <w:rPr>
          <w:color w:val="0070C0"/>
        </w:rPr>
        <w:t xml:space="preserve"> (pistache, noix de Cajou essentiellement, noix</w:t>
      </w:r>
      <w:r>
        <w:t>,</w:t>
      </w:r>
      <w:r>
        <w:rPr>
          <w:color w:val="EE0000"/>
        </w:rPr>
        <w:t xml:space="preserve"> </w:t>
      </w:r>
      <w:r>
        <w:rPr>
          <w:color w:val="0070C0"/>
        </w:rPr>
        <w:t>noisette, amande…).</w:t>
      </w:r>
    </w:p>
    <w:p w14:paraId="564DDD1C" w14:textId="77777777" w:rsidR="0028403E" w:rsidRDefault="0028403E" w:rsidP="00346B18">
      <w:pPr>
        <w:spacing w:line="276" w:lineRule="auto"/>
        <w:rPr>
          <w:color w:val="0070C0"/>
        </w:rPr>
      </w:pPr>
    </w:p>
    <w:p w14:paraId="04285D7B" w14:textId="379FC963" w:rsidR="0028403E" w:rsidRDefault="0028403E">
      <w:pPr>
        <w:pStyle w:val="titredesous-partie"/>
        <w:numPr>
          <w:ilvl w:val="3"/>
          <w:numId w:val="6"/>
        </w:numPr>
        <w:ind w:left="426" w:hanging="284"/>
      </w:pPr>
      <w:r>
        <w:t xml:space="preserve">Les allergies croisées </w:t>
      </w:r>
    </w:p>
    <w:p w14:paraId="1B96F727" w14:textId="77777777" w:rsidR="0028403E" w:rsidRDefault="0028403E" w:rsidP="00346B18">
      <w:pPr>
        <w:spacing w:line="276" w:lineRule="auto"/>
        <w:rPr>
          <w:color w:val="0070C0"/>
        </w:rPr>
      </w:pPr>
      <w:r>
        <w:rPr>
          <w:color w:val="0070C0"/>
        </w:rPr>
        <w:t>Les allergies croisées entre allergènes respiratoires et alimentaires</w:t>
      </w:r>
      <w:r>
        <w:rPr>
          <w:color w:val="EE0000"/>
        </w:rPr>
        <w:t>,</w:t>
      </w:r>
      <w:r>
        <w:rPr>
          <w:color w:val="0070C0"/>
        </w:rPr>
        <w:t xml:space="preserve"> plus fréquentes chez l’adulte que chez l’enfant, s’expliquent par la reconnaissance par les IgE spécifiques d’un patient, d’allergènes similaires ou de forte homologie, présents dans des sources allergéniques distinctes. </w:t>
      </w:r>
    </w:p>
    <w:p w14:paraId="099440E1" w14:textId="77777777" w:rsidR="0028403E" w:rsidRDefault="0028403E" w:rsidP="00346B18">
      <w:pPr>
        <w:spacing w:line="276" w:lineRule="auto"/>
        <w:rPr>
          <w:color w:val="0070C0"/>
        </w:rPr>
      </w:pPr>
    </w:p>
    <w:p w14:paraId="1789A393" w14:textId="77777777" w:rsidR="0028403E" w:rsidRDefault="0028403E" w:rsidP="00346B18">
      <w:pPr>
        <w:spacing w:line="276" w:lineRule="auto"/>
        <w:rPr>
          <w:color w:val="0070C0"/>
        </w:rPr>
      </w:pPr>
      <w:r>
        <w:rPr>
          <w:color w:val="0070C0"/>
        </w:rPr>
        <w:t xml:space="preserve">En cas de réaction croisée entre les pollens et les aliments, on parle de syndrome d’allergie pollen-aliment (SAPA). </w:t>
      </w:r>
    </w:p>
    <w:p w14:paraId="1654FBD9" w14:textId="77777777" w:rsidR="0028403E" w:rsidRDefault="0028403E" w:rsidP="00346B18">
      <w:pPr>
        <w:spacing w:line="276" w:lineRule="auto"/>
        <w:rPr>
          <w:color w:val="0070C0"/>
        </w:rPr>
      </w:pPr>
      <w:r>
        <w:rPr>
          <w:color w:val="0070C0"/>
        </w:rPr>
        <w:t xml:space="preserve">Le </w:t>
      </w:r>
      <w:r>
        <w:rPr>
          <w:b/>
          <w:bCs/>
          <w:color w:val="0070C0"/>
        </w:rPr>
        <w:t>tableau clinique</w:t>
      </w:r>
      <w:r>
        <w:rPr>
          <w:color w:val="0070C0"/>
        </w:rPr>
        <w:t xml:space="preserve"> le plus fréquent des SAPA est celui d’un syndrome oral (œdème labial ou lingual prurit buccal ou pharyngé, érythème labial, lingual ou palatin), survenant très rapidement après la consommation d’un fruit ou légume cru/frais chez un patient ayant une allergie respiratoire pollinique. Par exemple : </w:t>
      </w:r>
    </w:p>
    <w:p w14:paraId="554E6535" w14:textId="77777777" w:rsidR="0028403E" w:rsidRDefault="0028403E" w:rsidP="00346B18">
      <w:pPr>
        <w:spacing w:line="276" w:lineRule="auto"/>
        <w:rPr>
          <w:color w:val="0070C0"/>
        </w:rPr>
      </w:pPr>
      <w:r>
        <w:rPr>
          <w:color w:val="0070C0"/>
        </w:rPr>
        <w:t>- Pollens de bouleau, pomme et autres fruits et légumes crus.</w:t>
      </w:r>
    </w:p>
    <w:p w14:paraId="3B8D96FE" w14:textId="77777777" w:rsidR="0028403E" w:rsidRDefault="0028403E" w:rsidP="00346B18">
      <w:pPr>
        <w:spacing w:line="276" w:lineRule="auto"/>
        <w:rPr>
          <w:color w:val="0070C0"/>
        </w:rPr>
      </w:pPr>
      <w:r>
        <w:rPr>
          <w:color w:val="0070C0"/>
        </w:rPr>
        <w:t>- Pollens de cyprès, pêche, agrume, pomme…</w:t>
      </w:r>
    </w:p>
    <w:p w14:paraId="41E667F6" w14:textId="77777777" w:rsidR="0028403E" w:rsidRDefault="0028403E" w:rsidP="00346B18">
      <w:pPr>
        <w:spacing w:line="276" w:lineRule="auto"/>
        <w:rPr>
          <w:color w:val="0070C0"/>
        </w:rPr>
      </w:pPr>
    </w:p>
    <w:p w14:paraId="3F2F3277" w14:textId="77777777" w:rsidR="0028403E" w:rsidRDefault="0028403E" w:rsidP="00346B18">
      <w:pPr>
        <w:spacing w:line="276" w:lineRule="auto"/>
        <w:rPr>
          <w:color w:val="0070C0"/>
        </w:rPr>
      </w:pPr>
      <w:r>
        <w:rPr>
          <w:color w:val="0070C0"/>
        </w:rPr>
        <w:lastRenderedPageBreak/>
        <w:t>Il y a également des réactions croisées entre invertébrés : acariens et crustacés (survenue d’une allergie à la crevette après sensibilisation préalable aux acariens par voie respiratoire).</w:t>
      </w:r>
    </w:p>
    <w:p w14:paraId="10AFE0DE" w14:textId="77777777" w:rsidR="0028403E" w:rsidRDefault="0028403E" w:rsidP="00346B18">
      <w:pPr>
        <w:spacing w:line="276" w:lineRule="auto"/>
        <w:rPr>
          <w:color w:val="0070C0"/>
        </w:rPr>
      </w:pPr>
    </w:p>
    <w:p w14:paraId="46524BC3" w14:textId="77777777" w:rsidR="0028403E" w:rsidRDefault="0028403E" w:rsidP="00346B18">
      <w:pPr>
        <w:spacing w:line="276" w:lineRule="auto"/>
        <w:rPr>
          <w:color w:val="0070C0"/>
        </w:rPr>
      </w:pPr>
      <w:r>
        <w:rPr>
          <w:color w:val="0070C0"/>
        </w:rPr>
        <w:t>Et d’autres réactions croisées : syndrome œuf-oiseau (apparition d’une allergie à l’œuf après sensibilisation préalable par voie respiratoire par les plumes ou les déjections d’oiseaux, les poulets typiquement), et armoise-épices.</w:t>
      </w:r>
    </w:p>
    <w:p w14:paraId="5E314AA2" w14:textId="77777777" w:rsidR="0028403E" w:rsidRDefault="0028403E" w:rsidP="00346B18">
      <w:pPr>
        <w:widowControl w:val="0"/>
        <w:spacing w:line="276" w:lineRule="auto"/>
        <w:rPr>
          <w:color w:val="0070C0"/>
        </w:rPr>
      </w:pPr>
    </w:p>
    <w:p w14:paraId="24091E0B" w14:textId="6965DAD0" w:rsidR="0028403E" w:rsidRDefault="0028403E">
      <w:pPr>
        <w:pStyle w:val="titredesous-partie"/>
        <w:numPr>
          <w:ilvl w:val="3"/>
          <w:numId w:val="6"/>
        </w:numPr>
        <w:ind w:left="426" w:hanging="284"/>
      </w:pPr>
      <w:r>
        <w:t xml:space="preserve">Diagnostic de l’allergie au venin d’hyménoptères </w:t>
      </w:r>
    </w:p>
    <w:p w14:paraId="0CD242C6" w14:textId="77777777" w:rsidR="0028403E" w:rsidRDefault="0028403E" w:rsidP="00346B18">
      <w:pPr>
        <w:spacing w:line="276" w:lineRule="auto"/>
        <w:rPr>
          <w:color w:val="0070C0"/>
        </w:rPr>
      </w:pPr>
      <w:r>
        <w:rPr>
          <w:color w:val="0070C0"/>
        </w:rPr>
        <w:t>Le diagnostic d’une réaction allergique après une piqûre d’hyménoptère repose sur :</w:t>
      </w:r>
    </w:p>
    <w:p w14:paraId="795850EF" w14:textId="77777777" w:rsidR="0028403E" w:rsidRDefault="0028403E" w:rsidP="00346B18">
      <w:pPr>
        <w:spacing w:line="276" w:lineRule="auto"/>
        <w:rPr>
          <w:color w:val="0070C0"/>
        </w:rPr>
      </w:pPr>
      <w:r>
        <w:rPr>
          <w:color w:val="0070C0"/>
        </w:rPr>
        <w:t>- L’anamnèse comprenant également les cofacteurs de gravité et les comorbidités, et l’identification de l’insecte.</w:t>
      </w:r>
    </w:p>
    <w:p w14:paraId="4C25EB11" w14:textId="77777777" w:rsidR="0028403E" w:rsidRDefault="0028403E" w:rsidP="00346B18">
      <w:pPr>
        <w:spacing w:line="276" w:lineRule="auto"/>
        <w:rPr>
          <w:color w:val="0070C0"/>
        </w:rPr>
      </w:pPr>
      <w:r>
        <w:rPr>
          <w:color w:val="0070C0"/>
        </w:rPr>
        <w:t>- Le type de réaction d’hypersensibilité immédiate et la chronologie des symptômes.</w:t>
      </w:r>
    </w:p>
    <w:p w14:paraId="65B7C9F5" w14:textId="77777777" w:rsidR="0028403E" w:rsidRDefault="0028403E" w:rsidP="00346B18">
      <w:pPr>
        <w:spacing w:line="276" w:lineRule="auto"/>
        <w:rPr>
          <w:color w:val="0070C0"/>
        </w:rPr>
      </w:pPr>
      <w:r>
        <w:rPr>
          <w:color w:val="0070C0"/>
        </w:rPr>
        <w:t xml:space="preserve">- Les tests cutanés : </w:t>
      </w:r>
      <w:proofErr w:type="spellStart"/>
      <w:r>
        <w:rPr>
          <w:color w:val="0070C0"/>
        </w:rPr>
        <w:t>prick</w:t>
      </w:r>
      <w:proofErr w:type="spellEnd"/>
      <w:r>
        <w:rPr>
          <w:color w:val="0070C0"/>
        </w:rPr>
        <w:t>-tests et tests intradermiques (IDR) aux venins d’hyménoptères.</w:t>
      </w:r>
    </w:p>
    <w:p w14:paraId="56CBB397" w14:textId="77777777" w:rsidR="0028403E" w:rsidRDefault="0028403E" w:rsidP="00346B18">
      <w:pPr>
        <w:spacing w:line="276" w:lineRule="auto"/>
        <w:rPr>
          <w:color w:val="0070C0"/>
        </w:rPr>
      </w:pPr>
      <w:r>
        <w:rPr>
          <w:color w:val="0070C0"/>
        </w:rPr>
        <w:t>- Les tests biologiques : dosage des IgE spécifiques (extraits complets et allergènes moléculaires).</w:t>
      </w:r>
    </w:p>
    <w:p w14:paraId="5FB57DCC" w14:textId="77777777" w:rsidR="0028403E" w:rsidRDefault="0028403E" w:rsidP="00346B18">
      <w:pPr>
        <w:spacing w:line="276" w:lineRule="auto"/>
        <w:rPr>
          <w:color w:val="0070C0"/>
        </w:rPr>
      </w:pPr>
      <w:r>
        <w:rPr>
          <w:color w:val="0070C0"/>
        </w:rPr>
        <w:t>- Parfois complétés par des tests d’activations de basophiles ou des tests CAP- inhibition.</w:t>
      </w:r>
    </w:p>
    <w:p w14:paraId="50A7E20F" w14:textId="77777777" w:rsidR="0028403E" w:rsidRDefault="0028403E" w:rsidP="00346B18">
      <w:pPr>
        <w:spacing w:line="276" w:lineRule="auto"/>
        <w:rPr>
          <w:b/>
          <w:bCs/>
        </w:rPr>
      </w:pPr>
    </w:p>
    <w:p w14:paraId="14418989" w14:textId="4D5C0547" w:rsidR="0028403E" w:rsidRDefault="0028403E" w:rsidP="002A6DAC">
      <w:pPr>
        <w:pStyle w:val="titredepartie"/>
      </w:pPr>
      <w:r>
        <w:t>TRAITEMENTS ET PRISE EN CHARGE</w:t>
      </w:r>
    </w:p>
    <w:p w14:paraId="31460FD5" w14:textId="5CA0738C" w:rsidR="0028403E" w:rsidRDefault="0028403E">
      <w:pPr>
        <w:pStyle w:val="titredesous-partie"/>
        <w:numPr>
          <w:ilvl w:val="6"/>
          <w:numId w:val="6"/>
        </w:numPr>
        <w:ind w:left="426" w:hanging="284"/>
      </w:pPr>
      <w:r>
        <w:t xml:space="preserve">Les objectifs </w:t>
      </w:r>
    </w:p>
    <w:p w14:paraId="67DA27A8" w14:textId="77777777" w:rsidR="0028403E" w:rsidRDefault="0028403E" w:rsidP="00346B18">
      <w:pPr>
        <w:spacing w:line="276" w:lineRule="auto"/>
      </w:pPr>
      <w:r>
        <w:t>La prévention primaire des allergies consiste à limiter le plus possible l’apparition d’une sensibilisation aux allergènes. Elle est encore expérimentale.</w:t>
      </w:r>
    </w:p>
    <w:p w14:paraId="37304A99" w14:textId="77777777" w:rsidR="0028403E" w:rsidRDefault="0028403E" w:rsidP="00346B18">
      <w:pPr>
        <w:spacing w:line="276" w:lineRule="auto"/>
      </w:pPr>
      <w:r>
        <w:t>La prévention secondaire consiste à limiter le plus possible l’apparition des symptômes de maladie allergique chez une personne sensibilisée. Elle combine l’éviction des allergènes en cause après les avoir identifiés et le traitement symptomatique.</w:t>
      </w:r>
    </w:p>
    <w:p w14:paraId="52AA9F01" w14:textId="77777777" w:rsidR="0028403E" w:rsidRDefault="0028403E" w:rsidP="00346B18">
      <w:pPr>
        <w:widowControl w:val="0"/>
        <w:spacing w:line="276" w:lineRule="auto"/>
        <w:rPr>
          <w:b/>
          <w:bCs/>
        </w:rPr>
      </w:pPr>
    </w:p>
    <w:p w14:paraId="76A2D7E1" w14:textId="4997A83B" w:rsidR="0028403E" w:rsidRDefault="0028403E">
      <w:pPr>
        <w:pStyle w:val="titredesous-partie"/>
        <w:numPr>
          <w:ilvl w:val="6"/>
          <w:numId w:val="6"/>
        </w:numPr>
        <w:ind w:left="426" w:hanging="284"/>
      </w:pPr>
      <w:r>
        <w:t>Les moyens thérapeutiques</w:t>
      </w:r>
    </w:p>
    <w:p w14:paraId="5F76CCA9" w14:textId="77777777" w:rsidR="002A6DAC" w:rsidRPr="002A6DAC" w:rsidRDefault="002A6DAC" w:rsidP="002A6DAC">
      <w:pPr>
        <w:pStyle w:val="Paragraphedeliste"/>
        <w:numPr>
          <w:ilvl w:val="0"/>
          <w:numId w:val="1"/>
        </w:numPr>
        <w:spacing w:after="240"/>
        <w:outlineLvl w:val="2"/>
        <w:rPr>
          <w:b/>
          <w:bCs/>
          <w:vanish/>
        </w:rPr>
      </w:pPr>
    </w:p>
    <w:p w14:paraId="7FFD0F09" w14:textId="77777777" w:rsidR="002A6DAC" w:rsidRPr="002A6DAC" w:rsidRDefault="002A6DAC" w:rsidP="002A6DAC">
      <w:pPr>
        <w:pStyle w:val="Paragraphedeliste"/>
        <w:numPr>
          <w:ilvl w:val="0"/>
          <w:numId w:val="1"/>
        </w:numPr>
        <w:spacing w:after="240"/>
        <w:outlineLvl w:val="2"/>
        <w:rPr>
          <w:b/>
          <w:bCs/>
          <w:vanish/>
        </w:rPr>
      </w:pPr>
    </w:p>
    <w:p w14:paraId="6040CFDE" w14:textId="6B964C61" w:rsidR="0028403E" w:rsidRDefault="0028403E" w:rsidP="002A6DAC">
      <w:pPr>
        <w:pStyle w:val="Titre3"/>
      </w:pPr>
      <w:r>
        <w:t>Éviction allergénique</w:t>
      </w:r>
      <w:r>
        <w:rPr>
          <w:noProof/>
        </w:rPr>
        <w:drawing>
          <wp:anchor distT="0" distB="0" distL="114300" distR="114300" simplePos="0" relativeHeight="251782144" behindDoc="0" locked="0" layoutInCell="1" hidden="0" allowOverlap="1" wp14:anchorId="1E2E1BF8" wp14:editId="69F3BFAD">
            <wp:simplePos x="0" y="0"/>
            <wp:positionH relativeFrom="column">
              <wp:posOffset>1</wp:posOffset>
            </wp:positionH>
            <wp:positionV relativeFrom="paragraph">
              <wp:posOffset>295275</wp:posOffset>
            </wp:positionV>
            <wp:extent cx="153670" cy="137160"/>
            <wp:effectExtent l="0" t="0" r="0" b="0"/>
            <wp:wrapSquare wrapText="bothSides" distT="0" distB="0" distL="114300" distR="11430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31735EAD" w14:textId="77777777" w:rsidR="0028403E" w:rsidRDefault="0028403E" w:rsidP="00346B18">
      <w:pPr>
        <w:spacing w:line="276" w:lineRule="auto"/>
        <w:rPr>
          <w:color w:val="0070C0"/>
        </w:rPr>
      </w:pPr>
      <w:r>
        <w:rPr>
          <w:color w:val="0070C0"/>
        </w:rPr>
        <w:t>Elle suppose d’avoir fait un bilan allergologique précis du ou des allergènes en cause, mais l’éviction n’est pas toujours possible en fonction de leur nature. Un conseiller médical en environnement intérieur (CMEI) peut visiter le domicile du patient, faire des prélèvements (moisissures…), puis prodiguer des conseils adaptés pour diminuer la charge allergénique au domicile.</w:t>
      </w:r>
    </w:p>
    <w:p w14:paraId="3203E352" w14:textId="77777777" w:rsidR="0028403E" w:rsidRDefault="0028403E" w:rsidP="00346B18">
      <w:pPr>
        <w:spacing w:line="276" w:lineRule="auto"/>
        <w:rPr>
          <w:b/>
          <w:bCs/>
          <w:color w:val="0070C0"/>
        </w:rPr>
      </w:pPr>
    </w:p>
    <w:p w14:paraId="5A349DC6" w14:textId="77777777" w:rsidR="0028403E" w:rsidRDefault="0028403E" w:rsidP="00346B18">
      <w:pPr>
        <w:spacing w:line="276" w:lineRule="auto"/>
        <w:rPr>
          <w:color w:val="0070C0"/>
        </w:rPr>
      </w:pPr>
      <w:r>
        <w:rPr>
          <w:b/>
          <w:bCs/>
          <w:color w:val="0070C0"/>
        </w:rPr>
        <w:t xml:space="preserve">Acariens </w:t>
      </w:r>
      <w:r>
        <w:rPr>
          <w:color w:val="0070C0"/>
        </w:rPr>
        <w:t>– les mesures sont d’autant plus efficaces qu’elles sont combinées :</w:t>
      </w:r>
    </w:p>
    <w:p w14:paraId="2F959EBB" w14:textId="77777777" w:rsidR="0028403E" w:rsidRDefault="0028403E" w:rsidP="00346B18">
      <w:pPr>
        <w:spacing w:line="276" w:lineRule="auto"/>
        <w:rPr>
          <w:color w:val="0070C0"/>
        </w:rPr>
      </w:pPr>
      <w:r>
        <w:rPr>
          <w:color w:val="0070C0"/>
        </w:rPr>
        <w:t>- Réduction de l’humidité relative intérieure (&lt; 50 %) (+++).</w:t>
      </w:r>
    </w:p>
    <w:p w14:paraId="19F731B2" w14:textId="77777777" w:rsidR="0028403E" w:rsidRDefault="0028403E" w:rsidP="00346B18">
      <w:pPr>
        <w:spacing w:line="276" w:lineRule="auto"/>
        <w:rPr>
          <w:color w:val="0070C0"/>
        </w:rPr>
      </w:pPr>
      <w:r>
        <w:rPr>
          <w:color w:val="0070C0"/>
        </w:rPr>
        <w:t xml:space="preserve">- Housses </w:t>
      </w:r>
      <w:proofErr w:type="spellStart"/>
      <w:r>
        <w:rPr>
          <w:color w:val="0070C0"/>
        </w:rPr>
        <w:t>anti-acariennes</w:t>
      </w:r>
      <w:proofErr w:type="spellEnd"/>
      <w:r>
        <w:rPr>
          <w:color w:val="0070C0"/>
        </w:rPr>
        <w:t xml:space="preserve"> (+++) pour le matelas, les couettes et les oreillers.</w:t>
      </w:r>
    </w:p>
    <w:p w14:paraId="3B3A3143" w14:textId="77777777" w:rsidR="0028403E" w:rsidRDefault="0028403E" w:rsidP="00346B18">
      <w:pPr>
        <w:spacing w:line="276" w:lineRule="auto"/>
        <w:rPr>
          <w:color w:val="0070C0"/>
        </w:rPr>
      </w:pPr>
      <w:r>
        <w:rPr>
          <w:color w:val="0070C0"/>
        </w:rPr>
        <w:t>- Aération quotidienne des chambres et toutes les pièces du logement (+++).</w:t>
      </w:r>
    </w:p>
    <w:p w14:paraId="4280A8A3" w14:textId="77777777" w:rsidR="0028403E" w:rsidRDefault="0028403E" w:rsidP="00346B18">
      <w:pPr>
        <w:spacing w:line="276" w:lineRule="auto"/>
        <w:rPr>
          <w:color w:val="0070C0"/>
        </w:rPr>
      </w:pPr>
      <w:r>
        <w:rPr>
          <w:color w:val="0070C0"/>
        </w:rPr>
        <w:t>- Aspiration, si possible avec filtre HEPA (Haute Efficacité pour les Particules Aériennes).</w:t>
      </w:r>
    </w:p>
    <w:p w14:paraId="5CD25220" w14:textId="77777777" w:rsidR="0028403E" w:rsidRDefault="0028403E" w:rsidP="00346B18">
      <w:pPr>
        <w:spacing w:line="276" w:lineRule="auto"/>
        <w:rPr>
          <w:color w:val="0070C0"/>
        </w:rPr>
      </w:pPr>
      <w:r>
        <w:rPr>
          <w:color w:val="0070C0"/>
        </w:rPr>
        <w:t>- Changement de la literie si infestation importante.</w:t>
      </w:r>
    </w:p>
    <w:p w14:paraId="0BA57875" w14:textId="77777777" w:rsidR="0028403E" w:rsidRDefault="0028403E" w:rsidP="00346B18">
      <w:pPr>
        <w:spacing w:line="276" w:lineRule="auto"/>
        <w:rPr>
          <w:color w:val="0070C0"/>
        </w:rPr>
      </w:pPr>
      <w:r>
        <w:rPr>
          <w:color w:val="0070C0"/>
        </w:rPr>
        <w:t>- Retrait des «</w:t>
      </w:r>
      <w:r>
        <w:rPr>
          <w:rFonts w:ascii="Arial" w:eastAsia="Arial" w:hAnsi="Arial" w:cs="Arial"/>
          <w:color w:val="0070C0"/>
        </w:rPr>
        <w:t> </w:t>
      </w:r>
      <w:r>
        <w:rPr>
          <w:color w:val="0070C0"/>
        </w:rPr>
        <w:t>ramasse-poussière</w:t>
      </w:r>
      <w:r>
        <w:rPr>
          <w:rFonts w:ascii="Arial" w:eastAsia="Arial" w:hAnsi="Arial" w:cs="Arial"/>
          <w:color w:val="0070C0"/>
        </w:rPr>
        <w:t> </w:t>
      </w:r>
      <w:r>
        <w:rPr>
          <w:color w:val="0070C0"/>
        </w:rPr>
        <w:t>», et peluches.</w:t>
      </w:r>
    </w:p>
    <w:p w14:paraId="660AEA62" w14:textId="77777777" w:rsidR="0028403E" w:rsidRDefault="0028403E" w:rsidP="00346B18">
      <w:pPr>
        <w:spacing w:line="276" w:lineRule="auto"/>
        <w:rPr>
          <w:color w:val="0070C0"/>
        </w:rPr>
      </w:pPr>
      <w:r>
        <w:rPr>
          <w:color w:val="0070C0"/>
        </w:rPr>
        <w:t>- Lavage des draps réguliers à température élevée (au moins 60 °C – les acariens meurent à une température &gt; à 56 °C)</w:t>
      </w:r>
      <w:r>
        <w:rPr>
          <w:rFonts w:ascii="Arial" w:eastAsia="Arial" w:hAnsi="Arial" w:cs="Arial"/>
          <w:color w:val="0070C0"/>
        </w:rPr>
        <w:t> </w:t>
      </w:r>
      <w:r>
        <w:rPr>
          <w:color w:val="0070C0"/>
        </w:rPr>
        <w:t>; privilégier un sommier à lattes.</w:t>
      </w:r>
    </w:p>
    <w:p w14:paraId="4BCE8F30" w14:textId="77777777" w:rsidR="0028403E" w:rsidRDefault="0028403E" w:rsidP="00346B18">
      <w:pPr>
        <w:spacing w:line="276" w:lineRule="auto"/>
        <w:rPr>
          <w:color w:val="0070C0"/>
        </w:rPr>
      </w:pPr>
      <w:r>
        <w:rPr>
          <w:color w:val="0070C0"/>
        </w:rPr>
        <w:t>- Privilégier une température ambiante inférieure à 20 °C.</w:t>
      </w:r>
    </w:p>
    <w:p w14:paraId="4E57F941" w14:textId="77777777" w:rsidR="0028403E" w:rsidRDefault="0028403E" w:rsidP="00346B18">
      <w:pPr>
        <w:spacing w:line="276" w:lineRule="auto"/>
        <w:rPr>
          <w:b/>
          <w:bCs/>
          <w:color w:val="0070C0"/>
        </w:rPr>
      </w:pPr>
    </w:p>
    <w:p w14:paraId="20022422" w14:textId="77777777" w:rsidR="0028403E" w:rsidRDefault="0028403E" w:rsidP="00346B18">
      <w:pPr>
        <w:spacing w:line="276" w:lineRule="auto"/>
        <w:rPr>
          <w:b/>
          <w:bCs/>
          <w:color w:val="0070C0"/>
        </w:rPr>
      </w:pPr>
      <w:r>
        <w:rPr>
          <w:b/>
          <w:bCs/>
          <w:color w:val="0070C0"/>
        </w:rPr>
        <w:t>Animaux domestiques :</w:t>
      </w:r>
    </w:p>
    <w:p w14:paraId="0D30E6F3" w14:textId="77777777" w:rsidR="0028403E" w:rsidRDefault="0028403E" w:rsidP="00346B18">
      <w:pPr>
        <w:spacing w:line="276" w:lineRule="auto"/>
        <w:rPr>
          <w:color w:val="0070C0"/>
        </w:rPr>
      </w:pPr>
      <w:r>
        <w:rPr>
          <w:color w:val="0070C0"/>
        </w:rPr>
        <w:t>- Les animaux doivent rester à l’extérieur et ne pas accéder à la chambre à coucher</w:t>
      </w:r>
      <w:r>
        <w:rPr>
          <w:rFonts w:ascii="Arial" w:eastAsia="Arial" w:hAnsi="Arial" w:cs="Arial"/>
          <w:color w:val="0070C0"/>
        </w:rPr>
        <w:t> </w:t>
      </w:r>
      <w:r>
        <w:rPr>
          <w:color w:val="0070C0"/>
        </w:rPr>
        <w:t>; il faut privilégier l’éviction de l’animal du domicile, souvent difficile à réaliser (contexte affectif).</w:t>
      </w:r>
    </w:p>
    <w:p w14:paraId="2818AD67" w14:textId="77777777" w:rsidR="0028403E" w:rsidRDefault="0028403E" w:rsidP="00346B18">
      <w:pPr>
        <w:spacing w:line="276" w:lineRule="auto"/>
        <w:rPr>
          <w:color w:val="0070C0"/>
        </w:rPr>
      </w:pPr>
      <w:r>
        <w:rPr>
          <w:color w:val="0070C0"/>
        </w:rPr>
        <w:t>- Les allergènes de chat peuvent persister pendant plusieurs mois dans l’habitat après le départ de l’animal.</w:t>
      </w:r>
    </w:p>
    <w:p w14:paraId="55C119F0" w14:textId="77777777" w:rsidR="0028403E" w:rsidRDefault="0028403E" w:rsidP="00346B18">
      <w:pPr>
        <w:spacing w:line="276" w:lineRule="auto"/>
        <w:rPr>
          <w:color w:val="0070C0"/>
        </w:rPr>
      </w:pPr>
    </w:p>
    <w:p w14:paraId="6C0CFE00" w14:textId="77777777" w:rsidR="0028403E" w:rsidRDefault="0028403E" w:rsidP="00346B18">
      <w:pPr>
        <w:spacing w:line="276" w:lineRule="auto"/>
        <w:rPr>
          <w:color w:val="0070C0"/>
        </w:rPr>
      </w:pPr>
      <w:r>
        <w:rPr>
          <w:b/>
          <w:bCs/>
          <w:color w:val="0070C0"/>
        </w:rPr>
        <w:t>Autres</w:t>
      </w:r>
      <w:r>
        <w:rPr>
          <w:color w:val="0070C0"/>
        </w:rPr>
        <w:t> :</w:t>
      </w:r>
    </w:p>
    <w:p w14:paraId="497942D5" w14:textId="77777777" w:rsidR="0028403E" w:rsidRDefault="0028403E" w:rsidP="00346B18">
      <w:pPr>
        <w:spacing w:line="276" w:lineRule="auto"/>
        <w:rPr>
          <w:color w:val="0070C0"/>
        </w:rPr>
      </w:pPr>
      <w:r>
        <w:rPr>
          <w:color w:val="0070C0"/>
        </w:rPr>
        <w:t>- Les moisissures font l’objet d’un nettoyage à l’eau de javel et peuvent être évitées par une ventilation et une exposition solaire suffisante de l’habitat. La réduction de l’humidité relative est nécessaire, comme pour les acariens.</w:t>
      </w:r>
    </w:p>
    <w:p w14:paraId="4C05B088" w14:textId="77777777" w:rsidR="0028403E" w:rsidRDefault="0028403E" w:rsidP="00346B18">
      <w:pPr>
        <w:spacing w:line="276" w:lineRule="auto"/>
        <w:rPr>
          <w:color w:val="0070C0"/>
        </w:rPr>
      </w:pPr>
      <w:r>
        <w:rPr>
          <w:color w:val="0070C0"/>
        </w:rPr>
        <w:t>- L’inhalation des pollens est difficilement évitable en période printanière, on conseillera de ne pas sécher le linge en extérieur, d’aérer le matin avant le lever du soleil et le soir après son coucher, de limiter les sorties en périodes de pics polliniques et lors des orages (risque d’exacerbation d’asthme par éclatements des pollens au sol «</w:t>
      </w:r>
      <w:r>
        <w:rPr>
          <w:rFonts w:ascii="Arial" w:eastAsia="Arial" w:hAnsi="Arial" w:cs="Arial"/>
          <w:color w:val="0070C0"/>
        </w:rPr>
        <w:t> </w:t>
      </w:r>
      <w:r>
        <w:rPr>
          <w:color w:val="0070C0"/>
        </w:rPr>
        <w:t>l’orage pollinique</w:t>
      </w:r>
      <w:r>
        <w:rPr>
          <w:rFonts w:ascii="Arial" w:eastAsia="Arial" w:hAnsi="Arial" w:cs="Arial"/>
          <w:color w:val="0070C0"/>
        </w:rPr>
        <w:t> </w:t>
      </w:r>
      <w:r>
        <w:rPr>
          <w:color w:val="0070C0"/>
        </w:rPr>
        <w:t xml:space="preserve">»), et l’adaptation du poste de travail. </w:t>
      </w:r>
    </w:p>
    <w:p w14:paraId="1152325E" w14:textId="77777777" w:rsidR="0028403E" w:rsidRDefault="0028403E" w:rsidP="00346B18">
      <w:pPr>
        <w:spacing w:line="276" w:lineRule="auto"/>
        <w:rPr>
          <w:color w:val="0070C0"/>
        </w:rPr>
      </w:pPr>
      <w:r>
        <w:rPr>
          <w:color w:val="0070C0"/>
        </w:rPr>
        <w:t>- Lutte contre les nuisibles (souris, blattes).</w:t>
      </w:r>
    </w:p>
    <w:p w14:paraId="1962F546" w14:textId="77777777" w:rsidR="0028403E" w:rsidRDefault="0028403E" w:rsidP="00346B18">
      <w:pPr>
        <w:widowControl w:val="0"/>
        <w:spacing w:line="276" w:lineRule="auto"/>
        <w:rPr>
          <w:color w:val="0070C0"/>
          <w:u w:val="single"/>
        </w:rPr>
      </w:pPr>
    </w:p>
    <w:p w14:paraId="04684FF5" w14:textId="77777777" w:rsidR="0028403E" w:rsidRDefault="0028403E" w:rsidP="002A6DAC">
      <w:pPr>
        <w:pStyle w:val="Titre3"/>
      </w:pPr>
      <w:r>
        <w:t xml:space="preserve">Les traitements symptomatiques </w:t>
      </w:r>
    </w:p>
    <w:p w14:paraId="30D00F18" w14:textId="77777777" w:rsidR="0028403E" w:rsidRDefault="0028403E" w:rsidP="00346B18">
      <w:pPr>
        <w:spacing w:line="276" w:lineRule="auto"/>
        <w:rPr>
          <w:color w:val="0070C0"/>
        </w:rPr>
      </w:pPr>
      <w:r>
        <w:rPr>
          <w:b/>
          <w:bCs/>
          <w:color w:val="0070C0"/>
        </w:rPr>
        <w:t>Les antihistaminiques H</w:t>
      </w:r>
      <w:r>
        <w:rPr>
          <w:b/>
          <w:bCs/>
          <w:color w:val="0070C0"/>
          <w:vertAlign w:val="subscript"/>
        </w:rPr>
        <w:t>1</w:t>
      </w:r>
      <w:r>
        <w:rPr>
          <w:color w:val="0070C0"/>
        </w:rPr>
        <w:t> :</w:t>
      </w:r>
    </w:p>
    <w:p w14:paraId="38DFE230" w14:textId="77777777" w:rsidR="0028403E" w:rsidRDefault="0028403E" w:rsidP="00346B18">
      <w:pPr>
        <w:spacing w:line="276" w:lineRule="auto"/>
        <w:rPr>
          <w:color w:val="0070C0"/>
        </w:rPr>
      </w:pPr>
      <w:r>
        <w:rPr>
          <w:color w:val="0070C0"/>
        </w:rPr>
        <w:t>- Ce sont des bloqueurs du récepteur H</w:t>
      </w:r>
      <w:r>
        <w:rPr>
          <w:color w:val="0070C0"/>
          <w:vertAlign w:val="subscript"/>
        </w:rPr>
        <w:t>1</w:t>
      </w:r>
      <w:r>
        <w:rPr>
          <w:color w:val="0070C0"/>
        </w:rPr>
        <w:t xml:space="preserve"> à l’histamine :</w:t>
      </w:r>
    </w:p>
    <w:p w14:paraId="7FF51670" w14:textId="77777777" w:rsidR="0028403E" w:rsidRDefault="0028403E">
      <w:pPr>
        <w:numPr>
          <w:ilvl w:val="0"/>
          <w:numId w:val="11"/>
        </w:numPr>
        <w:pBdr>
          <w:top w:val="nil"/>
          <w:left w:val="nil"/>
          <w:bottom w:val="nil"/>
          <w:right w:val="nil"/>
          <w:between w:val="nil"/>
        </w:pBdr>
        <w:spacing w:line="276" w:lineRule="auto"/>
        <w:ind w:left="284" w:hanging="142"/>
        <w:rPr>
          <w:color w:val="0070C0"/>
        </w:rPr>
      </w:pPr>
      <w:r>
        <w:rPr>
          <w:color w:val="0070C0"/>
        </w:rPr>
        <w:t>Actifs sur la plupart des symptômes de rhinite (en dehors de l’obstruction nasale), de conjonctivite, et sur le prurit.</w:t>
      </w:r>
    </w:p>
    <w:p w14:paraId="786AC011" w14:textId="77777777" w:rsidR="0028403E" w:rsidRDefault="0028403E" w:rsidP="00346B18">
      <w:pPr>
        <w:spacing w:line="276" w:lineRule="auto"/>
        <w:rPr>
          <w:color w:val="0070C0"/>
        </w:rPr>
      </w:pPr>
      <w:r>
        <w:rPr>
          <w:color w:val="0070C0"/>
        </w:rPr>
        <w:t>- Antihistaminiques de 2</w:t>
      </w:r>
      <w:r>
        <w:rPr>
          <w:color w:val="0070C0"/>
          <w:vertAlign w:val="superscript"/>
        </w:rPr>
        <w:t>e</w:t>
      </w:r>
      <w:r>
        <w:rPr>
          <w:color w:val="0070C0"/>
        </w:rPr>
        <w:t xml:space="preserve"> génération :</w:t>
      </w:r>
    </w:p>
    <w:p w14:paraId="32575645" w14:textId="77777777" w:rsidR="0028403E" w:rsidRDefault="0028403E">
      <w:pPr>
        <w:numPr>
          <w:ilvl w:val="0"/>
          <w:numId w:val="11"/>
        </w:numPr>
        <w:pBdr>
          <w:top w:val="nil"/>
          <w:left w:val="nil"/>
          <w:bottom w:val="nil"/>
          <w:right w:val="nil"/>
          <w:between w:val="nil"/>
        </w:pBdr>
        <w:spacing w:line="276" w:lineRule="auto"/>
        <w:ind w:left="284" w:hanging="142"/>
        <w:rPr>
          <w:color w:val="0070C0"/>
        </w:rPr>
      </w:pPr>
      <w:r>
        <w:rPr>
          <w:color w:val="0070C0"/>
        </w:rPr>
        <w:t>Bonne tolérance.</w:t>
      </w:r>
    </w:p>
    <w:p w14:paraId="5B9565EA" w14:textId="77777777" w:rsidR="0028403E" w:rsidRDefault="0028403E">
      <w:pPr>
        <w:numPr>
          <w:ilvl w:val="0"/>
          <w:numId w:val="11"/>
        </w:numPr>
        <w:pBdr>
          <w:top w:val="nil"/>
          <w:left w:val="nil"/>
          <w:bottom w:val="nil"/>
          <w:right w:val="nil"/>
          <w:between w:val="nil"/>
        </w:pBdr>
        <w:spacing w:line="276" w:lineRule="auto"/>
        <w:ind w:left="284" w:hanging="142"/>
        <w:rPr>
          <w:color w:val="0070C0"/>
        </w:rPr>
      </w:pPr>
      <w:r>
        <w:rPr>
          <w:color w:val="0070C0"/>
        </w:rPr>
        <w:t>Effets secondaires : somnolence rare, stimulation de l’appétit parfois.</w:t>
      </w:r>
    </w:p>
    <w:p w14:paraId="0D739B7A" w14:textId="77777777" w:rsidR="0028403E" w:rsidRDefault="0028403E" w:rsidP="00346B18">
      <w:pPr>
        <w:spacing w:line="276" w:lineRule="auto"/>
        <w:rPr>
          <w:color w:val="0070C0"/>
        </w:rPr>
      </w:pPr>
      <w:r>
        <w:rPr>
          <w:color w:val="0070C0"/>
        </w:rPr>
        <w:t>- Voie orale et/ou locale (spray nasal, collyre).</w:t>
      </w:r>
    </w:p>
    <w:p w14:paraId="27204627" w14:textId="77777777" w:rsidR="0028403E" w:rsidRDefault="0028403E" w:rsidP="00346B18">
      <w:pPr>
        <w:spacing w:line="276" w:lineRule="auto"/>
        <w:rPr>
          <w:b/>
          <w:bCs/>
          <w:color w:val="0070C0"/>
        </w:rPr>
      </w:pPr>
    </w:p>
    <w:p w14:paraId="1C300DCD" w14:textId="77777777" w:rsidR="0028403E" w:rsidRDefault="0028403E" w:rsidP="00346B18">
      <w:pPr>
        <w:spacing w:line="276" w:lineRule="auto"/>
        <w:rPr>
          <w:b/>
          <w:bCs/>
          <w:color w:val="0070C0"/>
        </w:rPr>
      </w:pPr>
      <w:r>
        <w:rPr>
          <w:b/>
          <w:bCs/>
          <w:color w:val="0070C0"/>
        </w:rPr>
        <w:t>Les corticoïdes :</w:t>
      </w:r>
    </w:p>
    <w:p w14:paraId="7A8E3DD2" w14:textId="77777777" w:rsidR="0028403E" w:rsidRDefault="0028403E" w:rsidP="00346B18">
      <w:pPr>
        <w:spacing w:line="276" w:lineRule="auto"/>
        <w:rPr>
          <w:color w:val="0070C0"/>
        </w:rPr>
      </w:pPr>
      <w:r>
        <w:rPr>
          <w:color w:val="0070C0"/>
        </w:rPr>
        <w:t>- Propriétés anti-inflammatoires permettant de contrôler les symptômes inflammatoires liés à l’allergie.</w:t>
      </w:r>
    </w:p>
    <w:p w14:paraId="3DE6A503" w14:textId="77777777" w:rsidR="0028403E" w:rsidRDefault="0028403E" w:rsidP="00346B18">
      <w:pPr>
        <w:spacing w:line="276" w:lineRule="auto"/>
        <w:rPr>
          <w:color w:val="0070C0"/>
        </w:rPr>
      </w:pPr>
      <w:r>
        <w:rPr>
          <w:color w:val="0070C0"/>
        </w:rPr>
        <w:t xml:space="preserve">- Corticoïdes par voie locale (nasale ou inhalée) : </w:t>
      </w:r>
    </w:p>
    <w:p w14:paraId="54554A84" w14:textId="77777777" w:rsidR="0028403E" w:rsidRDefault="0028403E">
      <w:pPr>
        <w:numPr>
          <w:ilvl w:val="0"/>
          <w:numId w:val="12"/>
        </w:numPr>
        <w:pBdr>
          <w:top w:val="nil"/>
          <w:left w:val="nil"/>
          <w:bottom w:val="nil"/>
          <w:right w:val="nil"/>
          <w:between w:val="nil"/>
        </w:pBdr>
        <w:spacing w:line="276" w:lineRule="auto"/>
        <w:ind w:left="284" w:hanging="142"/>
        <w:rPr>
          <w:b/>
          <w:bCs/>
          <w:color w:val="0070C0"/>
        </w:rPr>
      </w:pPr>
      <w:r>
        <w:rPr>
          <w:color w:val="0070C0"/>
        </w:rPr>
        <w:t xml:space="preserve">Action sur l’inflammation nasale ou bronchique au long cours (cf. item 188 - Asthme) </w:t>
      </w:r>
      <w:r>
        <w:rPr>
          <w:b/>
          <w:bCs/>
          <w:color w:val="0070C0"/>
        </w:rPr>
        <w:t>et constituent le traitement de choix de l’asthme lorsqu’un traitement de fond est indiqué.</w:t>
      </w:r>
      <w:r>
        <w:rPr>
          <w:color w:val="0070C0"/>
        </w:rPr>
        <w:t xml:space="preserve"> </w:t>
      </w:r>
    </w:p>
    <w:p w14:paraId="67188F67" w14:textId="77777777" w:rsidR="0028403E" w:rsidRDefault="0028403E">
      <w:pPr>
        <w:numPr>
          <w:ilvl w:val="0"/>
          <w:numId w:val="12"/>
        </w:numPr>
        <w:pBdr>
          <w:top w:val="nil"/>
          <w:left w:val="nil"/>
          <w:bottom w:val="nil"/>
          <w:right w:val="nil"/>
          <w:between w:val="nil"/>
        </w:pBdr>
        <w:spacing w:line="276" w:lineRule="auto"/>
        <w:ind w:left="284" w:hanging="142"/>
        <w:rPr>
          <w:color w:val="0070C0"/>
        </w:rPr>
      </w:pPr>
      <w:r>
        <w:rPr>
          <w:color w:val="0070C0"/>
        </w:rPr>
        <w:t>Ils n’ont aucune place dans le traitement symptomatique de l’urgence pour l’asthme</w:t>
      </w:r>
      <w:r>
        <w:rPr>
          <w:color w:val="EE0000"/>
        </w:rPr>
        <w:t>.</w:t>
      </w:r>
    </w:p>
    <w:p w14:paraId="34426060" w14:textId="77777777" w:rsidR="0028403E" w:rsidRDefault="0028403E" w:rsidP="00346B18">
      <w:pPr>
        <w:spacing w:line="276" w:lineRule="auto"/>
        <w:rPr>
          <w:color w:val="0070C0"/>
        </w:rPr>
      </w:pPr>
      <w:r>
        <w:rPr>
          <w:color w:val="0070C0"/>
        </w:rPr>
        <w:t>- Corticoïdes par voie systémique :</w:t>
      </w:r>
    </w:p>
    <w:p w14:paraId="71780350" w14:textId="77777777" w:rsidR="0028403E" w:rsidRDefault="0028403E">
      <w:pPr>
        <w:numPr>
          <w:ilvl w:val="0"/>
          <w:numId w:val="12"/>
        </w:numPr>
        <w:pBdr>
          <w:top w:val="nil"/>
          <w:left w:val="nil"/>
          <w:bottom w:val="nil"/>
          <w:right w:val="nil"/>
          <w:between w:val="nil"/>
        </w:pBdr>
        <w:spacing w:line="276" w:lineRule="auto"/>
        <w:ind w:left="284" w:hanging="142"/>
        <w:rPr>
          <w:color w:val="0070C0"/>
        </w:rPr>
      </w:pPr>
      <w:r>
        <w:rPr>
          <w:color w:val="0070C0"/>
        </w:rPr>
        <w:t>Traitement de l’urgence (cf. item 188 - Asthme)</w:t>
      </w:r>
      <w:r>
        <w:rPr>
          <w:rFonts w:ascii="Arial" w:eastAsia="Arial" w:hAnsi="Arial" w:cs="Arial"/>
          <w:color w:val="0070C0"/>
        </w:rPr>
        <w:t> </w:t>
      </w:r>
      <w:r>
        <w:rPr>
          <w:color w:val="0070C0"/>
        </w:rPr>
        <w:t>; leur utilisation au long cours doit en revanche être évitée en raison des effets secondaires (leur toxicité est cumulative)</w:t>
      </w:r>
      <w:r>
        <w:rPr>
          <w:rFonts w:ascii="Arial" w:eastAsia="Arial" w:hAnsi="Arial" w:cs="Arial"/>
          <w:color w:val="0070C0"/>
        </w:rPr>
        <w:t> </w:t>
      </w:r>
      <w:r>
        <w:rPr>
          <w:color w:val="0070C0"/>
        </w:rPr>
        <w:t>;</w:t>
      </w:r>
    </w:p>
    <w:p w14:paraId="2423F5FF" w14:textId="77777777" w:rsidR="0028403E" w:rsidRDefault="0028403E">
      <w:pPr>
        <w:numPr>
          <w:ilvl w:val="0"/>
          <w:numId w:val="12"/>
        </w:numPr>
        <w:pBdr>
          <w:top w:val="nil"/>
          <w:left w:val="nil"/>
          <w:bottom w:val="nil"/>
          <w:right w:val="nil"/>
          <w:between w:val="nil"/>
        </w:pBdr>
        <w:spacing w:line="276" w:lineRule="auto"/>
        <w:ind w:left="284" w:hanging="142"/>
        <w:rPr>
          <w:color w:val="0070C0"/>
        </w:rPr>
      </w:pPr>
      <w:r>
        <w:rPr>
          <w:color w:val="0070C0"/>
        </w:rPr>
        <w:t>Les molécules le plus souvent utilisées incluent : prednisone, prednisolone, méthylprednisolone, bétaméthasone, dexaméthasone.</w:t>
      </w:r>
    </w:p>
    <w:p w14:paraId="12A0FAB3" w14:textId="77777777" w:rsidR="0028403E" w:rsidRDefault="0028403E">
      <w:pPr>
        <w:numPr>
          <w:ilvl w:val="0"/>
          <w:numId w:val="12"/>
        </w:numPr>
        <w:pBdr>
          <w:top w:val="nil"/>
          <w:left w:val="nil"/>
          <w:bottom w:val="nil"/>
          <w:right w:val="nil"/>
          <w:between w:val="nil"/>
        </w:pBdr>
        <w:spacing w:line="276" w:lineRule="auto"/>
        <w:ind w:left="284" w:hanging="142"/>
        <w:rPr>
          <w:color w:val="0070C0"/>
        </w:rPr>
      </w:pPr>
      <w:r>
        <w:rPr>
          <w:color w:val="0070C0"/>
        </w:rPr>
        <w:t>Absence de preuve d’efficacité dans l’anaphylaxie</w:t>
      </w:r>
    </w:p>
    <w:p w14:paraId="44BE6E4F" w14:textId="77777777" w:rsidR="0028403E" w:rsidRDefault="0028403E" w:rsidP="00346B18">
      <w:pPr>
        <w:spacing w:line="276" w:lineRule="auto"/>
        <w:rPr>
          <w:b/>
          <w:bCs/>
          <w:color w:val="0070C0"/>
        </w:rPr>
      </w:pPr>
    </w:p>
    <w:p w14:paraId="589A98E6" w14:textId="77777777" w:rsidR="0028403E" w:rsidRDefault="0028403E" w:rsidP="00346B18">
      <w:pPr>
        <w:spacing w:line="276" w:lineRule="auto"/>
        <w:rPr>
          <w:b/>
          <w:bCs/>
          <w:color w:val="0070C0"/>
        </w:rPr>
      </w:pPr>
      <w:r>
        <w:rPr>
          <w:b/>
          <w:bCs/>
          <w:color w:val="0070C0"/>
        </w:rPr>
        <w:t>Adrénaline :</w:t>
      </w:r>
    </w:p>
    <w:p w14:paraId="3DE8A558" w14:textId="77777777" w:rsidR="0028403E" w:rsidRDefault="0028403E" w:rsidP="00346B18">
      <w:pPr>
        <w:spacing w:line="276" w:lineRule="auto"/>
        <w:rPr>
          <w:b/>
          <w:bCs/>
          <w:color w:val="0070C0"/>
        </w:rPr>
      </w:pPr>
      <w:r>
        <w:rPr>
          <w:color w:val="0070C0"/>
        </w:rPr>
        <w:t>- Traitement, en IM, de l’anaphylaxie (cf. item 338 - Anaphylaxie).</w:t>
      </w:r>
    </w:p>
    <w:p w14:paraId="211BE920" w14:textId="77777777" w:rsidR="0028403E" w:rsidRDefault="0028403E" w:rsidP="00346B18">
      <w:pPr>
        <w:spacing w:line="276" w:lineRule="auto"/>
        <w:rPr>
          <w:b/>
          <w:bCs/>
          <w:color w:val="0070C0"/>
        </w:rPr>
      </w:pPr>
    </w:p>
    <w:p w14:paraId="46CB4764" w14:textId="77777777" w:rsidR="0028403E" w:rsidRDefault="0028403E" w:rsidP="002A6DAC">
      <w:pPr>
        <w:pStyle w:val="Titre3"/>
      </w:pPr>
      <w:r>
        <w:t>Les anticorps-monoclonaux (cf. item 188 – Asthme).</w:t>
      </w:r>
    </w:p>
    <w:p w14:paraId="7F7EAE33" w14:textId="53A3B8C8" w:rsidR="0028403E" w:rsidRDefault="0028403E" w:rsidP="002A6DAC">
      <w:pPr>
        <w:pStyle w:val="titredesous-partie"/>
        <w:numPr>
          <w:ilvl w:val="0"/>
          <w:numId w:val="1"/>
        </w:numPr>
        <w:ind w:left="426" w:hanging="284"/>
      </w:pPr>
      <w:r>
        <w:lastRenderedPageBreak/>
        <w:t xml:space="preserve">Traitement spécifique : La conjonctivite allergique </w:t>
      </w:r>
    </w:p>
    <w:p w14:paraId="39EDE9CA" w14:textId="77777777" w:rsidR="0028403E" w:rsidRDefault="0028403E" w:rsidP="00346B18">
      <w:pPr>
        <w:spacing w:line="276" w:lineRule="auto"/>
      </w:pPr>
      <w:r>
        <w:t>En plus de l’éviction et du traitement systémique par anti H</w:t>
      </w:r>
      <w:r>
        <w:rPr>
          <w:vertAlign w:val="subscript"/>
        </w:rPr>
        <w:t>1</w:t>
      </w:r>
      <w:r>
        <w:t xml:space="preserve"> de 2</w:t>
      </w:r>
      <w:r>
        <w:rPr>
          <w:vertAlign w:val="superscript"/>
        </w:rPr>
        <w:t>e</w:t>
      </w:r>
      <w:r>
        <w:t xml:space="preserve"> génération, le traitement de la conjonctivite allergique comporte surtout un traitement local :</w:t>
      </w:r>
    </w:p>
    <w:p w14:paraId="772ECF9C" w14:textId="77777777" w:rsidR="0028403E" w:rsidRDefault="0028403E" w:rsidP="00346B18">
      <w:pPr>
        <w:spacing w:line="276" w:lineRule="auto"/>
      </w:pPr>
      <w:r>
        <w:t>- Lavages oculaires fréquents au sérum physiologique et applications de compresses humides froides.</w:t>
      </w:r>
    </w:p>
    <w:p w14:paraId="59DF7CB8" w14:textId="77777777" w:rsidR="0028403E" w:rsidRDefault="0028403E" w:rsidP="00346B18">
      <w:pPr>
        <w:spacing w:line="276" w:lineRule="auto"/>
      </w:pPr>
      <w:r>
        <w:t>- Antihistaminiques H</w:t>
      </w:r>
      <w:r>
        <w:rPr>
          <w:vertAlign w:val="subscript"/>
        </w:rPr>
        <w:t>1</w:t>
      </w:r>
      <w:r>
        <w:t xml:space="preserve"> en collyre.</w:t>
      </w:r>
    </w:p>
    <w:p w14:paraId="6DC09228" w14:textId="77777777" w:rsidR="0028403E" w:rsidRDefault="0028403E" w:rsidP="00346B18">
      <w:pPr>
        <w:spacing w:line="276" w:lineRule="auto"/>
      </w:pPr>
      <w:r>
        <w:t>- Inhibiteurs de la dégranulation des mastocytes en collyre (</w:t>
      </w:r>
      <w:proofErr w:type="spellStart"/>
      <w:r>
        <w:t>cromoglicate</w:t>
      </w:r>
      <w:proofErr w:type="spellEnd"/>
      <w:r>
        <w:t xml:space="preserve"> de sodium).</w:t>
      </w:r>
    </w:p>
    <w:p w14:paraId="0FB3F747" w14:textId="77777777" w:rsidR="0028403E" w:rsidRDefault="0028403E" w:rsidP="00346B18">
      <w:pPr>
        <w:spacing w:line="276" w:lineRule="auto"/>
        <w:rPr>
          <w:i/>
          <w:iCs/>
          <w:color w:val="0070C0"/>
        </w:rPr>
      </w:pPr>
    </w:p>
    <w:p w14:paraId="06222441" w14:textId="2C864229" w:rsidR="0028403E" w:rsidRDefault="002A6DAC" w:rsidP="002A6DAC">
      <w:pPr>
        <w:pStyle w:val="titredesous-partie"/>
        <w:numPr>
          <w:ilvl w:val="0"/>
          <w:numId w:val="1"/>
        </w:numPr>
        <w:ind w:left="426" w:hanging="284"/>
      </w:pPr>
      <w:r>
        <w:rPr>
          <w:noProof/>
        </w:rPr>
        <w:drawing>
          <wp:anchor distT="0" distB="0" distL="114300" distR="114300" simplePos="0" relativeHeight="251783168" behindDoc="0" locked="0" layoutInCell="1" hidden="0" allowOverlap="1" wp14:anchorId="470D2DBC" wp14:editId="5427453A">
            <wp:simplePos x="0" y="0"/>
            <wp:positionH relativeFrom="column">
              <wp:posOffset>-273848</wp:posOffset>
            </wp:positionH>
            <wp:positionV relativeFrom="paragraph">
              <wp:posOffset>358140</wp:posOffset>
            </wp:positionV>
            <wp:extent cx="153670" cy="137160"/>
            <wp:effectExtent l="0" t="0" r="0" b="0"/>
            <wp:wrapSquare wrapText="bothSides" distT="0" distB="0" distL="114300" distR="1143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28403E">
        <w:t xml:space="preserve">Traitement spécifique : Traitement de l’allergie alimentaire </w:t>
      </w:r>
    </w:p>
    <w:p w14:paraId="66D593B3" w14:textId="4FC3FB23" w:rsidR="0028403E" w:rsidRDefault="0028403E" w:rsidP="00346B18">
      <w:pPr>
        <w:spacing w:line="276" w:lineRule="auto"/>
        <w:rPr>
          <w:color w:val="0070C0"/>
        </w:rPr>
      </w:pPr>
      <w:r>
        <w:rPr>
          <w:color w:val="0070C0"/>
        </w:rPr>
        <w:t>Le traitement de l’allergie alimentaire repose classiquement sur l’éviction du ou des aliments identifiés et, au-delà de l’éviction, comporte :</w:t>
      </w:r>
    </w:p>
    <w:p w14:paraId="2A901BCF" w14:textId="77777777" w:rsidR="0028403E" w:rsidRDefault="0028403E" w:rsidP="00346B18">
      <w:pPr>
        <w:spacing w:line="276" w:lineRule="auto"/>
        <w:rPr>
          <w:color w:val="0070C0"/>
        </w:rPr>
      </w:pPr>
      <w:r>
        <w:rPr>
          <w:color w:val="0070C0"/>
        </w:rPr>
        <w:t>- La prescription d’une trousse d’urgence, contenant :</w:t>
      </w:r>
    </w:p>
    <w:p w14:paraId="7587AF9C" w14:textId="77777777" w:rsidR="0028403E" w:rsidRDefault="0028403E">
      <w:pPr>
        <w:numPr>
          <w:ilvl w:val="0"/>
          <w:numId w:val="13"/>
        </w:numPr>
        <w:spacing w:line="276" w:lineRule="auto"/>
        <w:ind w:left="284" w:hanging="142"/>
        <w:rPr>
          <w:color w:val="0070C0"/>
        </w:rPr>
      </w:pPr>
      <w:r>
        <w:rPr>
          <w:color w:val="0070C0"/>
        </w:rPr>
        <w:t>Antihistaminiques H</w:t>
      </w:r>
      <w:r>
        <w:rPr>
          <w:color w:val="0070C0"/>
          <w:vertAlign w:val="subscript"/>
        </w:rPr>
        <w:t>1</w:t>
      </w:r>
      <w:r>
        <w:rPr>
          <w:color w:val="0070C0"/>
        </w:rPr>
        <w:t>, et éventuellement bronchodilatateurs si d’antécédents de bronchospasme</w:t>
      </w:r>
      <w:r>
        <w:rPr>
          <w:rFonts w:ascii="Arial" w:eastAsia="Arial" w:hAnsi="Arial" w:cs="Arial"/>
          <w:color w:val="0070C0"/>
        </w:rPr>
        <w:t> </w:t>
      </w:r>
      <w:r>
        <w:rPr>
          <w:color w:val="0070C0"/>
        </w:rPr>
        <w:t>; l’adrénaline auto-injectable par voie IM, à inclure si antécédent ou risque d’anaphylaxie.</w:t>
      </w:r>
    </w:p>
    <w:p w14:paraId="7168E496" w14:textId="77777777" w:rsidR="0028403E" w:rsidRDefault="0028403E" w:rsidP="00346B18">
      <w:pPr>
        <w:spacing w:line="276" w:lineRule="auto"/>
        <w:rPr>
          <w:color w:val="0070C0"/>
        </w:rPr>
      </w:pPr>
      <w:r>
        <w:rPr>
          <w:color w:val="0070C0"/>
        </w:rPr>
        <w:t>- L’éducation thérapeutique du patient et de son entourage :</w:t>
      </w:r>
    </w:p>
    <w:p w14:paraId="60164481" w14:textId="77777777" w:rsidR="0028403E" w:rsidRDefault="0028403E">
      <w:pPr>
        <w:numPr>
          <w:ilvl w:val="0"/>
          <w:numId w:val="13"/>
        </w:numPr>
        <w:spacing w:line="276" w:lineRule="auto"/>
        <w:ind w:left="284" w:hanging="142"/>
        <w:rPr>
          <w:color w:val="0070C0"/>
        </w:rPr>
      </w:pPr>
      <w:r>
        <w:rPr>
          <w:color w:val="0070C0"/>
        </w:rPr>
        <w:t>Utilisation de la trousse d’urgence, évaluation des symptômes, lecture des étiquettes, identification des aliments à risque, définition des conduites à tenir…</w:t>
      </w:r>
    </w:p>
    <w:p w14:paraId="514EE600" w14:textId="77777777" w:rsidR="0028403E" w:rsidRDefault="0028403E" w:rsidP="00346B18">
      <w:pPr>
        <w:spacing w:line="276" w:lineRule="auto"/>
        <w:rPr>
          <w:color w:val="0070C0"/>
        </w:rPr>
      </w:pPr>
      <w:r>
        <w:rPr>
          <w:color w:val="0070C0"/>
        </w:rPr>
        <w:t>- Le plan d’action écrit sur les modalités de prise en charge d’un éventuel accident allergique.</w:t>
      </w:r>
    </w:p>
    <w:p w14:paraId="5ADA5F5F" w14:textId="77777777" w:rsidR="0028403E" w:rsidRDefault="0028403E" w:rsidP="00346B18">
      <w:pPr>
        <w:spacing w:line="276" w:lineRule="auto"/>
        <w:rPr>
          <w:color w:val="0070C0"/>
        </w:rPr>
      </w:pPr>
      <w:r>
        <w:rPr>
          <w:color w:val="0070C0"/>
        </w:rPr>
        <w:t>- Pour les enfants d’âge scolaire, la prescription d’un PAI (Protocole d’Accueil Individualisé) :</w:t>
      </w:r>
    </w:p>
    <w:p w14:paraId="0689A365" w14:textId="77777777" w:rsidR="0028403E" w:rsidRDefault="0028403E">
      <w:pPr>
        <w:numPr>
          <w:ilvl w:val="0"/>
          <w:numId w:val="13"/>
        </w:numPr>
        <w:spacing w:line="276" w:lineRule="auto"/>
        <w:ind w:left="284" w:hanging="142"/>
        <w:rPr>
          <w:color w:val="0070C0"/>
        </w:rPr>
      </w:pPr>
      <w:r>
        <w:rPr>
          <w:color w:val="0070C0"/>
        </w:rPr>
        <w:t>Établi à la demande des parents, le PAI est une dérogation au secret professionnel du médecin et permet d’établir un protocole de soins en cas de réaction allergique accidentelle.</w:t>
      </w:r>
    </w:p>
    <w:p w14:paraId="694E1209" w14:textId="77777777" w:rsidR="0028403E" w:rsidRDefault="0028403E" w:rsidP="00346B18">
      <w:pPr>
        <w:spacing w:line="276" w:lineRule="auto"/>
        <w:rPr>
          <w:color w:val="0070C0"/>
        </w:rPr>
      </w:pPr>
      <w:r>
        <w:rPr>
          <w:color w:val="0070C0"/>
        </w:rPr>
        <w:t>- Les protocoles d’induction de tolérance :</w:t>
      </w:r>
    </w:p>
    <w:p w14:paraId="7316D3E2" w14:textId="77777777" w:rsidR="0028403E" w:rsidRDefault="0028403E">
      <w:pPr>
        <w:numPr>
          <w:ilvl w:val="0"/>
          <w:numId w:val="13"/>
        </w:numPr>
        <w:spacing w:line="276" w:lineRule="auto"/>
        <w:ind w:left="284" w:hanging="142"/>
        <w:rPr>
          <w:color w:val="0070C0"/>
        </w:rPr>
      </w:pPr>
      <w:r>
        <w:rPr>
          <w:color w:val="0070C0"/>
        </w:rPr>
        <w:t xml:space="preserve">En l’absence de guérison spontanée, des approches thérapeutiques peuvent être discutées pour favoriser l’acquisition de la tolérance à l’aliment en cause. Les protocoles varient d’un centre à l’autre. </w:t>
      </w:r>
    </w:p>
    <w:p w14:paraId="4DCB8587" w14:textId="77777777" w:rsidR="0028403E" w:rsidRDefault="0028403E" w:rsidP="00346B18">
      <w:pPr>
        <w:widowControl w:val="0"/>
        <w:spacing w:line="276" w:lineRule="auto"/>
        <w:rPr>
          <w:color w:val="0070C0"/>
        </w:rPr>
      </w:pPr>
    </w:p>
    <w:p w14:paraId="13CE72C6" w14:textId="4DE2B87B" w:rsidR="0028403E" w:rsidRDefault="0028403E" w:rsidP="002A6DAC">
      <w:pPr>
        <w:pStyle w:val="titredesous-partie"/>
        <w:numPr>
          <w:ilvl w:val="0"/>
          <w:numId w:val="1"/>
        </w:numPr>
        <w:ind w:left="426" w:hanging="284"/>
      </w:pPr>
      <w:r>
        <w:t xml:space="preserve">Traitement spécifique : Traitement de l’allergie au venin d’hyménoptères </w:t>
      </w:r>
    </w:p>
    <w:p w14:paraId="7215CA87" w14:textId="77777777" w:rsidR="0028403E" w:rsidRDefault="0028403E" w:rsidP="00346B18">
      <w:pPr>
        <w:spacing w:line="276" w:lineRule="auto"/>
        <w:rPr>
          <w:color w:val="0070C0"/>
        </w:rPr>
      </w:pPr>
      <w:r>
        <w:rPr>
          <w:color w:val="0070C0"/>
        </w:rPr>
        <w:t>Mesures prophylactiques :</w:t>
      </w:r>
    </w:p>
    <w:p w14:paraId="49078A83" w14:textId="77777777" w:rsidR="0028403E" w:rsidRDefault="0028403E" w:rsidP="00346B18">
      <w:pPr>
        <w:spacing w:line="276" w:lineRule="auto"/>
        <w:rPr>
          <w:color w:val="0070C0"/>
        </w:rPr>
      </w:pPr>
      <w:r>
        <w:rPr>
          <w:color w:val="0070C0"/>
        </w:rPr>
        <w:t>- Consignes de prudence simples lorsque le sujet est à l’extérieur.</w:t>
      </w:r>
    </w:p>
    <w:p w14:paraId="4159ABF7" w14:textId="77777777" w:rsidR="0028403E" w:rsidRDefault="0028403E" w:rsidP="00346B18">
      <w:pPr>
        <w:spacing w:line="276" w:lineRule="auto"/>
        <w:rPr>
          <w:color w:val="0070C0"/>
        </w:rPr>
      </w:pPr>
      <w:r>
        <w:rPr>
          <w:color w:val="0070C0"/>
        </w:rPr>
        <w:t>- Carte d’identité de l’allergique, avec fiche conseil, détaillant la conduite à tenir en cas de réaction anaphylactique.</w:t>
      </w:r>
    </w:p>
    <w:p w14:paraId="2826FD8C" w14:textId="77777777" w:rsidR="0028403E" w:rsidRDefault="0028403E" w:rsidP="00346B18">
      <w:pPr>
        <w:spacing w:line="276" w:lineRule="auto"/>
        <w:rPr>
          <w:color w:val="0070C0"/>
        </w:rPr>
      </w:pPr>
      <w:r>
        <w:rPr>
          <w:color w:val="0070C0"/>
        </w:rPr>
        <w:t xml:space="preserve">- Trousse d’urgence contenant de l’adrénaline auto-injectable par voie IM si antécédent d’anaphylaxie et éducation à son utilisation. </w:t>
      </w:r>
    </w:p>
    <w:p w14:paraId="7AD99D07" w14:textId="77777777" w:rsidR="0028403E" w:rsidRDefault="0028403E" w:rsidP="00346B18">
      <w:pPr>
        <w:spacing w:line="276" w:lineRule="auto"/>
        <w:rPr>
          <w:color w:val="0070C0"/>
        </w:rPr>
      </w:pPr>
    </w:p>
    <w:p w14:paraId="096A0617" w14:textId="77777777" w:rsidR="0028403E" w:rsidRDefault="0028403E" w:rsidP="00346B18">
      <w:pPr>
        <w:spacing w:line="276" w:lineRule="auto"/>
        <w:rPr>
          <w:color w:val="0070C0"/>
        </w:rPr>
      </w:pPr>
      <w:r>
        <w:rPr>
          <w:color w:val="0070C0"/>
        </w:rPr>
        <w:t>Traitement de l’accident allergique :</w:t>
      </w:r>
    </w:p>
    <w:p w14:paraId="43784D3D" w14:textId="77777777" w:rsidR="0028403E" w:rsidRDefault="0028403E" w:rsidP="00346B18">
      <w:pPr>
        <w:spacing w:line="276" w:lineRule="auto"/>
        <w:rPr>
          <w:color w:val="0070C0"/>
        </w:rPr>
      </w:pPr>
      <w:r>
        <w:rPr>
          <w:color w:val="0070C0"/>
        </w:rPr>
        <w:t>- En cas de piqûre d’abeille, retirer le dard le plus tôt possible.</w:t>
      </w:r>
    </w:p>
    <w:p w14:paraId="7937EF6E" w14:textId="77777777" w:rsidR="0028403E" w:rsidRDefault="0028403E" w:rsidP="00346B18">
      <w:pPr>
        <w:spacing w:line="276" w:lineRule="auto"/>
        <w:rPr>
          <w:color w:val="0070C0"/>
        </w:rPr>
      </w:pPr>
      <w:r>
        <w:rPr>
          <w:color w:val="0070C0"/>
        </w:rPr>
        <w:t>- En cas de réactions locales bénignes : refroidir localement avec une vessie de glace</w:t>
      </w:r>
      <w:r>
        <w:rPr>
          <w:rFonts w:ascii="Arial" w:eastAsia="Arial" w:hAnsi="Arial" w:cs="Arial"/>
          <w:color w:val="0070C0"/>
        </w:rPr>
        <w:t> </w:t>
      </w:r>
      <w:r>
        <w:rPr>
          <w:color w:val="0070C0"/>
        </w:rPr>
        <w:t>; prendre éventuellement un antihistaminique oral en cas de prurit marqué.</w:t>
      </w:r>
    </w:p>
    <w:p w14:paraId="71E939BB" w14:textId="77777777" w:rsidR="0028403E" w:rsidRDefault="0028403E" w:rsidP="00346B18">
      <w:pPr>
        <w:spacing w:line="276" w:lineRule="auto"/>
        <w:rPr>
          <w:color w:val="0070C0"/>
        </w:rPr>
      </w:pPr>
      <w:r>
        <w:rPr>
          <w:color w:val="0070C0"/>
        </w:rPr>
        <w:t>- En cas de réactions locales étendues : antihistaminique H</w:t>
      </w:r>
      <w:r>
        <w:rPr>
          <w:color w:val="0070C0"/>
          <w:vertAlign w:val="subscript"/>
        </w:rPr>
        <w:t>1</w:t>
      </w:r>
      <w:r>
        <w:rPr>
          <w:color w:val="0070C0"/>
        </w:rPr>
        <w:t xml:space="preserve"> oral, associé à des corticoïdes oraux durant 24 à 48 h si nécessaire.</w:t>
      </w:r>
    </w:p>
    <w:p w14:paraId="1B58B4FF" w14:textId="77777777" w:rsidR="0028403E" w:rsidRDefault="0028403E" w:rsidP="00346B18">
      <w:pPr>
        <w:spacing w:line="276" w:lineRule="auto"/>
        <w:rPr>
          <w:color w:val="0070C0"/>
        </w:rPr>
      </w:pPr>
      <w:r>
        <w:rPr>
          <w:color w:val="0070C0"/>
        </w:rPr>
        <w:t>- En cas de réactions systémiques d’anaphylaxie : adrénaline IM puis surveillance hospitalière (voir item 333).</w:t>
      </w:r>
    </w:p>
    <w:p w14:paraId="35244A11" w14:textId="77777777" w:rsidR="0028403E" w:rsidRDefault="0028403E" w:rsidP="00346B18">
      <w:pPr>
        <w:spacing w:line="276" w:lineRule="auto"/>
        <w:rPr>
          <w:color w:val="0070C0"/>
        </w:rPr>
      </w:pPr>
    </w:p>
    <w:p w14:paraId="4C3A4731" w14:textId="77777777" w:rsidR="0028403E" w:rsidRDefault="0028403E" w:rsidP="00346B18">
      <w:pPr>
        <w:spacing w:line="276" w:lineRule="auto"/>
        <w:rPr>
          <w:color w:val="0070C0"/>
        </w:rPr>
      </w:pPr>
      <w:r>
        <w:rPr>
          <w:color w:val="0070C0"/>
        </w:rPr>
        <w:lastRenderedPageBreak/>
        <w:t>Immunothérapie allergénique :</w:t>
      </w:r>
    </w:p>
    <w:p w14:paraId="72C9F48B" w14:textId="77777777" w:rsidR="0028403E" w:rsidRDefault="0028403E" w:rsidP="00346B18">
      <w:pPr>
        <w:spacing w:line="276" w:lineRule="auto"/>
        <w:rPr>
          <w:color w:val="0070C0"/>
        </w:rPr>
      </w:pPr>
      <w:r>
        <w:rPr>
          <w:color w:val="0070C0"/>
        </w:rPr>
        <w:t>- Pour les réactions systémiques anaphylactiques sévères et de mécanisme allergique IgE-médié démontré. Elle est très efficace pour la prévention des récidives en cas de nouvelle piqûre par l’hyménoptère.</w:t>
      </w:r>
    </w:p>
    <w:p w14:paraId="48B77F38" w14:textId="77777777" w:rsidR="0028403E" w:rsidRDefault="0028403E" w:rsidP="00346B18">
      <w:pPr>
        <w:widowControl w:val="0"/>
        <w:spacing w:line="276" w:lineRule="auto"/>
        <w:rPr>
          <w:b/>
          <w:bCs/>
          <w:smallCaps/>
        </w:rPr>
      </w:pPr>
    </w:p>
    <w:p w14:paraId="42985199" w14:textId="5BC46822" w:rsidR="0028403E" w:rsidRDefault="0028403E" w:rsidP="002A6DAC">
      <w:pPr>
        <w:pStyle w:val="titredesous-partie"/>
        <w:numPr>
          <w:ilvl w:val="0"/>
          <w:numId w:val="1"/>
        </w:numPr>
        <w:ind w:left="426" w:hanging="284"/>
      </w:pPr>
      <w:r>
        <w:t xml:space="preserve">L’immunothérapie ALLERGÉNIQUE (ITA) </w:t>
      </w:r>
    </w:p>
    <w:p w14:paraId="687F34A5" w14:textId="77777777" w:rsidR="0028403E" w:rsidRDefault="0028403E" w:rsidP="002A6DAC">
      <w:pPr>
        <w:pStyle w:val="Titre3"/>
      </w:pPr>
      <w:r>
        <w:t xml:space="preserve">Principe </w:t>
      </w:r>
    </w:p>
    <w:p w14:paraId="73138484" w14:textId="77777777" w:rsidR="0028403E" w:rsidRDefault="0028403E" w:rsidP="00346B18">
      <w:pPr>
        <w:spacing w:line="276" w:lineRule="auto"/>
      </w:pPr>
      <w:r>
        <w:t>Induction d’une tolérance immunitaire par l’administration de doses croissantes d’allergène.</w:t>
      </w:r>
    </w:p>
    <w:p w14:paraId="4ECFAF58" w14:textId="77777777" w:rsidR="0028403E" w:rsidRDefault="0028403E" w:rsidP="00346B18">
      <w:pPr>
        <w:spacing w:line="276" w:lineRule="auto"/>
      </w:pPr>
      <w:r>
        <w:t>Réorientation de la réponse lymphocytaire d’une réponse initiale Th2 vers une réponse Th1, diminution de la réponse Th2 (diminution des IgE et augmentation des IgG</w:t>
      </w:r>
      <w:r>
        <w:rPr>
          <w:vertAlign w:val="subscript"/>
        </w:rPr>
        <w:t>4</w:t>
      </w:r>
      <w:r>
        <w:t xml:space="preserve"> bloquantes), induction de Lymphocytes T régulateurs.</w:t>
      </w:r>
    </w:p>
    <w:p w14:paraId="10869252" w14:textId="77777777" w:rsidR="0028403E" w:rsidRDefault="0028403E" w:rsidP="00346B18">
      <w:pPr>
        <w:spacing w:line="276" w:lineRule="auto"/>
        <w:rPr>
          <w:b/>
          <w:bCs/>
        </w:rPr>
      </w:pPr>
    </w:p>
    <w:p w14:paraId="15A814FB" w14:textId="77777777" w:rsidR="0028403E" w:rsidRDefault="0028403E" w:rsidP="002A6DAC">
      <w:pPr>
        <w:pStyle w:val="Titre3"/>
      </w:pPr>
      <w:r>
        <w:t>Modalités pratiques</w:t>
      </w:r>
    </w:p>
    <w:p w14:paraId="6C3995B5" w14:textId="4DE20CB3" w:rsidR="0028403E" w:rsidRDefault="0028403E" w:rsidP="00346B18">
      <w:pPr>
        <w:widowControl w:val="0"/>
        <w:spacing w:line="276" w:lineRule="auto"/>
        <w:rPr>
          <w:color w:val="0070C0"/>
        </w:rPr>
      </w:pPr>
      <w:r>
        <w:t>L’ITA est indiquée, à partir de l’âge de 5 ans, dans la rhinite allergique et dans la conjonctivite allergique</w:t>
      </w:r>
      <w:r>
        <w:rPr>
          <w:rFonts w:ascii="Arial" w:eastAsia="Arial" w:hAnsi="Arial" w:cs="Arial"/>
        </w:rPr>
        <w:t> </w:t>
      </w:r>
      <w:r>
        <w:t xml:space="preserve">; elle a aussi une indication dans l’asthme non sévère et contrôlé, chez le patient allergique aux acariens. Pour les patients adultes avec rhinite allergique sensibilisés aux acariens, et avec des symptômes d’asthme persistants malgré des doses faibles à moyennes de corticoïdes inhalés et bronchodilatateurs de longue durée d’action, et un VEMS &gt; 70 %, l’ajout d’une ITA par voie sublinguale peut être considérée (GINA 2025). </w:t>
      </w:r>
      <w:r>
        <w:rPr>
          <w:color w:val="0070C0"/>
        </w:rPr>
        <w:t>Elle est aussi indiquée dans le traitement de l’allergie aux venins d’hyménoptères.</w:t>
      </w:r>
    </w:p>
    <w:p w14:paraId="78312741" w14:textId="77777777" w:rsidR="0028403E" w:rsidRDefault="0028403E" w:rsidP="00346B18">
      <w:pPr>
        <w:widowControl w:val="0"/>
        <w:spacing w:line="276" w:lineRule="auto"/>
        <w:rPr>
          <w:color w:val="0070C0"/>
        </w:rPr>
      </w:pPr>
    </w:p>
    <w:p w14:paraId="10BBD50A" w14:textId="77777777" w:rsidR="0028403E" w:rsidRDefault="0028403E" w:rsidP="00346B18">
      <w:pPr>
        <w:widowControl w:val="0"/>
        <w:spacing w:line="276" w:lineRule="auto"/>
      </w:pPr>
      <w:r>
        <w:t xml:space="preserve">Le traitement a une durée d’au moins 3 ans (ou 3 saisons polliniques consécutives). Elle est le seul traitement curatif de la </w:t>
      </w:r>
      <w:proofErr w:type="spellStart"/>
      <w:r>
        <w:t>rhinoconjonctivite</w:t>
      </w:r>
      <w:proofErr w:type="spellEnd"/>
      <w:r>
        <w:t xml:space="preserve"> allergique, avec un effet rémanent protecteur au long cours à l’arrêt de l’ITA, alors que les autres médicaments sont seulement symptomatiques. </w:t>
      </w:r>
      <w:r>
        <w:rPr>
          <w:u w:val="single"/>
        </w:rPr>
        <w:t xml:space="preserve"> </w:t>
      </w:r>
    </w:p>
    <w:p w14:paraId="10E88DD1" w14:textId="0284C8D0" w:rsidR="0028403E" w:rsidRDefault="002A6DAC" w:rsidP="00346B18">
      <w:pPr>
        <w:widowControl w:val="0"/>
        <w:spacing w:line="276" w:lineRule="auto"/>
        <w:rPr>
          <w:color w:val="0070C0"/>
          <w:u w:val="single"/>
        </w:rPr>
      </w:pPr>
      <w:r>
        <w:rPr>
          <w:noProof/>
        </w:rPr>
        <w:drawing>
          <wp:anchor distT="0" distB="0" distL="114300" distR="114300" simplePos="0" relativeHeight="251785216" behindDoc="0" locked="0" layoutInCell="1" hidden="0" allowOverlap="1" wp14:anchorId="61C6954F" wp14:editId="418ABE73">
            <wp:simplePos x="0" y="0"/>
            <wp:positionH relativeFrom="column">
              <wp:posOffset>-266228</wp:posOffset>
            </wp:positionH>
            <wp:positionV relativeFrom="paragraph">
              <wp:posOffset>191135</wp:posOffset>
            </wp:positionV>
            <wp:extent cx="153670" cy="137160"/>
            <wp:effectExtent l="0" t="0" r="0" b="0"/>
            <wp:wrapSquare wrapText="bothSides" distT="0" distB="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449552B5" w14:textId="54A6151C" w:rsidR="0028403E" w:rsidRDefault="0028403E" w:rsidP="00346B18">
      <w:pPr>
        <w:widowControl w:val="0"/>
        <w:spacing w:line="276" w:lineRule="auto"/>
        <w:rPr>
          <w:color w:val="0070C0"/>
          <w:u w:val="single"/>
        </w:rPr>
      </w:pPr>
      <w:r>
        <w:rPr>
          <w:color w:val="0070C0"/>
          <w:u w:val="single"/>
        </w:rPr>
        <w:t>Voie sublinguale</w:t>
      </w:r>
      <w:r>
        <w:rPr>
          <w:color w:val="0070C0"/>
        </w:rPr>
        <w:t xml:space="preserve"> (liquide) :</w:t>
      </w:r>
    </w:p>
    <w:p w14:paraId="2F92C40B" w14:textId="77777777" w:rsidR="0028403E" w:rsidRDefault="0028403E" w:rsidP="00346B18">
      <w:pPr>
        <w:spacing w:line="276" w:lineRule="auto"/>
        <w:rPr>
          <w:color w:val="0070C0"/>
        </w:rPr>
      </w:pPr>
      <w:r>
        <w:rPr>
          <w:color w:val="0070C0"/>
        </w:rPr>
        <w:t>- Habituellement pas d’effets secondaires systémiques.</w:t>
      </w:r>
    </w:p>
    <w:p w14:paraId="2C77AF1E" w14:textId="77777777" w:rsidR="0028403E" w:rsidRDefault="0028403E" w:rsidP="00346B18">
      <w:pPr>
        <w:spacing w:line="276" w:lineRule="auto"/>
        <w:rPr>
          <w:color w:val="0070C0"/>
        </w:rPr>
      </w:pPr>
      <w:r>
        <w:rPr>
          <w:color w:val="0070C0"/>
        </w:rPr>
        <w:t>- Possibles effets secondaires locaux (œdème des lèvres, de la langue, prurit oral).</w:t>
      </w:r>
    </w:p>
    <w:p w14:paraId="0685D291" w14:textId="77777777" w:rsidR="0028403E" w:rsidRDefault="0028403E" w:rsidP="00346B18">
      <w:pPr>
        <w:spacing w:line="276" w:lineRule="auto"/>
        <w:rPr>
          <w:color w:val="0070C0"/>
          <w:u w:val="single"/>
        </w:rPr>
      </w:pPr>
      <w:r>
        <w:rPr>
          <w:color w:val="0070C0"/>
          <w:u w:val="single"/>
        </w:rPr>
        <w:t>Voie sublinguale</w:t>
      </w:r>
      <w:r>
        <w:rPr>
          <w:color w:val="0070C0"/>
        </w:rPr>
        <w:t xml:space="preserve"> (comprimés) :</w:t>
      </w:r>
    </w:p>
    <w:p w14:paraId="56EBAEC9" w14:textId="77777777" w:rsidR="0028403E" w:rsidRDefault="0028403E" w:rsidP="00346B18">
      <w:pPr>
        <w:spacing w:line="276" w:lineRule="auto"/>
        <w:rPr>
          <w:color w:val="0070C0"/>
        </w:rPr>
      </w:pPr>
      <w:r>
        <w:rPr>
          <w:color w:val="0070C0"/>
        </w:rPr>
        <w:t>- Moins de contraintes pour le patient car se conserve à température ambiante.</w:t>
      </w:r>
    </w:p>
    <w:p w14:paraId="2A9D3202" w14:textId="77777777" w:rsidR="0028403E" w:rsidRDefault="0028403E" w:rsidP="00346B18">
      <w:pPr>
        <w:spacing w:line="276" w:lineRule="auto"/>
        <w:rPr>
          <w:color w:val="0070C0"/>
        </w:rPr>
      </w:pPr>
      <w:r>
        <w:rPr>
          <w:color w:val="0070C0"/>
        </w:rPr>
        <w:t>- Mêmes effets secondaires que la forme sublinguale liquide.</w:t>
      </w:r>
    </w:p>
    <w:p w14:paraId="6B943A29" w14:textId="77777777" w:rsidR="0028403E" w:rsidRDefault="0028403E" w:rsidP="00346B18">
      <w:pPr>
        <w:spacing w:line="276" w:lineRule="auto"/>
        <w:rPr>
          <w:color w:val="0070C0"/>
        </w:rPr>
      </w:pPr>
      <w:r>
        <w:rPr>
          <w:color w:val="0070C0"/>
        </w:rPr>
        <w:t>- Première prise sous surveillance médicale (30 minutes).</w:t>
      </w:r>
    </w:p>
    <w:p w14:paraId="30882304" w14:textId="77777777" w:rsidR="0028403E" w:rsidRDefault="0028403E" w:rsidP="00346B18">
      <w:pPr>
        <w:spacing w:line="276" w:lineRule="auto"/>
        <w:rPr>
          <w:color w:val="0070C0"/>
        </w:rPr>
      </w:pPr>
      <w:r>
        <w:rPr>
          <w:color w:val="0070C0"/>
        </w:rPr>
        <w:t>- Disponible à ce jour en France pour les acariens, les graminées, et le bouleau.</w:t>
      </w:r>
    </w:p>
    <w:p w14:paraId="71B42E7C" w14:textId="77777777" w:rsidR="0028403E" w:rsidRDefault="0028403E" w:rsidP="00346B18">
      <w:pPr>
        <w:spacing w:line="276" w:lineRule="auto"/>
        <w:rPr>
          <w:color w:val="0070C0"/>
          <w:u w:val="single"/>
        </w:rPr>
      </w:pPr>
      <w:r>
        <w:rPr>
          <w:color w:val="0070C0"/>
          <w:u w:val="single"/>
        </w:rPr>
        <w:t>Voie injectable</w:t>
      </w:r>
      <w:r>
        <w:rPr>
          <w:color w:val="0070C0"/>
        </w:rPr>
        <w:t xml:space="preserve"> (sous-cutanée) :</w:t>
      </w:r>
    </w:p>
    <w:p w14:paraId="286849AD" w14:textId="77777777" w:rsidR="0028403E" w:rsidRDefault="0028403E" w:rsidP="00346B18">
      <w:pPr>
        <w:spacing w:line="276" w:lineRule="auto"/>
        <w:rPr>
          <w:color w:val="0070C0"/>
        </w:rPr>
      </w:pPr>
      <w:r>
        <w:rPr>
          <w:color w:val="0070C0"/>
        </w:rPr>
        <w:t>- Disponible en France exclusivement pour les venins d’hyménoptères.</w:t>
      </w:r>
    </w:p>
    <w:p w14:paraId="43DF4ACA" w14:textId="77777777" w:rsidR="0028403E" w:rsidRDefault="0028403E" w:rsidP="00346B18">
      <w:pPr>
        <w:spacing w:line="276" w:lineRule="auto"/>
      </w:pPr>
    </w:p>
    <w:p w14:paraId="6844F229" w14:textId="77777777" w:rsidR="0028403E" w:rsidRDefault="0028403E" w:rsidP="00346B18">
      <w:pPr>
        <w:widowControl w:val="0"/>
        <w:spacing w:line="276" w:lineRule="auto"/>
        <w:rPr>
          <w:color w:val="0070C0"/>
        </w:rPr>
      </w:pPr>
      <w:r>
        <w:rPr>
          <w:b/>
          <w:bCs/>
          <w:color w:val="0070C0"/>
        </w:rPr>
        <w:t xml:space="preserve">Contre-indications </w:t>
      </w:r>
    </w:p>
    <w:p w14:paraId="380AF360" w14:textId="77777777" w:rsidR="0028403E" w:rsidRDefault="0028403E" w:rsidP="00346B1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xml:space="preserve">Absolues : </w:t>
      </w:r>
    </w:p>
    <w:p w14:paraId="1727739B"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Grossesse (l’ITA ne doit pas être initiée pendant la grossesse, mais peut être poursuivie si débutée avant une grossesse, sous réserve d’une bonne tolérance).</w:t>
      </w:r>
    </w:p>
    <w:p w14:paraId="5F8AD0F5"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Immunodépressions sévères.</w:t>
      </w:r>
    </w:p>
    <w:p w14:paraId="6B7F2410"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Affections auto-immunes systémiques.</w:t>
      </w:r>
    </w:p>
    <w:p w14:paraId="07976A95"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Néoplasies.</w:t>
      </w:r>
    </w:p>
    <w:p w14:paraId="56E097D7"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lastRenderedPageBreak/>
        <w:t>- Troubles psychiatriques sévères.</w:t>
      </w:r>
    </w:p>
    <w:p w14:paraId="012DF86A"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Infection des voies respiratoires chez l’asthmatique (attendre la guérison complète pour débuter le traitement).</w:t>
      </w:r>
    </w:p>
    <w:p w14:paraId="5B9F9DCC"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xml:space="preserve">- L’asthme non contrôlé est une contre-indication transitoire : le patient pourra être traité par ITA après contrôle des symptômes d’asthme. </w:t>
      </w:r>
    </w:p>
    <w:p w14:paraId="15758A28"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r>
        <w:rPr>
          <w:color w:val="0070C0"/>
        </w:rPr>
        <w:t>- L’asthme sévère non contrôlé ou exacerbation sévère d’asthme au cours des 3 derniers mois.</w:t>
      </w:r>
    </w:p>
    <w:p w14:paraId="5941E6D0" w14:textId="77777777" w:rsidR="0028403E" w:rsidRDefault="0028403E" w:rsidP="00346B18">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color w:val="0070C0"/>
        </w:rPr>
      </w:pPr>
    </w:p>
    <w:p w14:paraId="5040A1F0" w14:textId="77777777" w:rsidR="0028403E" w:rsidRDefault="0028403E" w:rsidP="00346B18">
      <w:pPr>
        <w:spacing w:line="276" w:lineRule="auto"/>
        <w:rPr>
          <w:color w:val="0070C0"/>
        </w:rPr>
      </w:pPr>
      <w:r>
        <w:rPr>
          <w:color w:val="0070C0"/>
        </w:rPr>
        <w:t>Relatives : asthme sévère contrôlé</w:t>
      </w:r>
      <w:r>
        <w:rPr>
          <w:rFonts w:ascii="Arial" w:eastAsia="Arial" w:hAnsi="Arial" w:cs="Arial"/>
          <w:color w:val="0070C0"/>
        </w:rPr>
        <w:t> </w:t>
      </w:r>
      <w:r>
        <w:rPr>
          <w:color w:val="0070C0"/>
        </w:rPr>
        <w:t>; bêtabloquants</w:t>
      </w:r>
      <w:r>
        <w:rPr>
          <w:rFonts w:ascii="Arial" w:eastAsia="Arial" w:hAnsi="Arial" w:cs="Arial"/>
          <w:color w:val="0070C0"/>
        </w:rPr>
        <w:t> </w:t>
      </w:r>
      <w:r>
        <w:rPr>
          <w:color w:val="0070C0"/>
        </w:rPr>
        <w:t>; risque de faible observance thérapeutique</w:t>
      </w:r>
      <w:r>
        <w:rPr>
          <w:rFonts w:ascii="Arial" w:eastAsia="Arial" w:hAnsi="Arial" w:cs="Arial"/>
          <w:color w:val="0070C0"/>
        </w:rPr>
        <w:t> </w:t>
      </w:r>
      <w:r>
        <w:rPr>
          <w:color w:val="0070C0"/>
        </w:rPr>
        <w:t>; maladies cardiovasculaires graves</w:t>
      </w:r>
      <w:r>
        <w:rPr>
          <w:rFonts w:ascii="Arial" w:eastAsia="Arial" w:hAnsi="Arial" w:cs="Arial"/>
          <w:color w:val="0070C0"/>
        </w:rPr>
        <w:t> </w:t>
      </w:r>
      <w:r>
        <w:rPr>
          <w:color w:val="0070C0"/>
        </w:rPr>
        <w:t>; maladies auto-immunes systémiques en rémission ou spécifiques à un organe</w:t>
      </w:r>
      <w:r>
        <w:rPr>
          <w:rFonts w:ascii="Arial" w:eastAsia="Arial" w:hAnsi="Arial" w:cs="Arial"/>
          <w:color w:val="0070C0"/>
        </w:rPr>
        <w:t> </w:t>
      </w:r>
      <w:r>
        <w:rPr>
          <w:color w:val="0070C0"/>
        </w:rPr>
        <w:t>; immunodéficiences primaires et secondaires en rémission.</w:t>
      </w:r>
    </w:p>
    <w:p w14:paraId="5A914F00" w14:textId="77777777" w:rsidR="0028403E" w:rsidRDefault="0028403E" w:rsidP="00346B18">
      <w:pPr>
        <w:spacing w:line="276" w:lineRule="auto"/>
        <w:rPr>
          <w:color w:val="0070C0"/>
        </w:rPr>
      </w:pPr>
      <w:r>
        <w:rPr>
          <w:color w:val="0070C0"/>
        </w:rPr>
        <w:t xml:space="preserve">La </w:t>
      </w:r>
      <w:proofErr w:type="spellStart"/>
      <w:r>
        <w:rPr>
          <w:color w:val="0070C0"/>
        </w:rPr>
        <w:t>polysensibilisation</w:t>
      </w:r>
      <w:proofErr w:type="spellEnd"/>
      <w:r>
        <w:rPr>
          <w:color w:val="0070C0"/>
        </w:rPr>
        <w:t xml:space="preserve"> n’est pas une contre-indication à un traitement par ITA. </w:t>
      </w:r>
    </w:p>
    <w:p w14:paraId="13909289" w14:textId="77777777" w:rsidR="0028403E" w:rsidRDefault="0028403E" w:rsidP="00346B18">
      <w:pPr>
        <w:widowControl w:val="0"/>
        <w:spacing w:line="276" w:lineRule="auto"/>
        <w:rPr>
          <w:b/>
          <w:bCs/>
        </w:rPr>
      </w:pPr>
    </w:p>
    <w:p w14:paraId="2C525BF3" w14:textId="77777777" w:rsidR="0028403E" w:rsidRDefault="0028403E" w:rsidP="002A6DAC">
      <w:pPr>
        <w:pStyle w:val="Titre3"/>
      </w:pPr>
      <w:r>
        <w:t>Efficacité – Surveillance</w:t>
      </w:r>
    </w:p>
    <w:p w14:paraId="6E9E4C5F" w14:textId="77777777" w:rsidR="0028403E" w:rsidRDefault="0028403E" w:rsidP="00346B18">
      <w:pPr>
        <w:spacing w:line="276" w:lineRule="auto"/>
        <w:rPr>
          <w:strike/>
        </w:rPr>
      </w:pPr>
      <w:r>
        <w:t>L’ITA doit faire la preuve de son efficacité dans la première année (diminution des symptômes et/ou baisse de la consommation médicamenteuse)</w:t>
      </w:r>
      <w:r>
        <w:rPr>
          <w:rFonts w:ascii="Arial" w:eastAsia="Arial" w:hAnsi="Arial" w:cs="Arial"/>
        </w:rPr>
        <w:t> </w:t>
      </w:r>
      <w:r>
        <w:t>; sinon, son arrêt doit être discuté.</w:t>
      </w:r>
    </w:p>
    <w:p w14:paraId="49E4C336" w14:textId="77777777" w:rsidR="0028403E" w:rsidRDefault="0028403E" w:rsidP="00346B18">
      <w:pPr>
        <w:spacing w:line="276" w:lineRule="auto"/>
      </w:pPr>
    </w:p>
    <w:p w14:paraId="6821BB44" w14:textId="77777777" w:rsidR="0028403E" w:rsidRDefault="0028403E" w:rsidP="00346B18">
      <w:pPr>
        <w:spacing w:line="276" w:lineRule="auto"/>
      </w:pPr>
      <w:r>
        <w:t>L’objectif d’un traitement par ITA est de :</w:t>
      </w:r>
    </w:p>
    <w:p w14:paraId="711A18EF" w14:textId="77777777" w:rsidR="0028403E" w:rsidRDefault="0028403E" w:rsidP="00346B18">
      <w:pPr>
        <w:spacing w:line="276" w:lineRule="auto"/>
      </w:pPr>
      <w:r>
        <w:t>- Réduire les symptômes de rhinite allergique et la prise de médicaments symptomatiques.</w:t>
      </w:r>
    </w:p>
    <w:p w14:paraId="113B84FC" w14:textId="77777777" w:rsidR="0028403E" w:rsidRDefault="0028403E" w:rsidP="00346B18">
      <w:pPr>
        <w:spacing w:line="276" w:lineRule="auto"/>
      </w:pPr>
      <w:r>
        <w:t>- Prévenir le risque d’apparition d’une nouvelle sensibilisation/allergie.</w:t>
      </w:r>
    </w:p>
    <w:p w14:paraId="33696A46" w14:textId="77777777" w:rsidR="0028403E" w:rsidRDefault="0028403E" w:rsidP="00346B18">
      <w:pPr>
        <w:spacing w:line="276" w:lineRule="auto"/>
      </w:pPr>
      <w:r>
        <w:t>- Prévenir l’apparition d’un asthme, notamment chez l’enfant avec une rhinite allergique.</w:t>
      </w:r>
    </w:p>
    <w:p w14:paraId="6E1ED824" w14:textId="77777777" w:rsidR="0028403E" w:rsidRDefault="0028403E" w:rsidP="00346B18">
      <w:pPr>
        <w:spacing w:line="276" w:lineRule="auto"/>
      </w:pPr>
      <w:r>
        <w:t>- Réduire la sévérité de l’asthme et la prise de médicaments pour l’asthme.</w:t>
      </w:r>
    </w:p>
    <w:p w14:paraId="3056DFAE" w14:textId="77777777" w:rsidR="0028403E" w:rsidRDefault="0028403E" w:rsidP="00346B18">
      <w:pPr>
        <w:spacing w:line="276" w:lineRule="auto"/>
      </w:pPr>
      <w:r>
        <w:t>- Améliorer la qualité de vie du patient.</w:t>
      </w:r>
    </w:p>
    <w:p w14:paraId="0FCFE0C5" w14:textId="77777777" w:rsidR="0028403E" w:rsidRDefault="0028403E" w:rsidP="00346B18">
      <w:pPr>
        <w:widowControl w:val="0"/>
        <w:spacing w:line="276" w:lineRule="auto"/>
        <w:rPr>
          <w:b/>
          <w:bCs/>
          <w:smallCaps/>
        </w:rPr>
      </w:pPr>
    </w:p>
    <w:p w14:paraId="34EE8EC7" w14:textId="65149156" w:rsidR="0028403E" w:rsidRDefault="0028403E" w:rsidP="002A6DAC">
      <w:pPr>
        <w:pStyle w:val="titredesous-partie"/>
        <w:numPr>
          <w:ilvl w:val="0"/>
          <w:numId w:val="1"/>
        </w:numPr>
        <w:ind w:left="426" w:hanging="284"/>
      </w:pPr>
      <w:r>
        <w:t>Les autres dimensions du traitement</w:t>
      </w:r>
    </w:p>
    <w:p w14:paraId="3EE83E63" w14:textId="77777777" w:rsidR="0028403E" w:rsidRDefault="0028403E" w:rsidP="002A6DAC">
      <w:pPr>
        <w:pStyle w:val="Titre3"/>
      </w:pPr>
      <w:r>
        <w:t xml:space="preserve">Éducation thérapeutique </w:t>
      </w:r>
    </w:p>
    <w:p w14:paraId="6EAE2A7D" w14:textId="77777777" w:rsidR="0028403E" w:rsidRDefault="0028403E" w:rsidP="00346B18">
      <w:pPr>
        <w:spacing w:line="276" w:lineRule="auto"/>
      </w:pPr>
      <w:r>
        <w:t>Elle est indispensable à la mise en place des mesures d’éviction et à l’utilisation des différents traitements (traitements inhalés, ITA, trousse d’urgence).</w:t>
      </w:r>
    </w:p>
    <w:p w14:paraId="2AA0E50A" w14:textId="77777777" w:rsidR="0028403E" w:rsidRDefault="0028403E" w:rsidP="00346B18">
      <w:pPr>
        <w:widowControl w:val="0"/>
        <w:spacing w:line="276" w:lineRule="auto"/>
      </w:pPr>
    </w:p>
    <w:p w14:paraId="797F6C33" w14:textId="77777777" w:rsidR="0028403E" w:rsidRDefault="0028403E" w:rsidP="002A6DAC">
      <w:pPr>
        <w:pStyle w:val="Titre3"/>
      </w:pPr>
      <w:r>
        <w:t>Dimension psychologique </w:t>
      </w:r>
    </w:p>
    <w:p w14:paraId="2866C9E1" w14:textId="77777777" w:rsidR="0028403E" w:rsidRDefault="0028403E" w:rsidP="00346B18">
      <w:pPr>
        <w:spacing w:line="276" w:lineRule="auto"/>
      </w:pPr>
      <w:r>
        <w:t>Comme toute maladie chronique, la maladie allergique nécessite l’évaluation de son retentissement psychologique.</w:t>
      </w:r>
    </w:p>
    <w:p w14:paraId="0A5B7F34" w14:textId="77777777" w:rsidR="0028403E" w:rsidRDefault="0028403E" w:rsidP="00346B18">
      <w:pPr>
        <w:spacing w:line="276" w:lineRule="auto"/>
      </w:pPr>
    </w:p>
    <w:p w14:paraId="732BA5C9" w14:textId="77777777" w:rsidR="0028403E" w:rsidRDefault="0028403E" w:rsidP="00346B18">
      <w:pPr>
        <w:spacing w:line="276" w:lineRule="auto"/>
      </w:pPr>
    </w:p>
    <w:p w14:paraId="6C83FD30" w14:textId="77777777" w:rsidR="0028403E" w:rsidRDefault="0028403E" w:rsidP="00346B18">
      <w:pPr>
        <w:spacing w:line="276" w:lineRule="auto"/>
        <w:jc w:val="left"/>
        <w:rPr>
          <w:b/>
          <w:bCs/>
          <w:color w:val="0070C0"/>
        </w:rPr>
      </w:pPr>
      <w:r>
        <w:br w:type="page"/>
      </w:r>
    </w:p>
    <w:p w14:paraId="1E950D4E" w14:textId="77777777" w:rsidR="0028403E" w:rsidRDefault="0028403E" w:rsidP="00346B18">
      <w:pPr>
        <w:spacing w:line="276" w:lineRule="auto"/>
        <w:rPr>
          <w:b/>
          <w:bCs/>
          <w:color w:val="0070C0"/>
        </w:rPr>
      </w:pPr>
      <w:r>
        <w:rPr>
          <w:b/>
          <w:bCs/>
          <w:color w:val="0070C0"/>
        </w:rPr>
        <w:lastRenderedPageBreak/>
        <w:t>QUESTION TOMBABLE</w:t>
      </w:r>
    </w:p>
    <w:p w14:paraId="572C2E58" w14:textId="77777777" w:rsidR="0028403E" w:rsidRDefault="0028403E" w:rsidP="00346B18">
      <w:pPr>
        <w:spacing w:line="276" w:lineRule="auto"/>
        <w:rPr>
          <w:b/>
          <w:bCs/>
          <w:smallCaps/>
          <w:color w:val="3366FF"/>
        </w:rPr>
      </w:pPr>
    </w:p>
    <w:p w14:paraId="54FACAF9" w14:textId="77777777" w:rsidR="0028403E" w:rsidRDefault="0028403E">
      <w:pPr>
        <w:numPr>
          <w:ilvl w:val="0"/>
          <w:numId w:val="15"/>
        </w:numPr>
        <w:pBdr>
          <w:top w:val="nil"/>
          <w:left w:val="nil"/>
          <w:bottom w:val="nil"/>
          <w:right w:val="nil"/>
          <w:between w:val="nil"/>
        </w:pBdr>
        <w:spacing w:line="276" w:lineRule="auto"/>
        <w:rPr>
          <w:b/>
          <w:bCs/>
        </w:rPr>
      </w:pPr>
      <w:r>
        <w:rPr>
          <w:b/>
          <w:bCs/>
        </w:rPr>
        <w:t>QRM</w:t>
      </w:r>
    </w:p>
    <w:p w14:paraId="3449869A" w14:textId="77777777" w:rsidR="0028403E" w:rsidRDefault="0028403E" w:rsidP="00346B18">
      <w:pPr>
        <w:spacing w:line="276" w:lineRule="auto"/>
      </w:pPr>
      <w:r>
        <w:t xml:space="preserve">La photographie présente les résultats de </w:t>
      </w:r>
      <w:proofErr w:type="spellStart"/>
      <w:r>
        <w:t>prick</w:t>
      </w:r>
      <w:proofErr w:type="spellEnd"/>
      <w:r>
        <w:t>-tests pour différents pneumallergènes. Le témoin positif est représenté par l’histamine</w:t>
      </w:r>
    </w:p>
    <w:p w14:paraId="03BD9B1D" w14:textId="77777777" w:rsidR="0028403E" w:rsidRDefault="0028403E" w:rsidP="00346B18">
      <w:pPr>
        <w:spacing w:line="276" w:lineRule="auto"/>
        <w:jc w:val="center"/>
      </w:pPr>
      <w:r>
        <w:rPr>
          <w:noProof/>
        </w:rPr>
        <w:drawing>
          <wp:inline distT="0" distB="0" distL="0" distR="0" wp14:anchorId="2CCBA2C6" wp14:editId="1B3062B2">
            <wp:extent cx="4138167" cy="2943062"/>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l="1429" t="22706" r="69821" b="12299"/>
                    <a:stretch>
                      <a:fillRect/>
                    </a:stretch>
                  </pic:blipFill>
                  <pic:spPr>
                    <a:xfrm>
                      <a:off x="0" y="0"/>
                      <a:ext cx="4138167" cy="2943062"/>
                    </a:xfrm>
                    <a:prstGeom prst="rect">
                      <a:avLst/>
                    </a:prstGeom>
                    <a:ln/>
                  </pic:spPr>
                </pic:pic>
              </a:graphicData>
            </a:graphic>
          </wp:inline>
        </w:drawing>
      </w:r>
    </w:p>
    <w:p w14:paraId="1BF460DC" w14:textId="77777777" w:rsidR="0028403E" w:rsidRDefault="0028403E" w:rsidP="00346B18">
      <w:pPr>
        <w:spacing w:line="276" w:lineRule="auto"/>
      </w:pPr>
      <w:r>
        <w:t>A quel(s) allergène(s) est-il sensibilisé</w:t>
      </w:r>
      <w:r>
        <w:rPr>
          <w:rFonts w:ascii="Arial" w:eastAsia="Arial" w:hAnsi="Arial" w:cs="Arial"/>
        </w:rPr>
        <w:t> </w:t>
      </w:r>
      <w:r>
        <w:t>?</w:t>
      </w:r>
    </w:p>
    <w:p w14:paraId="093489AE" w14:textId="77777777" w:rsidR="0028403E" w:rsidRDefault="0028403E">
      <w:pPr>
        <w:numPr>
          <w:ilvl w:val="0"/>
          <w:numId w:val="14"/>
        </w:numPr>
        <w:pBdr>
          <w:top w:val="nil"/>
          <w:left w:val="nil"/>
          <w:bottom w:val="nil"/>
          <w:right w:val="nil"/>
          <w:between w:val="nil"/>
        </w:pBdr>
        <w:spacing w:line="276" w:lineRule="auto"/>
        <w:jc w:val="left"/>
      </w:pPr>
      <w:r>
        <w:t>Chat</w:t>
      </w:r>
    </w:p>
    <w:p w14:paraId="3F927CB4" w14:textId="77777777" w:rsidR="0028403E" w:rsidRDefault="0028403E">
      <w:pPr>
        <w:numPr>
          <w:ilvl w:val="0"/>
          <w:numId w:val="14"/>
        </w:numPr>
        <w:pBdr>
          <w:top w:val="nil"/>
          <w:left w:val="nil"/>
          <w:bottom w:val="nil"/>
          <w:right w:val="nil"/>
          <w:between w:val="nil"/>
        </w:pBdr>
        <w:spacing w:line="276" w:lineRule="auto"/>
        <w:jc w:val="left"/>
      </w:pPr>
      <w:r>
        <w:t>Chien</w:t>
      </w:r>
    </w:p>
    <w:p w14:paraId="71C6CA79" w14:textId="77777777" w:rsidR="0028403E" w:rsidRDefault="0028403E">
      <w:pPr>
        <w:numPr>
          <w:ilvl w:val="0"/>
          <w:numId w:val="14"/>
        </w:numPr>
        <w:pBdr>
          <w:top w:val="nil"/>
          <w:left w:val="nil"/>
          <w:bottom w:val="nil"/>
          <w:right w:val="nil"/>
          <w:between w:val="nil"/>
        </w:pBdr>
        <w:spacing w:line="276" w:lineRule="auto"/>
        <w:jc w:val="left"/>
      </w:pPr>
      <w:r>
        <w:t>Bouleau</w:t>
      </w:r>
    </w:p>
    <w:p w14:paraId="72526FED" w14:textId="77777777" w:rsidR="0028403E" w:rsidRDefault="0028403E">
      <w:pPr>
        <w:numPr>
          <w:ilvl w:val="0"/>
          <w:numId w:val="14"/>
        </w:numPr>
        <w:pBdr>
          <w:top w:val="nil"/>
          <w:left w:val="nil"/>
          <w:bottom w:val="nil"/>
          <w:right w:val="nil"/>
          <w:between w:val="nil"/>
        </w:pBdr>
        <w:spacing w:line="276" w:lineRule="auto"/>
        <w:jc w:val="left"/>
      </w:pPr>
      <w:r>
        <w:t>Témoin négatif</w:t>
      </w:r>
    </w:p>
    <w:p w14:paraId="5F9CCD8F" w14:textId="77777777" w:rsidR="0028403E" w:rsidRDefault="0028403E">
      <w:pPr>
        <w:numPr>
          <w:ilvl w:val="0"/>
          <w:numId w:val="14"/>
        </w:numPr>
        <w:pBdr>
          <w:top w:val="nil"/>
          <w:left w:val="nil"/>
          <w:bottom w:val="nil"/>
          <w:right w:val="nil"/>
          <w:between w:val="nil"/>
        </w:pBdr>
        <w:spacing w:line="276" w:lineRule="auto"/>
        <w:jc w:val="left"/>
      </w:pPr>
      <w:r>
        <w:t>Histamine</w:t>
      </w:r>
    </w:p>
    <w:p w14:paraId="1D86C789" w14:textId="77777777" w:rsidR="0028403E" w:rsidRDefault="0028403E">
      <w:pPr>
        <w:numPr>
          <w:ilvl w:val="0"/>
          <w:numId w:val="14"/>
        </w:numPr>
        <w:pBdr>
          <w:top w:val="nil"/>
          <w:left w:val="nil"/>
          <w:bottom w:val="nil"/>
          <w:right w:val="nil"/>
          <w:between w:val="nil"/>
        </w:pBdr>
        <w:spacing w:line="276" w:lineRule="auto"/>
        <w:jc w:val="left"/>
      </w:pPr>
      <w:proofErr w:type="spellStart"/>
      <w:r>
        <w:t>Dermatophagoides</w:t>
      </w:r>
      <w:proofErr w:type="spellEnd"/>
      <w:r>
        <w:t xml:space="preserve"> </w:t>
      </w:r>
      <w:proofErr w:type="spellStart"/>
      <w:r>
        <w:t>Pteronyssimus</w:t>
      </w:r>
      <w:proofErr w:type="spellEnd"/>
    </w:p>
    <w:p w14:paraId="56A18B6A" w14:textId="77777777" w:rsidR="0028403E" w:rsidRDefault="0028403E">
      <w:pPr>
        <w:numPr>
          <w:ilvl w:val="0"/>
          <w:numId w:val="14"/>
        </w:numPr>
        <w:pBdr>
          <w:top w:val="nil"/>
          <w:left w:val="nil"/>
          <w:bottom w:val="nil"/>
          <w:right w:val="nil"/>
          <w:between w:val="nil"/>
        </w:pBdr>
        <w:spacing w:line="276" w:lineRule="auto"/>
        <w:jc w:val="left"/>
      </w:pPr>
      <w:proofErr w:type="spellStart"/>
      <w:r>
        <w:t>Dermatophagoides</w:t>
      </w:r>
      <w:proofErr w:type="spellEnd"/>
      <w:r>
        <w:t xml:space="preserve"> Farinae</w:t>
      </w:r>
    </w:p>
    <w:p w14:paraId="0E6E47A3" w14:textId="139E79EB" w:rsidR="0028403E" w:rsidRDefault="0028403E">
      <w:pPr>
        <w:numPr>
          <w:ilvl w:val="0"/>
          <w:numId w:val="14"/>
        </w:numPr>
        <w:pBdr>
          <w:top w:val="nil"/>
          <w:left w:val="nil"/>
          <w:bottom w:val="nil"/>
          <w:right w:val="nil"/>
          <w:between w:val="nil"/>
        </w:pBdr>
        <w:spacing w:line="276" w:lineRule="auto"/>
        <w:jc w:val="left"/>
      </w:pPr>
      <w:r>
        <w:t>Graminé</w:t>
      </w:r>
      <w:r w:rsidR="003F0351">
        <w:t>e</w:t>
      </w:r>
      <w:r>
        <w:t>s</w:t>
      </w:r>
    </w:p>
    <w:p w14:paraId="37BF01CC" w14:textId="77777777" w:rsidR="0028403E" w:rsidRDefault="0028403E" w:rsidP="00346B18">
      <w:pPr>
        <w:spacing w:line="276" w:lineRule="auto"/>
      </w:pPr>
    </w:p>
    <w:p w14:paraId="35B4B0D3" w14:textId="77777777" w:rsidR="0028403E" w:rsidRDefault="0028403E" w:rsidP="00346B18">
      <w:pPr>
        <w:spacing w:line="276" w:lineRule="auto"/>
      </w:pPr>
    </w:p>
    <w:p w14:paraId="6FF04D97" w14:textId="77777777" w:rsidR="0028403E" w:rsidRDefault="0028403E" w:rsidP="00346B18">
      <w:pPr>
        <w:spacing w:line="276" w:lineRule="auto"/>
      </w:pPr>
    </w:p>
    <w:p w14:paraId="70DD89DF" w14:textId="77777777" w:rsidR="0028403E" w:rsidRDefault="0028403E" w:rsidP="00346B18">
      <w:pPr>
        <w:spacing w:line="276" w:lineRule="auto"/>
      </w:pPr>
    </w:p>
    <w:p w14:paraId="7DFF1F20" w14:textId="77777777" w:rsidR="0028403E" w:rsidRDefault="0028403E" w:rsidP="00346B18">
      <w:pPr>
        <w:spacing w:line="276" w:lineRule="auto"/>
      </w:pPr>
    </w:p>
    <w:p w14:paraId="3F5A1D37" w14:textId="77777777" w:rsidR="0028403E" w:rsidRDefault="0028403E" w:rsidP="00346B18">
      <w:pPr>
        <w:spacing w:line="276" w:lineRule="auto"/>
      </w:pPr>
    </w:p>
    <w:p w14:paraId="7F1F93EE" w14:textId="77777777" w:rsidR="0028403E" w:rsidRDefault="0028403E" w:rsidP="00346B18">
      <w:pPr>
        <w:spacing w:line="276" w:lineRule="auto"/>
      </w:pPr>
    </w:p>
    <w:p w14:paraId="797B0034" w14:textId="77777777" w:rsidR="0028403E" w:rsidRDefault="0028403E" w:rsidP="00346B18">
      <w:pPr>
        <w:spacing w:line="276" w:lineRule="auto"/>
      </w:pPr>
    </w:p>
    <w:p w14:paraId="7EC3B6B5" w14:textId="77777777" w:rsidR="0028403E" w:rsidRDefault="0028403E" w:rsidP="00346B18">
      <w:pPr>
        <w:spacing w:line="276" w:lineRule="auto"/>
      </w:pPr>
    </w:p>
    <w:p w14:paraId="4A4D93EA" w14:textId="77777777" w:rsidR="0028403E" w:rsidRDefault="0028403E" w:rsidP="00346B18">
      <w:pPr>
        <w:spacing w:line="276" w:lineRule="auto"/>
      </w:pPr>
    </w:p>
    <w:p w14:paraId="6233BE54" w14:textId="77777777" w:rsidR="0028403E" w:rsidRDefault="0028403E" w:rsidP="00346B18">
      <w:pPr>
        <w:spacing w:line="276" w:lineRule="auto"/>
      </w:pPr>
    </w:p>
    <w:p w14:paraId="7A91AB04" w14:textId="77777777" w:rsidR="0028403E" w:rsidRDefault="0028403E" w:rsidP="00346B18">
      <w:pPr>
        <w:spacing w:line="276" w:lineRule="auto"/>
      </w:pPr>
    </w:p>
    <w:p w14:paraId="775A9B67" w14:textId="77777777" w:rsidR="007B05D9" w:rsidRDefault="007B05D9" w:rsidP="00346B18">
      <w:pPr>
        <w:spacing w:line="276" w:lineRule="auto"/>
      </w:pPr>
    </w:p>
    <w:p w14:paraId="415AAB3E" w14:textId="77777777" w:rsidR="0028403E" w:rsidRDefault="0028403E" w:rsidP="00346B18">
      <w:pPr>
        <w:spacing w:line="276" w:lineRule="auto"/>
      </w:pPr>
    </w:p>
    <w:p w14:paraId="4E684DDA" w14:textId="77777777" w:rsidR="0028403E" w:rsidRDefault="0028403E" w:rsidP="00346B18">
      <w:pPr>
        <w:spacing w:line="276" w:lineRule="auto"/>
      </w:pPr>
    </w:p>
    <w:p w14:paraId="6F63979B" w14:textId="308A4CCA" w:rsidR="00EE0D03" w:rsidRPr="00362251" w:rsidRDefault="0028403E" w:rsidP="00346B18">
      <w:pPr>
        <w:spacing w:line="276" w:lineRule="auto"/>
      </w:pPr>
      <w:r>
        <w:t>Réponse : FGH</w:t>
      </w:r>
    </w:p>
    <w:sectPr w:rsidR="00EE0D03" w:rsidRPr="00362251" w:rsidSect="00876EF8">
      <w:headerReference w:type="even" r:id="rId17"/>
      <w:headerReference w:type="default" r:id="rId18"/>
      <w:footerReference w:type="even" r:id="rId19"/>
      <w:footerReference w:type="default" r:id="rId20"/>
      <w:headerReference w:type="first" r:id="rId21"/>
      <w:footerReference w:type="first" r:id="rId22"/>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D0618F" w14:textId="77777777" w:rsidR="00D97144" w:rsidRDefault="00D97144" w:rsidP="00116864">
      <w:r>
        <w:separator/>
      </w:r>
    </w:p>
  </w:endnote>
  <w:endnote w:type="continuationSeparator" w:id="0">
    <w:p w14:paraId="12348FA8" w14:textId="77777777" w:rsidR="00D97144" w:rsidRDefault="00D97144" w:rsidP="0011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BBF6EE" w14:textId="77777777" w:rsidR="001A684E" w:rsidRDefault="001A684E">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ED27E1" w14:textId="77777777" w:rsidR="001A684E" w:rsidRDefault="001A684E">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AD287C" w14:textId="77777777" w:rsidR="001A684E" w:rsidRDefault="001A684E">
    <w:pPr>
      <w:pStyle w:val="Pieddepag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EFA4A2" w14:textId="77777777" w:rsidR="00D97144" w:rsidRDefault="00D97144" w:rsidP="00116864">
      <w:r>
        <w:separator/>
      </w:r>
    </w:p>
  </w:footnote>
  <w:footnote w:type="continuationSeparator" w:id="0">
    <w:p w14:paraId="38181F99" w14:textId="77777777" w:rsidR="00D97144" w:rsidRDefault="00D97144" w:rsidP="00116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D92744" w14:textId="77777777" w:rsidR="001A684E" w:rsidRDefault="001A684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22F5E5" w14:textId="77777777" w:rsidR="001A684E" w:rsidRPr="00F201C7" w:rsidRDefault="001A684E" w:rsidP="001A684E">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6A03C515" w14:textId="77777777" w:rsidR="001A684E" w:rsidRDefault="001A684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58A283" w14:textId="77777777" w:rsidR="001A684E" w:rsidRDefault="001A684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280EE0"/>
    <w:multiLevelType w:val="multilevel"/>
    <w:tmpl w:val="322C0E92"/>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C122A"/>
    <w:multiLevelType w:val="multilevel"/>
    <w:tmpl w:val="35B48F6E"/>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1D3C63"/>
    <w:multiLevelType w:val="multilevel"/>
    <w:tmpl w:val="D7508F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636"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9A45C03"/>
    <w:multiLevelType w:val="multilevel"/>
    <w:tmpl w:val="88FE01F0"/>
    <w:lvl w:ilvl="0">
      <w:start w:val="1"/>
      <w:numFmt w:val="bullet"/>
      <w:lvlText w:val=""/>
      <w:lvlJc w:val="left"/>
      <w:pPr>
        <w:ind w:left="720" w:hanging="360"/>
      </w:pPr>
      <w:rPr>
        <w:rFonts w:ascii="Wingdings 2" w:hAnsi="Wingdings 2" w:hint="default"/>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B547B2"/>
    <w:multiLevelType w:val="multilevel"/>
    <w:tmpl w:val="661CB45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2637345"/>
    <w:multiLevelType w:val="multilevel"/>
    <w:tmpl w:val="7A266774"/>
    <w:lvl w:ilvl="0">
      <w:start w:val="1"/>
      <w:numFmt w:val="bullet"/>
      <w:lvlText w:val=""/>
      <w:lvlJc w:val="left"/>
      <w:pPr>
        <w:ind w:left="1788" w:hanging="360"/>
      </w:pPr>
      <w:rPr>
        <w:rFonts w:ascii="Wingdings 2" w:hAnsi="Wingdings 2" w:hint="default"/>
      </w:rPr>
    </w:lvl>
    <w:lvl w:ilvl="1">
      <w:start w:val="1"/>
      <w:numFmt w:val="bullet"/>
      <w:lvlText w:val="o"/>
      <w:lvlJc w:val="left"/>
      <w:pPr>
        <w:ind w:left="2508" w:hanging="360"/>
      </w:pPr>
      <w:rPr>
        <w:rFonts w:ascii="Courier New" w:eastAsia="Courier New" w:hAnsi="Courier New" w:cs="Courier New"/>
      </w:rPr>
    </w:lvl>
    <w:lvl w:ilvl="2">
      <w:start w:val="1"/>
      <w:numFmt w:val="bullet"/>
      <w:lvlText w:val="▪"/>
      <w:lvlJc w:val="left"/>
      <w:pPr>
        <w:ind w:left="3228" w:hanging="360"/>
      </w:pPr>
      <w:rPr>
        <w:rFonts w:ascii="Noto Sans Symbols" w:eastAsia="Noto Sans Symbols" w:hAnsi="Noto Sans Symbols" w:cs="Noto Sans Symbols"/>
      </w:rPr>
    </w:lvl>
    <w:lvl w:ilvl="3">
      <w:start w:val="1"/>
      <w:numFmt w:val="bullet"/>
      <w:lvlText w:val="●"/>
      <w:lvlJc w:val="left"/>
      <w:pPr>
        <w:ind w:left="3948" w:hanging="360"/>
      </w:pPr>
      <w:rPr>
        <w:rFonts w:ascii="Noto Sans Symbols" w:eastAsia="Noto Sans Symbols" w:hAnsi="Noto Sans Symbols" w:cs="Noto Sans Symbols"/>
      </w:rPr>
    </w:lvl>
    <w:lvl w:ilvl="4">
      <w:start w:val="1"/>
      <w:numFmt w:val="bullet"/>
      <w:lvlText w:val="o"/>
      <w:lvlJc w:val="left"/>
      <w:pPr>
        <w:ind w:left="4668" w:hanging="360"/>
      </w:pPr>
      <w:rPr>
        <w:rFonts w:ascii="Courier New" w:eastAsia="Courier New" w:hAnsi="Courier New" w:cs="Courier New"/>
      </w:rPr>
    </w:lvl>
    <w:lvl w:ilvl="5">
      <w:start w:val="1"/>
      <w:numFmt w:val="bullet"/>
      <w:lvlText w:val="▪"/>
      <w:lvlJc w:val="left"/>
      <w:pPr>
        <w:ind w:left="5388" w:hanging="360"/>
      </w:pPr>
      <w:rPr>
        <w:rFonts w:ascii="Noto Sans Symbols" w:eastAsia="Noto Sans Symbols" w:hAnsi="Noto Sans Symbols" w:cs="Noto Sans Symbols"/>
      </w:rPr>
    </w:lvl>
    <w:lvl w:ilvl="6">
      <w:start w:val="1"/>
      <w:numFmt w:val="bullet"/>
      <w:lvlText w:val="●"/>
      <w:lvlJc w:val="left"/>
      <w:pPr>
        <w:ind w:left="6108" w:hanging="360"/>
      </w:pPr>
      <w:rPr>
        <w:rFonts w:ascii="Noto Sans Symbols" w:eastAsia="Noto Sans Symbols" w:hAnsi="Noto Sans Symbols" w:cs="Noto Sans Symbols"/>
      </w:rPr>
    </w:lvl>
    <w:lvl w:ilvl="7">
      <w:start w:val="1"/>
      <w:numFmt w:val="bullet"/>
      <w:lvlText w:val="o"/>
      <w:lvlJc w:val="left"/>
      <w:pPr>
        <w:ind w:left="6828" w:hanging="360"/>
      </w:pPr>
      <w:rPr>
        <w:rFonts w:ascii="Courier New" w:eastAsia="Courier New" w:hAnsi="Courier New" w:cs="Courier New"/>
      </w:rPr>
    </w:lvl>
    <w:lvl w:ilvl="8">
      <w:start w:val="1"/>
      <w:numFmt w:val="bullet"/>
      <w:lvlText w:val="▪"/>
      <w:lvlJc w:val="left"/>
      <w:pPr>
        <w:ind w:left="7548" w:hanging="360"/>
      </w:pPr>
      <w:rPr>
        <w:rFonts w:ascii="Noto Sans Symbols" w:eastAsia="Noto Sans Symbols" w:hAnsi="Noto Sans Symbols" w:cs="Noto Sans Symbols"/>
      </w:rPr>
    </w:lvl>
  </w:abstractNum>
  <w:abstractNum w:abstractNumId="6"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CD73DF"/>
    <w:multiLevelType w:val="multilevel"/>
    <w:tmpl w:val="E06E861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7753DE6"/>
    <w:multiLevelType w:val="multilevel"/>
    <w:tmpl w:val="682A8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A8D7EEF"/>
    <w:multiLevelType w:val="multilevel"/>
    <w:tmpl w:val="9C2A676E"/>
    <w:lvl w:ilvl="0">
      <w:start w:val="1"/>
      <w:numFmt w:val="bullet"/>
      <w:lvlText w:val=""/>
      <w:lvlJc w:val="left"/>
      <w:pPr>
        <w:ind w:left="1800" w:hanging="360"/>
      </w:pPr>
      <w:rPr>
        <w:rFonts w:ascii="Wingdings 2" w:hAnsi="Wingdings 2" w:hint="default"/>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0" w15:restartNumberingAfterBreak="0">
    <w:nsid w:val="40245841"/>
    <w:multiLevelType w:val="multilevel"/>
    <w:tmpl w:val="1FE85C70"/>
    <w:lvl w:ilvl="0">
      <w:start w:val="1"/>
      <w:numFmt w:val="bullet"/>
      <w:lvlText w:val=""/>
      <w:lvlJc w:val="left"/>
      <w:pPr>
        <w:ind w:left="1636" w:hanging="360"/>
      </w:pPr>
      <w:rPr>
        <w:rFonts w:ascii="Wingdings 2" w:hAnsi="Wingdings 2" w:hint="default"/>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abstractNum w:abstractNumId="11" w15:restartNumberingAfterBreak="0">
    <w:nsid w:val="40CE695F"/>
    <w:multiLevelType w:val="multilevel"/>
    <w:tmpl w:val="8402D9C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DE1641C"/>
    <w:multiLevelType w:val="multilevel"/>
    <w:tmpl w:val="650CF08A"/>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31627C2"/>
    <w:multiLevelType w:val="multilevel"/>
    <w:tmpl w:val="7422B1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2DB28FF"/>
    <w:multiLevelType w:val="multilevel"/>
    <w:tmpl w:val="341457F4"/>
    <w:lvl w:ilvl="0">
      <w:start w:val="1"/>
      <w:numFmt w:val="bullet"/>
      <w:lvlText w:val=""/>
      <w:lvlJc w:val="left"/>
      <w:pPr>
        <w:ind w:left="1636" w:hanging="360"/>
      </w:pPr>
      <w:rPr>
        <w:rFonts w:ascii="Wingdings 2" w:hAnsi="Wingdings 2" w:hint="default"/>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abstractNum w:abstractNumId="15" w15:restartNumberingAfterBreak="0">
    <w:nsid w:val="66337012"/>
    <w:multiLevelType w:val="multilevel"/>
    <w:tmpl w:val="2654E746"/>
    <w:lvl w:ilvl="0">
      <w:start w:val="1"/>
      <w:numFmt w:val="bullet"/>
      <w:lvlText w:val=""/>
      <w:lvlJc w:val="left"/>
      <w:pPr>
        <w:ind w:left="720" w:hanging="360"/>
      </w:pPr>
      <w:rPr>
        <w:rFonts w:ascii="Wingdings 2" w:hAnsi="Wingdings 2"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AB5795E"/>
    <w:multiLevelType w:val="multilevel"/>
    <w:tmpl w:val="DC3EF0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FE74186"/>
    <w:multiLevelType w:val="multilevel"/>
    <w:tmpl w:val="62FA7E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788"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51152A4"/>
    <w:multiLevelType w:val="multilevel"/>
    <w:tmpl w:val="D140FD5E"/>
    <w:lvl w:ilvl="0">
      <w:start w:val="1"/>
      <w:numFmt w:val="bullet"/>
      <w:lvlText w:val=""/>
      <w:lvlJc w:val="left"/>
      <w:pPr>
        <w:ind w:left="1636" w:hanging="360"/>
      </w:pPr>
      <w:rPr>
        <w:rFonts w:ascii="Wingdings 2" w:hAnsi="Wingdings 2" w:hint="default"/>
      </w:rPr>
    </w:lvl>
    <w:lvl w:ilvl="1">
      <w:start w:val="1"/>
      <w:numFmt w:val="bullet"/>
      <w:lvlText w:val="o"/>
      <w:lvlJc w:val="left"/>
      <w:pPr>
        <w:ind w:left="2356" w:hanging="360"/>
      </w:pPr>
      <w:rPr>
        <w:rFonts w:ascii="Courier New" w:eastAsia="Courier New" w:hAnsi="Courier New" w:cs="Courier New"/>
      </w:rPr>
    </w:lvl>
    <w:lvl w:ilvl="2">
      <w:start w:val="1"/>
      <w:numFmt w:val="bullet"/>
      <w:lvlText w:val="▪"/>
      <w:lvlJc w:val="left"/>
      <w:pPr>
        <w:ind w:left="3076" w:hanging="360"/>
      </w:pPr>
      <w:rPr>
        <w:rFonts w:ascii="Noto Sans Symbols" w:eastAsia="Noto Sans Symbols" w:hAnsi="Noto Sans Symbols" w:cs="Noto Sans Symbols"/>
      </w:rPr>
    </w:lvl>
    <w:lvl w:ilvl="3">
      <w:start w:val="1"/>
      <w:numFmt w:val="bullet"/>
      <w:lvlText w:val="●"/>
      <w:lvlJc w:val="left"/>
      <w:pPr>
        <w:ind w:left="3796" w:hanging="360"/>
      </w:pPr>
      <w:rPr>
        <w:rFonts w:ascii="Noto Sans Symbols" w:eastAsia="Noto Sans Symbols" w:hAnsi="Noto Sans Symbols" w:cs="Noto Sans Symbols"/>
      </w:rPr>
    </w:lvl>
    <w:lvl w:ilvl="4">
      <w:start w:val="1"/>
      <w:numFmt w:val="bullet"/>
      <w:lvlText w:val="o"/>
      <w:lvlJc w:val="left"/>
      <w:pPr>
        <w:ind w:left="4516" w:hanging="360"/>
      </w:pPr>
      <w:rPr>
        <w:rFonts w:ascii="Courier New" w:eastAsia="Courier New" w:hAnsi="Courier New" w:cs="Courier New"/>
      </w:rPr>
    </w:lvl>
    <w:lvl w:ilvl="5">
      <w:start w:val="1"/>
      <w:numFmt w:val="bullet"/>
      <w:lvlText w:val="▪"/>
      <w:lvlJc w:val="left"/>
      <w:pPr>
        <w:ind w:left="5236" w:hanging="360"/>
      </w:pPr>
      <w:rPr>
        <w:rFonts w:ascii="Noto Sans Symbols" w:eastAsia="Noto Sans Symbols" w:hAnsi="Noto Sans Symbols" w:cs="Noto Sans Symbols"/>
      </w:rPr>
    </w:lvl>
    <w:lvl w:ilvl="6">
      <w:start w:val="1"/>
      <w:numFmt w:val="bullet"/>
      <w:lvlText w:val="●"/>
      <w:lvlJc w:val="left"/>
      <w:pPr>
        <w:ind w:left="5956" w:hanging="360"/>
      </w:pPr>
      <w:rPr>
        <w:rFonts w:ascii="Noto Sans Symbols" w:eastAsia="Noto Sans Symbols" w:hAnsi="Noto Sans Symbols" w:cs="Noto Sans Symbols"/>
      </w:rPr>
    </w:lvl>
    <w:lvl w:ilvl="7">
      <w:start w:val="1"/>
      <w:numFmt w:val="bullet"/>
      <w:lvlText w:val="o"/>
      <w:lvlJc w:val="left"/>
      <w:pPr>
        <w:ind w:left="6676" w:hanging="360"/>
      </w:pPr>
      <w:rPr>
        <w:rFonts w:ascii="Courier New" w:eastAsia="Courier New" w:hAnsi="Courier New" w:cs="Courier New"/>
      </w:rPr>
    </w:lvl>
    <w:lvl w:ilvl="8">
      <w:start w:val="1"/>
      <w:numFmt w:val="bullet"/>
      <w:lvlText w:val="▪"/>
      <w:lvlJc w:val="left"/>
      <w:pPr>
        <w:ind w:left="7396" w:hanging="360"/>
      </w:pPr>
      <w:rPr>
        <w:rFonts w:ascii="Noto Sans Symbols" w:eastAsia="Noto Sans Symbols" w:hAnsi="Noto Sans Symbols" w:cs="Noto Sans Symbols"/>
      </w:rPr>
    </w:lvl>
  </w:abstractNum>
  <w:abstractNum w:abstractNumId="19" w15:restartNumberingAfterBreak="0">
    <w:nsid w:val="7C9E1D80"/>
    <w:multiLevelType w:val="multilevel"/>
    <w:tmpl w:val="17F6845A"/>
    <w:lvl w:ilvl="0">
      <w:start w:val="1"/>
      <w:numFmt w:val="bullet"/>
      <w:lvlText w:val=""/>
      <w:lvlJc w:val="left"/>
      <w:pPr>
        <w:ind w:left="1428" w:hanging="360"/>
      </w:pPr>
      <w:rPr>
        <w:rFonts w:ascii="Wingdings 2" w:hAnsi="Wingdings 2" w:hint="default"/>
        <w:color w:val="000000"/>
      </w:rPr>
    </w:lvl>
    <w:lvl w:ilvl="1">
      <w:start w:val="1"/>
      <w:numFmt w:val="bullet"/>
      <w:lvlText w:val="◊"/>
      <w:lvlJc w:val="left"/>
      <w:pPr>
        <w:ind w:left="2148" w:hanging="360"/>
      </w:pPr>
      <w:rPr>
        <w:rFonts w:ascii="Noto Sans Symbols" w:eastAsia="Noto Sans Symbols" w:hAnsi="Noto Sans Symbols" w:cs="Noto Sans Symbols"/>
        <w:color w:val="000000"/>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0" w15:restartNumberingAfterBreak="0">
    <w:nsid w:val="7F692767"/>
    <w:multiLevelType w:val="hybridMultilevel"/>
    <w:tmpl w:val="891A41FA"/>
    <w:lvl w:ilvl="0" w:tplc="7DDA91CC">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0"/>
  </w:num>
  <w:num w:numId="2" w16cid:durableId="1579822130">
    <w:abstractNumId w:val="6"/>
  </w:num>
  <w:num w:numId="3" w16cid:durableId="2103211215">
    <w:abstractNumId w:val="20"/>
  </w:num>
  <w:num w:numId="4" w16cid:durableId="929578481">
    <w:abstractNumId w:val="15"/>
  </w:num>
  <w:num w:numId="5" w16cid:durableId="2104371182">
    <w:abstractNumId w:val="8"/>
  </w:num>
  <w:num w:numId="6" w16cid:durableId="1722559479">
    <w:abstractNumId w:val="16"/>
  </w:num>
  <w:num w:numId="7" w16cid:durableId="1988783741">
    <w:abstractNumId w:val="19"/>
  </w:num>
  <w:num w:numId="8" w16cid:durableId="1114402400">
    <w:abstractNumId w:val="10"/>
  </w:num>
  <w:num w:numId="9" w16cid:durableId="1129010740">
    <w:abstractNumId w:val="5"/>
  </w:num>
  <w:num w:numId="10" w16cid:durableId="812217826">
    <w:abstractNumId w:val="17"/>
  </w:num>
  <w:num w:numId="11" w16cid:durableId="1691027373">
    <w:abstractNumId w:val="9"/>
  </w:num>
  <w:num w:numId="12" w16cid:durableId="1679691720">
    <w:abstractNumId w:val="18"/>
  </w:num>
  <w:num w:numId="13" w16cid:durableId="2010448825">
    <w:abstractNumId w:val="3"/>
  </w:num>
  <w:num w:numId="14" w16cid:durableId="169681257">
    <w:abstractNumId w:val="4"/>
  </w:num>
  <w:num w:numId="15" w16cid:durableId="1293366379">
    <w:abstractNumId w:val="11"/>
  </w:num>
  <w:num w:numId="16" w16cid:durableId="1837112446">
    <w:abstractNumId w:val="14"/>
  </w:num>
  <w:num w:numId="17" w16cid:durableId="1702169535">
    <w:abstractNumId w:val="2"/>
  </w:num>
  <w:num w:numId="18" w16cid:durableId="439573113">
    <w:abstractNumId w:val="1"/>
  </w:num>
  <w:num w:numId="19" w16cid:durableId="219361937">
    <w:abstractNumId w:val="7"/>
  </w:num>
  <w:num w:numId="20" w16cid:durableId="1681423361">
    <w:abstractNumId w:val="12"/>
  </w:num>
  <w:num w:numId="21" w16cid:durableId="1853686441">
    <w:abstractNumId w:val="13"/>
  </w:num>
  <w:num w:numId="22" w16cid:durableId="1931544916">
    <w:abstractNumId w:val="6"/>
    <w:lvlOverride w:ilvl="0">
      <w:startOverride w:val="1"/>
    </w:lvlOverride>
  </w:num>
  <w:num w:numId="23" w16cid:durableId="2040618382">
    <w:abstractNumId w:val="6"/>
    <w:lvlOverride w:ilvl="0">
      <w:startOverride w:val="1"/>
    </w:lvlOverride>
  </w:num>
  <w:num w:numId="24" w16cid:durableId="269051740">
    <w:abstractNumId w:val="6"/>
    <w:lvlOverride w:ilvl="0">
      <w:startOverride w:val="1"/>
    </w:lvlOverride>
  </w:num>
  <w:numIdMacAtCleanup w:val="2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114750"/>
    <w:rsid w:val="00116864"/>
    <w:rsid w:val="00152AE8"/>
    <w:rsid w:val="00152F2A"/>
    <w:rsid w:val="001A679D"/>
    <w:rsid w:val="001A684E"/>
    <w:rsid w:val="001D386C"/>
    <w:rsid w:val="00223D50"/>
    <w:rsid w:val="00235D5A"/>
    <w:rsid w:val="00236555"/>
    <w:rsid w:val="0028403E"/>
    <w:rsid w:val="002A6DAC"/>
    <w:rsid w:val="00346B18"/>
    <w:rsid w:val="00362251"/>
    <w:rsid w:val="00375B9C"/>
    <w:rsid w:val="003D4875"/>
    <w:rsid w:val="003F0351"/>
    <w:rsid w:val="00454A58"/>
    <w:rsid w:val="004C5A2C"/>
    <w:rsid w:val="004E63D4"/>
    <w:rsid w:val="005607F8"/>
    <w:rsid w:val="005645B3"/>
    <w:rsid w:val="00574F43"/>
    <w:rsid w:val="00597F29"/>
    <w:rsid w:val="00600E11"/>
    <w:rsid w:val="00614CBE"/>
    <w:rsid w:val="00643DC5"/>
    <w:rsid w:val="00696E6A"/>
    <w:rsid w:val="006B55F5"/>
    <w:rsid w:val="006B62B0"/>
    <w:rsid w:val="006E70C9"/>
    <w:rsid w:val="006F77F3"/>
    <w:rsid w:val="00711BBF"/>
    <w:rsid w:val="007B05D9"/>
    <w:rsid w:val="007C0AC7"/>
    <w:rsid w:val="007F07EA"/>
    <w:rsid w:val="0081643A"/>
    <w:rsid w:val="00822CB5"/>
    <w:rsid w:val="0083127A"/>
    <w:rsid w:val="00876EF8"/>
    <w:rsid w:val="0088205E"/>
    <w:rsid w:val="008D0B6D"/>
    <w:rsid w:val="00A65C23"/>
    <w:rsid w:val="00A82548"/>
    <w:rsid w:val="00AE53D0"/>
    <w:rsid w:val="00AF2941"/>
    <w:rsid w:val="00BC5580"/>
    <w:rsid w:val="00C2589B"/>
    <w:rsid w:val="00C831C6"/>
    <w:rsid w:val="00D55DF5"/>
    <w:rsid w:val="00D946B7"/>
    <w:rsid w:val="00D97144"/>
    <w:rsid w:val="00E1401B"/>
    <w:rsid w:val="00E420F7"/>
    <w:rsid w:val="00E84981"/>
    <w:rsid w:val="00EC1890"/>
    <w:rsid w:val="00ED33FD"/>
    <w:rsid w:val="00EE0D03"/>
    <w:rsid w:val="00F01BFE"/>
    <w:rsid w:val="00F03B9C"/>
    <w:rsid w:val="00F90151"/>
    <w:rsid w:val="00FB5C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864"/>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EE0D03"/>
    <w:pPr>
      <w:numPr>
        <w:ilvl w:val="1"/>
        <w:numId w:val="1"/>
      </w:numPr>
      <w:outlineLvl w:val="2"/>
    </w:pPr>
  </w:style>
  <w:style w:type="paragraph" w:styleId="Titre4">
    <w:name w:val="heading 4"/>
    <w:basedOn w:val="Normal"/>
    <w:next w:val="Normal"/>
    <w:link w:val="Titre4Car"/>
    <w:uiPriority w:val="9"/>
    <w:semiHidden/>
    <w:unhideWhenUsed/>
    <w:qFormat/>
    <w:rsid w:val="00876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semiHidden/>
    <w:rsid w:val="00876EF8"/>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ED33FD"/>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40" w:lineRule="auto"/>
      <w:ind w:left="426" w:right="141" w:hanging="284"/>
    </w:pPr>
    <w:rPr>
      <w:sz w:val="18"/>
      <w:szCs w:val="18"/>
    </w:rPr>
  </w:style>
  <w:style w:type="character" w:customStyle="1" w:styleId="pointscls1Car">
    <w:name w:val="points clés 1 Car"/>
    <w:basedOn w:val="Policepardfaut"/>
    <w:link w:val="pointscls1"/>
    <w:rsid w:val="00ED33FD"/>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character" w:styleId="Lienhypertexte">
    <w:name w:val="Hyperlink"/>
    <w:basedOn w:val="Policepardfaut"/>
    <w:uiPriority w:val="99"/>
    <w:unhideWhenUsed/>
    <w:rsid w:val="00116864"/>
    <w:rPr>
      <w:color w:val="467886" w:themeColor="hyperlink"/>
      <w:u w:val="single"/>
    </w:rPr>
  </w:style>
  <w:style w:type="character" w:styleId="Mentionnonrsolue">
    <w:name w:val="Unresolved Mention"/>
    <w:basedOn w:val="Policepardfaut"/>
    <w:uiPriority w:val="99"/>
    <w:semiHidden/>
    <w:unhideWhenUsed/>
    <w:rsid w:val="00116864"/>
    <w:rPr>
      <w:color w:val="605E5C"/>
      <w:shd w:val="clear" w:color="auto" w:fill="E1DFDD"/>
    </w:rPr>
  </w:style>
  <w:style w:type="table" w:customStyle="1" w:styleId="TableNormal">
    <w:name w:val="TableNormal"/>
    <w:rsid w:val="00116864"/>
    <w:pPr>
      <w:jc w:val="both"/>
    </w:pPr>
    <w:rPr>
      <w:rFonts w:ascii="Trebuchet MS" w:eastAsia="Trebuchet MS" w:hAnsi="Trebuchet MS" w:cs="Trebuchet MS"/>
      <w:kern w:val="0"/>
      <w:szCs w:val="20"/>
      <w:lang w:val="fr" w:eastAsia="fr-FR"/>
      <w14:ligatures w14:val="none"/>
    </w:rPr>
    <w:tblPr>
      <w:tblCellMar>
        <w:top w:w="100" w:type="dxa"/>
        <w:left w:w="100" w:type="dxa"/>
        <w:bottom w:w="100" w:type="dxa"/>
        <w:right w:w="100" w:type="dxa"/>
      </w:tblCellMar>
    </w:tblPr>
  </w:style>
  <w:style w:type="paragraph" w:styleId="Commentaire">
    <w:name w:val="annotation text"/>
    <w:basedOn w:val="Normal"/>
    <w:link w:val="CommentaireCar"/>
    <w:uiPriority w:val="99"/>
    <w:semiHidden/>
    <w:unhideWhenUsed/>
    <w:rsid w:val="00116864"/>
    <w:pPr>
      <w:spacing w:after="160" w:line="240" w:lineRule="auto"/>
    </w:pPr>
    <w:rPr>
      <w:color w:val="auto"/>
    </w:rPr>
  </w:style>
  <w:style w:type="character" w:customStyle="1" w:styleId="CommentaireCar">
    <w:name w:val="Commentaire Car"/>
    <w:basedOn w:val="Policepardfaut"/>
    <w:link w:val="Commentaire"/>
    <w:uiPriority w:val="99"/>
    <w:semiHidden/>
    <w:rsid w:val="00116864"/>
    <w:rPr>
      <w:rFonts w:ascii="Trebuchet MS" w:eastAsia="Trebuchet MS" w:hAnsi="Trebuchet MS" w:cs="Trebuchet MS"/>
      <w:kern w:val="0"/>
      <w:szCs w:val="20"/>
      <w:lang w:val="fr" w:eastAsia="fr-FR"/>
      <w14:ligatures w14:val="none"/>
    </w:rPr>
  </w:style>
  <w:style w:type="paragraph" w:styleId="Rvision">
    <w:name w:val="Revision"/>
    <w:hidden/>
    <w:uiPriority w:val="99"/>
    <w:semiHidden/>
    <w:rsid w:val="00116864"/>
    <w:pPr>
      <w:spacing w:after="0" w:line="240" w:lineRule="auto"/>
    </w:pPr>
    <w:rPr>
      <w:rFonts w:ascii="Trebuchet MS" w:eastAsia="Trebuchet MS" w:hAnsi="Trebuchet MS" w:cs="Trebuchet MS"/>
      <w:kern w:val="0"/>
      <w:szCs w:val="20"/>
      <w:lang w:val="fr" w:eastAsia="fr-FR"/>
      <w14:ligatures w14:val="none"/>
    </w:rPr>
  </w:style>
  <w:style w:type="paragraph" w:styleId="Objetducommentaire">
    <w:name w:val="annotation subject"/>
    <w:basedOn w:val="Commentaire"/>
    <w:next w:val="Commentaire"/>
    <w:link w:val="ObjetducommentaireCar"/>
    <w:uiPriority w:val="99"/>
    <w:semiHidden/>
    <w:unhideWhenUsed/>
    <w:rsid w:val="00116864"/>
    <w:rPr>
      <w:b/>
      <w:bCs/>
    </w:rPr>
  </w:style>
  <w:style w:type="character" w:customStyle="1" w:styleId="ObjetducommentaireCar">
    <w:name w:val="Objet du commentaire Car"/>
    <w:basedOn w:val="CommentaireCar"/>
    <w:link w:val="Objetducommentaire"/>
    <w:uiPriority w:val="99"/>
    <w:semiHidden/>
    <w:rsid w:val="00116864"/>
    <w:rPr>
      <w:rFonts w:ascii="Trebuchet MS" w:eastAsia="Trebuchet MS" w:hAnsi="Trebuchet MS" w:cs="Trebuchet MS"/>
      <w:b/>
      <w:bCs/>
      <w:kern w:val="0"/>
      <w:szCs w:val="20"/>
      <w:lang w:val="fr" w:eastAsia="fr-FR"/>
      <w14:ligatures w14:val="none"/>
    </w:rPr>
  </w:style>
  <w:style w:type="paragraph" w:customStyle="1" w:styleId="pieddepage">
    <w:name w:val="pied de page"/>
    <w:basedOn w:val="Normal"/>
    <w:link w:val="pieddepageCar"/>
    <w:qFormat/>
    <w:rsid w:val="00D946B7"/>
    <w:rPr>
      <w:rFonts w:ascii="Arial" w:hAnsi="Arial" w:cs="Arial"/>
      <w:sz w:val="16"/>
      <w:szCs w:val="16"/>
    </w:rPr>
  </w:style>
  <w:style w:type="character" w:customStyle="1" w:styleId="pieddepageCar">
    <w:name w:val="pied de page Car"/>
    <w:basedOn w:val="Policepardfaut"/>
    <w:link w:val="pieddepage"/>
    <w:rsid w:val="00D946B7"/>
    <w:rPr>
      <w:rFonts w:ascii="Arial" w:eastAsia="Trebuchet MS" w:hAnsi="Arial" w:cs="Arial"/>
      <w:color w:val="000000"/>
      <w:kern w:val="0"/>
      <w:sz w:val="16"/>
      <w:szCs w:val="16"/>
      <w:lang w:val="fr" w:eastAsia="fr-FR"/>
      <w14:ligatures w14:val="none"/>
    </w:rPr>
  </w:style>
  <w:style w:type="paragraph" w:styleId="En-tte">
    <w:name w:val="header"/>
    <w:aliases w:val="Car"/>
    <w:basedOn w:val="Normal"/>
    <w:link w:val="En-tteCar"/>
    <w:unhideWhenUsed/>
    <w:rsid w:val="004E63D4"/>
    <w:pPr>
      <w:tabs>
        <w:tab w:val="center" w:pos="4536"/>
        <w:tab w:val="right" w:pos="9072"/>
      </w:tabs>
      <w:spacing w:line="240" w:lineRule="auto"/>
    </w:pPr>
  </w:style>
  <w:style w:type="character" w:customStyle="1" w:styleId="En-tteCar">
    <w:name w:val="En-tête Car"/>
    <w:aliases w:val="Car Car"/>
    <w:basedOn w:val="Policepardfaut"/>
    <w:link w:val="En-tte"/>
    <w:rsid w:val="004E63D4"/>
    <w:rPr>
      <w:rFonts w:ascii="Trebuchet MS" w:eastAsia="Trebuchet MS" w:hAnsi="Trebuchet MS" w:cs="Trebuchet MS"/>
      <w:color w:val="000000"/>
      <w:kern w:val="0"/>
      <w:szCs w:val="20"/>
      <w:lang w:val="fr" w:eastAsia="fr-FR"/>
      <w14:ligatures w14:val="none"/>
    </w:rPr>
  </w:style>
  <w:style w:type="paragraph" w:styleId="Pieddepage0">
    <w:name w:val="footer"/>
    <w:basedOn w:val="Normal"/>
    <w:link w:val="PieddepageCar0"/>
    <w:uiPriority w:val="99"/>
    <w:unhideWhenUsed/>
    <w:rsid w:val="004E63D4"/>
    <w:pPr>
      <w:tabs>
        <w:tab w:val="center" w:pos="4536"/>
        <w:tab w:val="right" w:pos="9072"/>
      </w:tabs>
      <w:spacing w:line="240" w:lineRule="auto"/>
    </w:pPr>
  </w:style>
  <w:style w:type="character" w:customStyle="1" w:styleId="PieddepageCar0">
    <w:name w:val="Pied de page Car"/>
    <w:basedOn w:val="Policepardfaut"/>
    <w:link w:val="Pieddepage0"/>
    <w:uiPriority w:val="99"/>
    <w:rsid w:val="004E63D4"/>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20</Pages>
  <Words>5516</Words>
  <Characters>33540</Characters>
  <Application>Microsoft Office Word</Application>
  <DocSecurity>0</DocSecurity>
  <Lines>780</Lines>
  <Paragraphs>527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32</cp:revision>
  <dcterms:created xsi:type="dcterms:W3CDTF">2026-06-02T14:47:00Z</dcterms:created>
  <dcterms:modified xsi:type="dcterms:W3CDTF">2026-09-10T15:42:00Z</dcterms:modified>
</cp:coreProperties>
</file>