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D3067A" w14:textId="2C1FDA82" w:rsidR="003208BA" w:rsidRDefault="004B0EE9" w:rsidP="00116864">
      <w:pPr>
        <w:rPr>
          <w:color w:val="2E74B5"/>
          <w:sz w:val="32"/>
          <w:szCs w:val="32"/>
        </w:rPr>
      </w:pPr>
      <w:r w:rsidRPr="00357D58">
        <w:rPr>
          <w:noProof/>
        </w:rPr>
        <w:drawing>
          <wp:anchor distT="0" distB="0" distL="114300" distR="114300" simplePos="0" relativeHeight="251811840" behindDoc="0" locked="0" layoutInCell="1" allowOverlap="1" wp14:anchorId="5D0E6E56" wp14:editId="47979626">
            <wp:simplePos x="0" y="0"/>
            <wp:positionH relativeFrom="column">
              <wp:posOffset>-691035</wp:posOffset>
            </wp:positionH>
            <wp:positionV relativeFrom="paragraph">
              <wp:posOffset>-837618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08BA">
        <w:rPr>
          <w:noProof/>
        </w:rPr>
        <w:drawing>
          <wp:anchor distT="0" distB="0" distL="114300" distR="114300" simplePos="0" relativeHeight="251772928" behindDoc="0" locked="0" layoutInCell="1" hidden="0" allowOverlap="1" wp14:anchorId="1626F1D1" wp14:editId="096FDD07">
            <wp:simplePos x="0" y="0"/>
            <wp:positionH relativeFrom="margin">
              <wp:align>right</wp:align>
            </wp:positionH>
            <wp:positionV relativeFrom="paragraph">
              <wp:posOffset>8144</wp:posOffset>
            </wp:positionV>
            <wp:extent cx="1638000" cy="1440000"/>
            <wp:effectExtent l="0" t="0" r="635" b="8255"/>
            <wp:wrapSquare wrapText="bothSides" distT="0" distB="0" distL="114300" distR="114300"/>
            <wp:docPr id="1840106187"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9"/>
                    <a:srcRect/>
                    <a:stretch>
                      <a:fillRect/>
                    </a:stretch>
                  </pic:blipFill>
                  <pic:spPr>
                    <a:xfrm>
                      <a:off x="0" y="0"/>
                      <a:ext cx="1638000" cy="1440000"/>
                    </a:xfrm>
                    <a:prstGeom prst="rect">
                      <a:avLst/>
                    </a:prstGeom>
                    <a:ln/>
                  </pic:spPr>
                </pic:pic>
              </a:graphicData>
            </a:graphic>
          </wp:anchor>
        </w:drawing>
      </w:r>
    </w:p>
    <w:p w14:paraId="7C385511" w14:textId="338BA07C" w:rsidR="00E84981" w:rsidRPr="00235D5A" w:rsidRDefault="00E84981" w:rsidP="00116864">
      <w:pPr>
        <w:rPr>
          <w:color w:val="2E74B5"/>
          <w:sz w:val="32"/>
          <w:szCs w:val="32"/>
        </w:rPr>
      </w:pPr>
      <w:bookmarkStart w:id="0" w:name="_heading=h.e7wl6rn20k5" w:colFirst="0" w:colLast="0"/>
      <w:bookmarkEnd w:id="0"/>
    </w:p>
    <w:p w14:paraId="58CCE89C" w14:textId="05790C5D" w:rsidR="00876EF8" w:rsidRDefault="00E84981" w:rsidP="00116864">
      <w:pPr>
        <w:pStyle w:val="Titre1"/>
      </w:pPr>
      <w:bookmarkStart w:id="1" w:name="_heading=h.nresijhn2w65" w:colFirst="0" w:colLast="0"/>
      <w:bookmarkEnd w:id="1"/>
      <w:r w:rsidRPr="00E84981">
        <w:t>Item </w:t>
      </w:r>
      <w:r w:rsidR="003208BA">
        <w:t>159 - Tuberculose de l’adulte (et de l’enfant)</w:t>
      </w:r>
    </w:p>
    <w:p w14:paraId="1D7886DB" w14:textId="77777777" w:rsidR="00E84981" w:rsidRDefault="00E84981" w:rsidP="00116864"/>
    <w:p w14:paraId="7EA476A7" w14:textId="77777777" w:rsidR="00235D5A" w:rsidRPr="00E84981" w:rsidRDefault="00235D5A" w:rsidP="00116864"/>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38"/>
        <w:gridCol w:w="2988"/>
        <w:gridCol w:w="5386"/>
      </w:tblGrid>
      <w:tr w:rsidR="003208BA" w14:paraId="424B0F98" w14:textId="77777777" w:rsidTr="00D17E4C">
        <w:trPr>
          <w:trHeight w:val="201"/>
        </w:trPr>
        <w:tc>
          <w:tcPr>
            <w:tcW w:w="638" w:type="dxa"/>
            <w:shd w:val="clear" w:color="auto" w:fill="D1D1D1" w:themeFill="background2" w:themeFillShade="E6"/>
            <w:vAlign w:val="center"/>
          </w:tcPr>
          <w:p w14:paraId="6D4C5650" w14:textId="77777777" w:rsidR="003208BA" w:rsidRPr="00D17E4C" w:rsidRDefault="003208BA" w:rsidP="00324888">
            <w:pPr>
              <w:spacing w:line="240" w:lineRule="auto"/>
              <w:jc w:val="center"/>
              <w:rPr>
                <w:rFonts w:ascii="Calibri" w:eastAsia="Calibri" w:hAnsi="Calibri" w:cs="Calibri"/>
                <w:b/>
                <w:bCs/>
                <w:color w:val="000000" w:themeColor="text1"/>
              </w:rPr>
            </w:pPr>
            <w:r w:rsidRPr="00D17E4C">
              <w:rPr>
                <w:rFonts w:ascii="Calibri" w:eastAsia="Calibri" w:hAnsi="Calibri" w:cs="Calibri"/>
                <w:b/>
                <w:bCs/>
                <w:color w:val="000000" w:themeColor="text1"/>
              </w:rPr>
              <w:t>Rang</w:t>
            </w:r>
          </w:p>
        </w:tc>
        <w:tc>
          <w:tcPr>
            <w:tcW w:w="2988" w:type="dxa"/>
            <w:shd w:val="clear" w:color="auto" w:fill="D1D1D1" w:themeFill="background2" w:themeFillShade="E6"/>
            <w:vAlign w:val="center"/>
          </w:tcPr>
          <w:p w14:paraId="24982922" w14:textId="77777777" w:rsidR="003208BA" w:rsidRPr="00D17E4C" w:rsidRDefault="003208BA" w:rsidP="00324888">
            <w:pPr>
              <w:spacing w:line="240" w:lineRule="auto"/>
              <w:jc w:val="center"/>
              <w:rPr>
                <w:rFonts w:ascii="Calibri" w:eastAsia="Calibri" w:hAnsi="Calibri" w:cs="Calibri"/>
                <w:b/>
                <w:bCs/>
                <w:color w:val="000000" w:themeColor="text1"/>
              </w:rPr>
            </w:pPr>
            <w:r w:rsidRPr="00D17E4C">
              <w:rPr>
                <w:rFonts w:ascii="Calibri" w:eastAsia="Calibri" w:hAnsi="Calibri" w:cs="Calibri"/>
                <w:b/>
                <w:bCs/>
                <w:color w:val="000000" w:themeColor="text1"/>
              </w:rPr>
              <w:t>Rubrique</w:t>
            </w:r>
          </w:p>
        </w:tc>
        <w:tc>
          <w:tcPr>
            <w:tcW w:w="5386" w:type="dxa"/>
            <w:shd w:val="clear" w:color="auto" w:fill="D1D1D1" w:themeFill="background2" w:themeFillShade="E6"/>
          </w:tcPr>
          <w:p w14:paraId="7C6ED0BE" w14:textId="77777777" w:rsidR="003208BA" w:rsidRPr="00D17E4C" w:rsidRDefault="003208BA" w:rsidP="00324888">
            <w:pPr>
              <w:spacing w:line="240" w:lineRule="auto"/>
              <w:jc w:val="center"/>
              <w:rPr>
                <w:rFonts w:ascii="Calibri" w:eastAsia="Calibri" w:hAnsi="Calibri" w:cs="Calibri"/>
                <w:b/>
                <w:bCs/>
                <w:color w:val="000000" w:themeColor="text1"/>
              </w:rPr>
            </w:pPr>
            <w:r w:rsidRPr="00D17E4C">
              <w:rPr>
                <w:rFonts w:ascii="Calibri" w:eastAsia="Calibri" w:hAnsi="Calibri" w:cs="Calibri"/>
                <w:b/>
                <w:bCs/>
                <w:color w:val="000000" w:themeColor="text1"/>
              </w:rPr>
              <w:t>Intitulé des connaissances</w:t>
            </w:r>
          </w:p>
        </w:tc>
      </w:tr>
      <w:tr w:rsidR="003208BA" w14:paraId="57F4AF6A" w14:textId="77777777" w:rsidTr="00D17E4C">
        <w:trPr>
          <w:trHeight w:val="32"/>
        </w:trPr>
        <w:tc>
          <w:tcPr>
            <w:tcW w:w="638" w:type="dxa"/>
            <w:vAlign w:val="center"/>
          </w:tcPr>
          <w:p w14:paraId="54A21CC0" w14:textId="77777777" w:rsidR="003208BA" w:rsidRDefault="003208BA" w:rsidP="00324888">
            <w:pPr>
              <w:spacing w:line="240" w:lineRule="auto"/>
              <w:jc w:val="center"/>
              <w:rPr>
                <w:rFonts w:ascii="Calibri" w:eastAsia="Calibri" w:hAnsi="Calibri" w:cs="Calibri"/>
              </w:rPr>
            </w:pPr>
            <w:r>
              <w:rPr>
                <w:rFonts w:ascii="Calibri" w:eastAsia="Calibri" w:hAnsi="Calibri" w:cs="Calibri"/>
              </w:rPr>
              <w:t>A</w:t>
            </w:r>
          </w:p>
        </w:tc>
        <w:tc>
          <w:tcPr>
            <w:tcW w:w="2988" w:type="dxa"/>
            <w:vAlign w:val="center"/>
          </w:tcPr>
          <w:p w14:paraId="6A35C61E" w14:textId="77777777" w:rsidR="003208BA" w:rsidRDefault="003208BA" w:rsidP="00324888">
            <w:pPr>
              <w:spacing w:line="240" w:lineRule="auto"/>
              <w:jc w:val="left"/>
              <w:rPr>
                <w:rFonts w:ascii="Calibri" w:eastAsia="Calibri" w:hAnsi="Calibri" w:cs="Calibri"/>
              </w:rPr>
            </w:pPr>
            <w:r>
              <w:rPr>
                <w:rFonts w:ascii="Calibri" w:eastAsia="Calibri" w:hAnsi="Calibri" w:cs="Calibri"/>
              </w:rPr>
              <w:t>Prévalence, épidémiologie</w:t>
            </w:r>
          </w:p>
        </w:tc>
        <w:tc>
          <w:tcPr>
            <w:tcW w:w="5386" w:type="dxa"/>
            <w:vAlign w:val="center"/>
          </w:tcPr>
          <w:p w14:paraId="2BFE5AF8" w14:textId="77777777" w:rsidR="003208BA" w:rsidRDefault="003208BA" w:rsidP="00324888">
            <w:pPr>
              <w:spacing w:line="240" w:lineRule="auto"/>
              <w:jc w:val="left"/>
              <w:rPr>
                <w:rFonts w:ascii="Calibri" w:eastAsia="Calibri" w:hAnsi="Calibri" w:cs="Calibri"/>
              </w:rPr>
            </w:pPr>
            <w:r>
              <w:rPr>
                <w:rFonts w:ascii="Calibri" w:eastAsia="Calibri" w:hAnsi="Calibri" w:cs="Calibri"/>
              </w:rPr>
              <w:t>Connaître les caractéristiques épidémiologiques de la tuberculose</w:t>
            </w:r>
          </w:p>
        </w:tc>
      </w:tr>
      <w:tr w:rsidR="003208BA" w14:paraId="4106CECB" w14:textId="77777777" w:rsidTr="00D17E4C">
        <w:trPr>
          <w:trHeight w:val="32"/>
        </w:trPr>
        <w:tc>
          <w:tcPr>
            <w:tcW w:w="638" w:type="dxa"/>
            <w:vAlign w:val="center"/>
          </w:tcPr>
          <w:p w14:paraId="60FA4EBF" w14:textId="77777777" w:rsidR="003208BA" w:rsidRDefault="003208BA" w:rsidP="00324888">
            <w:pPr>
              <w:spacing w:line="240" w:lineRule="auto"/>
              <w:jc w:val="center"/>
              <w:rPr>
                <w:rFonts w:ascii="Calibri" w:eastAsia="Calibri" w:hAnsi="Calibri" w:cs="Calibri"/>
              </w:rPr>
            </w:pPr>
            <w:r>
              <w:rPr>
                <w:rFonts w:ascii="Calibri" w:eastAsia="Calibri" w:hAnsi="Calibri" w:cs="Calibri"/>
              </w:rPr>
              <w:t>A</w:t>
            </w:r>
          </w:p>
        </w:tc>
        <w:tc>
          <w:tcPr>
            <w:tcW w:w="2988" w:type="dxa"/>
            <w:vAlign w:val="center"/>
          </w:tcPr>
          <w:p w14:paraId="7DABDC09" w14:textId="77777777" w:rsidR="003208BA" w:rsidRDefault="003208BA" w:rsidP="00324888">
            <w:pPr>
              <w:spacing w:line="240" w:lineRule="auto"/>
              <w:jc w:val="left"/>
              <w:rPr>
                <w:rFonts w:ascii="Calibri" w:eastAsia="Calibri" w:hAnsi="Calibri" w:cs="Calibri"/>
              </w:rPr>
            </w:pPr>
            <w:r>
              <w:rPr>
                <w:rFonts w:ascii="Calibri" w:eastAsia="Calibri" w:hAnsi="Calibri" w:cs="Calibri"/>
              </w:rPr>
              <w:t>Définition</w:t>
            </w:r>
          </w:p>
        </w:tc>
        <w:tc>
          <w:tcPr>
            <w:tcW w:w="5386" w:type="dxa"/>
            <w:vAlign w:val="center"/>
          </w:tcPr>
          <w:p w14:paraId="45253FA1" w14:textId="77777777" w:rsidR="003208BA" w:rsidRDefault="003208BA" w:rsidP="00324888">
            <w:pPr>
              <w:spacing w:line="240" w:lineRule="auto"/>
              <w:jc w:val="left"/>
              <w:rPr>
                <w:rFonts w:ascii="Calibri" w:eastAsia="Calibri" w:hAnsi="Calibri" w:cs="Calibri"/>
              </w:rPr>
            </w:pPr>
            <w:r>
              <w:rPr>
                <w:rFonts w:ascii="Calibri" w:eastAsia="Calibri" w:hAnsi="Calibri" w:cs="Calibri"/>
              </w:rPr>
              <w:t>Connaître la définition de la tuberculose et les caractéristiques microbiologiques des mycobactéries</w:t>
            </w:r>
          </w:p>
        </w:tc>
      </w:tr>
      <w:tr w:rsidR="003208BA" w14:paraId="289896B1" w14:textId="77777777" w:rsidTr="00D17E4C">
        <w:trPr>
          <w:trHeight w:val="201"/>
        </w:trPr>
        <w:tc>
          <w:tcPr>
            <w:tcW w:w="638" w:type="dxa"/>
            <w:vAlign w:val="center"/>
          </w:tcPr>
          <w:p w14:paraId="3D380A47" w14:textId="77777777" w:rsidR="003208BA" w:rsidRDefault="003208BA" w:rsidP="00324888">
            <w:pPr>
              <w:spacing w:line="240" w:lineRule="auto"/>
              <w:jc w:val="center"/>
              <w:rPr>
                <w:rFonts w:ascii="Calibri" w:eastAsia="Calibri" w:hAnsi="Calibri" w:cs="Calibri"/>
                <w:i/>
                <w:iCs/>
                <w:color w:val="0070C0"/>
              </w:rPr>
            </w:pPr>
            <w:r>
              <w:rPr>
                <w:rFonts w:ascii="Calibri" w:eastAsia="Calibri" w:hAnsi="Calibri" w:cs="Calibri"/>
              </w:rPr>
              <w:t>A</w:t>
            </w:r>
          </w:p>
        </w:tc>
        <w:tc>
          <w:tcPr>
            <w:tcW w:w="2988" w:type="dxa"/>
            <w:vAlign w:val="center"/>
          </w:tcPr>
          <w:p w14:paraId="29EF190A" w14:textId="77777777" w:rsidR="003208BA" w:rsidRDefault="003208BA" w:rsidP="00324888">
            <w:pPr>
              <w:spacing w:line="240" w:lineRule="auto"/>
              <w:jc w:val="left"/>
              <w:rPr>
                <w:rFonts w:ascii="Calibri" w:eastAsia="Calibri" w:hAnsi="Calibri" w:cs="Calibri"/>
                <w:i/>
                <w:iCs/>
                <w:color w:val="0070C0"/>
              </w:rPr>
            </w:pPr>
            <w:r>
              <w:rPr>
                <w:rFonts w:ascii="Calibri" w:eastAsia="Calibri" w:hAnsi="Calibri" w:cs="Calibri"/>
              </w:rPr>
              <w:t>Étiologies</w:t>
            </w:r>
          </w:p>
        </w:tc>
        <w:tc>
          <w:tcPr>
            <w:tcW w:w="5386" w:type="dxa"/>
            <w:vAlign w:val="center"/>
          </w:tcPr>
          <w:p w14:paraId="54A066E7" w14:textId="77777777" w:rsidR="003208BA" w:rsidRDefault="003208BA" w:rsidP="00324888">
            <w:pPr>
              <w:spacing w:line="240" w:lineRule="auto"/>
              <w:jc w:val="left"/>
              <w:rPr>
                <w:rFonts w:ascii="Calibri" w:eastAsia="Calibri" w:hAnsi="Calibri" w:cs="Calibri"/>
                <w:i/>
                <w:iCs/>
                <w:color w:val="0070C0"/>
              </w:rPr>
            </w:pPr>
            <w:r>
              <w:rPr>
                <w:rFonts w:ascii="Calibri" w:eastAsia="Calibri" w:hAnsi="Calibri" w:cs="Calibri"/>
              </w:rPr>
              <w:t>Connaître les facteurs de risque de la tuberculose</w:t>
            </w:r>
          </w:p>
        </w:tc>
      </w:tr>
      <w:tr w:rsidR="003208BA" w14:paraId="45E8BCF0" w14:textId="77777777" w:rsidTr="00D17E4C">
        <w:trPr>
          <w:trHeight w:val="201"/>
        </w:trPr>
        <w:tc>
          <w:tcPr>
            <w:tcW w:w="638" w:type="dxa"/>
            <w:vAlign w:val="center"/>
          </w:tcPr>
          <w:p w14:paraId="00D9D7ED" w14:textId="77777777" w:rsidR="003208BA" w:rsidRDefault="003208BA" w:rsidP="00324888">
            <w:pPr>
              <w:spacing w:line="240" w:lineRule="auto"/>
              <w:jc w:val="center"/>
              <w:rPr>
                <w:rFonts w:ascii="Calibri" w:eastAsia="Calibri" w:hAnsi="Calibri" w:cs="Calibri"/>
                <w:i/>
                <w:iCs/>
                <w:color w:val="0070C0"/>
              </w:rPr>
            </w:pPr>
            <w:r>
              <w:rPr>
                <w:rFonts w:ascii="Calibri" w:eastAsia="Calibri" w:hAnsi="Calibri" w:cs="Calibri"/>
              </w:rPr>
              <w:t>A</w:t>
            </w:r>
          </w:p>
        </w:tc>
        <w:tc>
          <w:tcPr>
            <w:tcW w:w="2988" w:type="dxa"/>
            <w:vAlign w:val="center"/>
          </w:tcPr>
          <w:p w14:paraId="403D477C" w14:textId="77777777" w:rsidR="003208BA" w:rsidRDefault="003208BA" w:rsidP="00324888">
            <w:pPr>
              <w:spacing w:line="240" w:lineRule="auto"/>
              <w:jc w:val="left"/>
              <w:rPr>
                <w:rFonts w:ascii="Calibri" w:eastAsia="Calibri" w:hAnsi="Calibri" w:cs="Calibri"/>
                <w:i/>
                <w:iCs/>
                <w:color w:val="0070C0"/>
              </w:rPr>
            </w:pPr>
            <w:r>
              <w:rPr>
                <w:rFonts w:ascii="Calibri" w:eastAsia="Calibri" w:hAnsi="Calibri" w:cs="Calibri"/>
              </w:rPr>
              <w:t>Éléments physiopathologiques</w:t>
            </w:r>
          </w:p>
        </w:tc>
        <w:tc>
          <w:tcPr>
            <w:tcW w:w="5386" w:type="dxa"/>
            <w:vAlign w:val="center"/>
          </w:tcPr>
          <w:p w14:paraId="09EC3638" w14:textId="77777777" w:rsidR="003208BA" w:rsidRDefault="003208BA" w:rsidP="00324888">
            <w:pPr>
              <w:spacing w:line="240" w:lineRule="auto"/>
              <w:jc w:val="left"/>
              <w:rPr>
                <w:rFonts w:ascii="Calibri" w:eastAsia="Calibri" w:hAnsi="Calibri" w:cs="Calibri"/>
                <w:i/>
                <w:iCs/>
                <w:color w:val="0070C0"/>
              </w:rPr>
            </w:pPr>
            <w:r>
              <w:rPr>
                <w:rFonts w:ascii="Calibri" w:eastAsia="Calibri" w:hAnsi="Calibri" w:cs="Calibri"/>
              </w:rPr>
              <w:t>Connaître les différentes modalités évolutives de la tuberculose</w:t>
            </w:r>
          </w:p>
        </w:tc>
      </w:tr>
      <w:tr w:rsidR="003208BA" w14:paraId="1D682933" w14:textId="77777777" w:rsidTr="00D17E4C">
        <w:trPr>
          <w:trHeight w:val="201"/>
        </w:trPr>
        <w:tc>
          <w:tcPr>
            <w:tcW w:w="638" w:type="dxa"/>
            <w:vAlign w:val="center"/>
          </w:tcPr>
          <w:p w14:paraId="0CA51EAE" w14:textId="77777777" w:rsidR="003208BA" w:rsidRDefault="003208BA" w:rsidP="00324888">
            <w:pPr>
              <w:spacing w:line="240" w:lineRule="auto"/>
              <w:jc w:val="center"/>
              <w:rPr>
                <w:rFonts w:ascii="Calibri" w:eastAsia="Calibri" w:hAnsi="Calibri" w:cs="Calibri"/>
                <w:i/>
                <w:iCs/>
                <w:color w:val="0070C0"/>
              </w:rPr>
            </w:pPr>
            <w:r>
              <w:rPr>
                <w:rFonts w:ascii="Calibri" w:eastAsia="Calibri" w:hAnsi="Calibri" w:cs="Calibri"/>
              </w:rPr>
              <w:t>A</w:t>
            </w:r>
          </w:p>
        </w:tc>
        <w:tc>
          <w:tcPr>
            <w:tcW w:w="2988" w:type="dxa"/>
            <w:vAlign w:val="center"/>
          </w:tcPr>
          <w:p w14:paraId="3596A45F" w14:textId="77777777" w:rsidR="003208BA" w:rsidRDefault="003208BA" w:rsidP="00324888">
            <w:pPr>
              <w:spacing w:line="240" w:lineRule="auto"/>
              <w:jc w:val="left"/>
              <w:rPr>
                <w:rFonts w:ascii="Calibri" w:eastAsia="Calibri" w:hAnsi="Calibri" w:cs="Calibri"/>
                <w:i/>
                <w:iCs/>
                <w:color w:val="0070C0"/>
              </w:rPr>
            </w:pPr>
            <w:r>
              <w:rPr>
                <w:rFonts w:ascii="Calibri" w:eastAsia="Calibri" w:hAnsi="Calibri" w:cs="Calibri"/>
              </w:rPr>
              <w:t>Diagnostic positif (examen clinique, démarche diagnostique)</w:t>
            </w:r>
          </w:p>
        </w:tc>
        <w:tc>
          <w:tcPr>
            <w:tcW w:w="5386" w:type="dxa"/>
            <w:vAlign w:val="center"/>
          </w:tcPr>
          <w:p w14:paraId="6F2C9BF6" w14:textId="77777777" w:rsidR="003208BA" w:rsidRDefault="003208BA" w:rsidP="00324888">
            <w:pPr>
              <w:spacing w:line="240" w:lineRule="auto"/>
              <w:jc w:val="left"/>
              <w:rPr>
                <w:rFonts w:ascii="Calibri" w:eastAsia="Calibri" w:hAnsi="Calibri" w:cs="Calibri"/>
                <w:i/>
                <w:iCs/>
                <w:color w:val="0070C0"/>
              </w:rPr>
            </w:pPr>
            <w:r>
              <w:rPr>
                <w:rFonts w:ascii="Calibri" w:eastAsia="Calibri" w:hAnsi="Calibri" w:cs="Calibri"/>
              </w:rPr>
              <w:t>Connaître l’indication d’une IDR à la tuberculine, d’un test IGRA</w:t>
            </w:r>
          </w:p>
        </w:tc>
      </w:tr>
      <w:tr w:rsidR="003208BA" w14:paraId="73E234B1" w14:textId="77777777" w:rsidTr="00D17E4C">
        <w:trPr>
          <w:trHeight w:val="201"/>
        </w:trPr>
        <w:tc>
          <w:tcPr>
            <w:tcW w:w="638" w:type="dxa"/>
            <w:vAlign w:val="center"/>
          </w:tcPr>
          <w:p w14:paraId="400154AE" w14:textId="77777777" w:rsidR="003208BA" w:rsidRDefault="003208BA" w:rsidP="00324888">
            <w:pPr>
              <w:spacing w:line="240" w:lineRule="auto"/>
              <w:jc w:val="center"/>
              <w:rPr>
                <w:rFonts w:ascii="Calibri" w:eastAsia="Calibri" w:hAnsi="Calibri" w:cs="Calibri"/>
                <w:color w:val="2E74B5"/>
              </w:rPr>
            </w:pPr>
            <w:r>
              <w:rPr>
                <w:rFonts w:ascii="Calibri" w:eastAsia="Calibri" w:hAnsi="Calibri" w:cs="Calibri"/>
              </w:rPr>
              <w:t>A</w:t>
            </w:r>
          </w:p>
        </w:tc>
        <w:tc>
          <w:tcPr>
            <w:tcW w:w="2988" w:type="dxa"/>
            <w:vAlign w:val="center"/>
          </w:tcPr>
          <w:p w14:paraId="0E1A782C"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Diagnostic positif (examen clinique, démarche diagnostique)</w:t>
            </w:r>
          </w:p>
        </w:tc>
        <w:tc>
          <w:tcPr>
            <w:tcW w:w="5386" w:type="dxa"/>
            <w:vAlign w:val="center"/>
          </w:tcPr>
          <w:p w14:paraId="2880E51C"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Connaître la présentation clinique d’une primo infection tuberculeuse</w:t>
            </w:r>
          </w:p>
        </w:tc>
      </w:tr>
      <w:tr w:rsidR="003208BA" w14:paraId="3AFD5B14" w14:textId="77777777" w:rsidTr="00D17E4C">
        <w:trPr>
          <w:trHeight w:val="201"/>
        </w:trPr>
        <w:tc>
          <w:tcPr>
            <w:tcW w:w="638" w:type="dxa"/>
            <w:vAlign w:val="center"/>
          </w:tcPr>
          <w:p w14:paraId="480C5C1E" w14:textId="77777777" w:rsidR="003208BA" w:rsidRDefault="003208BA" w:rsidP="00324888">
            <w:pPr>
              <w:spacing w:line="240" w:lineRule="auto"/>
              <w:jc w:val="center"/>
              <w:rPr>
                <w:rFonts w:ascii="Calibri" w:eastAsia="Calibri" w:hAnsi="Calibri" w:cs="Calibri"/>
                <w:color w:val="0070C0"/>
              </w:rPr>
            </w:pPr>
            <w:r>
              <w:rPr>
                <w:rFonts w:ascii="Calibri" w:eastAsia="Calibri" w:hAnsi="Calibri" w:cs="Calibri"/>
              </w:rPr>
              <w:t>A</w:t>
            </w:r>
          </w:p>
        </w:tc>
        <w:tc>
          <w:tcPr>
            <w:tcW w:w="2988" w:type="dxa"/>
            <w:vAlign w:val="center"/>
          </w:tcPr>
          <w:p w14:paraId="1D36C171" w14:textId="77777777" w:rsidR="003208BA" w:rsidRDefault="003208BA" w:rsidP="00324888">
            <w:pPr>
              <w:spacing w:line="240" w:lineRule="auto"/>
              <w:jc w:val="left"/>
              <w:rPr>
                <w:rFonts w:ascii="Calibri" w:eastAsia="Calibri" w:hAnsi="Calibri" w:cs="Calibri"/>
                <w:color w:val="0070C0"/>
              </w:rPr>
            </w:pPr>
            <w:r>
              <w:rPr>
                <w:rFonts w:ascii="Calibri" w:eastAsia="Calibri" w:hAnsi="Calibri" w:cs="Calibri"/>
              </w:rPr>
              <w:t>Diagnostic positif (examen clinique, démarche diagnostique)</w:t>
            </w:r>
          </w:p>
        </w:tc>
        <w:tc>
          <w:tcPr>
            <w:tcW w:w="5386" w:type="dxa"/>
            <w:vAlign w:val="center"/>
          </w:tcPr>
          <w:p w14:paraId="58A7DE05" w14:textId="77777777" w:rsidR="003208BA" w:rsidRDefault="003208BA" w:rsidP="00324888">
            <w:pPr>
              <w:spacing w:line="240" w:lineRule="auto"/>
              <w:jc w:val="left"/>
              <w:rPr>
                <w:rFonts w:ascii="Calibri" w:eastAsia="Calibri" w:hAnsi="Calibri" w:cs="Calibri"/>
                <w:color w:val="0070C0"/>
              </w:rPr>
            </w:pPr>
            <w:r>
              <w:rPr>
                <w:rFonts w:ascii="Calibri" w:eastAsia="Calibri" w:hAnsi="Calibri" w:cs="Calibri"/>
              </w:rPr>
              <w:t>Connaître la présentation clinique de la tuberculose pulmonaire</w:t>
            </w:r>
          </w:p>
        </w:tc>
      </w:tr>
      <w:tr w:rsidR="003208BA" w14:paraId="30A5C7E8" w14:textId="77777777" w:rsidTr="00D17E4C">
        <w:trPr>
          <w:trHeight w:val="201"/>
        </w:trPr>
        <w:tc>
          <w:tcPr>
            <w:tcW w:w="638" w:type="dxa"/>
            <w:vAlign w:val="center"/>
          </w:tcPr>
          <w:p w14:paraId="249BF25F" w14:textId="77777777" w:rsidR="003208BA" w:rsidRDefault="003208BA" w:rsidP="00324888">
            <w:pPr>
              <w:spacing w:line="240" w:lineRule="auto"/>
              <w:jc w:val="center"/>
              <w:rPr>
                <w:rFonts w:ascii="Calibri" w:eastAsia="Calibri" w:hAnsi="Calibri" w:cs="Calibri"/>
                <w:color w:val="2E74B5"/>
              </w:rPr>
            </w:pPr>
            <w:r>
              <w:rPr>
                <w:rFonts w:ascii="Calibri" w:eastAsia="Calibri" w:hAnsi="Calibri" w:cs="Calibri"/>
              </w:rPr>
              <w:t>A</w:t>
            </w:r>
          </w:p>
        </w:tc>
        <w:tc>
          <w:tcPr>
            <w:tcW w:w="2988" w:type="dxa"/>
            <w:vAlign w:val="center"/>
          </w:tcPr>
          <w:p w14:paraId="0DADF3C4"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Diagnostic positif</w:t>
            </w:r>
          </w:p>
        </w:tc>
        <w:tc>
          <w:tcPr>
            <w:tcW w:w="5386" w:type="dxa"/>
            <w:vAlign w:val="center"/>
          </w:tcPr>
          <w:p w14:paraId="656D6418"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Connaître la présentation clinique de la tuberculose extra-pulmonaire</w:t>
            </w:r>
          </w:p>
        </w:tc>
      </w:tr>
      <w:tr w:rsidR="003208BA" w14:paraId="033E1717" w14:textId="77777777" w:rsidTr="00D17E4C">
        <w:trPr>
          <w:trHeight w:val="201"/>
        </w:trPr>
        <w:tc>
          <w:tcPr>
            <w:tcW w:w="638" w:type="dxa"/>
            <w:vAlign w:val="center"/>
          </w:tcPr>
          <w:p w14:paraId="62F2EB4B" w14:textId="77777777" w:rsidR="003208BA" w:rsidRDefault="003208BA" w:rsidP="00324888">
            <w:pPr>
              <w:spacing w:line="240" w:lineRule="auto"/>
              <w:jc w:val="center"/>
              <w:rPr>
                <w:rFonts w:ascii="Calibri" w:eastAsia="Calibri" w:hAnsi="Calibri" w:cs="Calibri"/>
                <w:i/>
                <w:iCs/>
                <w:color w:val="2E74B5"/>
              </w:rPr>
            </w:pPr>
            <w:r>
              <w:rPr>
                <w:rFonts w:ascii="Calibri" w:eastAsia="Calibri" w:hAnsi="Calibri" w:cs="Calibri"/>
              </w:rPr>
              <w:t>A</w:t>
            </w:r>
          </w:p>
        </w:tc>
        <w:tc>
          <w:tcPr>
            <w:tcW w:w="2988" w:type="dxa"/>
            <w:vAlign w:val="center"/>
          </w:tcPr>
          <w:p w14:paraId="1C397830"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Examens complémentaires</w:t>
            </w:r>
          </w:p>
        </w:tc>
        <w:tc>
          <w:tcPr>
            <w:tcW w:w="5386" w:type="dxa"/>
            <w:vAlign w:val="center"/>
          </w:tcPr>
          <w:p w14:paraId="63C4780B"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Connaître les examens complémentaires à réaliser au cours d’une tuberculose pulmonaire</w:t>
            </w:r>
          </w:p>
        </w:tc>
      </w:tr>
      <w:tr w:rsidR="003208BA" w14:paraId="7886B5B7" w14:textId="77777777" w:rsidTr="00D17E4C">
        <w:trPr>
          <w:trHeight w:val="201"/>
        </w:trPr>
        <w:tc>
          <w:tcPr>
            <w:tcW w:w="638" w:type="dxa"/>
            <w:vAlign w:val="center"/>
          </w:tcPr>
          <w:p w14:paraId="00087FB6" w14:textId="77777777" w:rsidR="003208BA" w:rsidRDefault="003208BA" w:rsidP="00324888">
            <w:pPr>
              <w:spacing w:line="240" w:lineRule="auto"/>
              <w:jc w:val="center"/>
              <w:rPr>
                <w:rFonts w:ascii="Calibri" w:eastAsia="Calibri" w:hAnsi="Calibri" w:cs="Calibri"/>
                <w:i/>
                <w:iCs/>
                <w:color w:val="2E74B5"/>
              </w:rPr>
            </w:pPr>
            <w:r>
              <w:rPr>
                <w:rFonts w:ascii="Calibri" w:eastAsia="Calibri" w:hAnsi="Calibri" w:cs="Calibri"/>
              </w:rPr>
              <w:t>A</w:t>
            </w:r>
          </w:p>
        </w:tc>
        <w:tc>
          <w:tcPr>
            <w:tcW w:w="2988" w:type="dxa"/>
            <w:vAlign w:val="center"/>
          </w:tcPr>
          <w:p w14:paraId="61181EFE"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Contenu multimédia</w:t>
            </w:r>
          </w:p>
        </w:tc>
        <w:tc>
          <w:tcPr>
            <w:tcW w:w="5386" w:type="dxa"/>
            <w:vAlign w:val="center"/>
          </w:tcPr>
          <w:p w14:paraId="7569D7BF"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 xml:space="preserve">Radiographie thoracique au cours d’une tuberculose pulmonaire </w:t>
            </w:r>
          </w:p>
        </w:tc>
      </w:tr>
      <w:tr w:rsidR="003208BA" w14:paraId="47CDC049" w14:textId="77777777" w:rsidTr="00D17E4C">
        <w:trPr>
          <w:trHeight w:val="201"/>
        </w:trPr>
        <w:tc>
          <w:tcPr>
            <w:tcW w:w="638" w:type="dxa"/>
            <w:vAlign w:val="center"/>
          </w:tcPr>
          <w:p w14:paraId="62F62D15" w14:textId="77777777" w:rsidR="003208BA" w:rsidRDefault="003208BA" w:rsidP="00324888">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2988" w:type="dxa"/>
            <w:vAlign w:val="center"/>
          </w:tcPr>
          <w:p w14:paraId="192C655C"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color w:val="0070C0"/>
              </w:rPr>
              <w:t>Contenu multimédia</w:t>
            </w:r>
          </w:p>
        </w:tc>
        <w:tc>
          <w:tcPr>
            <w:tcW w:w="5386" w:type="dxa"/>
            <w:vAlign w:val="center"/>
          </w:tcPr>
          <w:p w14:paraId="57392F05"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color w:val="0070C0"/>
              </w:rPr>
              <w:t>TDM thoracique au cours d’une tuberculose pulmonaire</w:t>
            </w:r>
          </w:p>
        </w:tc>
      </w:tr>
      <w:tr w:rsidR="003208BA" w14:paraId="71524687" w14:textId="77777777" w:rsidTr="00D17E4C">
        <w:trPr>
          <w:trHeight w:val="201"/>
        </w:trPr>
        <w:tc>
          <w:tcPr>
            <w:tcW w:w="638" w:type="dxa"/>
            <w:vAlign w:val="center"/>
          </w:tcPr>
          <w:p w14:paraId="3B5698D2" w14:textId="77777777" w:rsidR="003208BA" w:rsidRDefault="003208BA" w:rsidP="00324888">
            <w:pPr>
              <w:spacing w:line="240" w:lineRule="auto"/>
              <w:jc w:val="center"/>
              <w:rPr>
                <w:rFonts w:ascii="Calibri" w:eastAsia="Calibri" w:hAnsi="Calibri" w:cs="Calibri"/>
                <w:i/>
                <w:iCs/>
                <w:color w:val="2E74B5"/>
              </w:rPr>
            </w:pPr>
            <w:r>
              <w:rPr>
                <w:rFonts w:ascii="Calibri" w:eastAsia="Calibri" w:hAnsi="Calibri" w:cs="Calibri"/>
              </w:rPr>
              <w:t>A</w:t>
            </w:r>
          </w:p>
        </w:tc>
        <w:tc>
          <w:tcPr>
            <w:tcW w:w="2988" w:type="dxa"/>
            <w:vAlign w:val="center"/>
          </w:tcPr>
          <w:p w14:paraId="04318423"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Prise en charge</w:t>
            </w:r>
          </w:p>
        </w:tc>
        <w:tc>
          <w:tcPr>
            <w:tcW w:w="5386" w:type="dxa"/>
            <w:vAlign w:val="center"/>
          </w:tcPr>
          <w:p w14:paraId="7AA6F001"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Connaître les principes généraux du traitement de la tuberculose</w:t>
            </w:r>
          </w:p>
        </w:tc>
      </w:tr>
      <w:tr w:rsidR="003208BA" w14:paraId="5F22E313" w14:textId="77777777" w:rsidTr="00D17E4C">
        <w:trPr>
          <w:trHeight w:val="201"/>
        </w:trPr>
        <w:tc>
          <w:tcPr>
            <w:tcW w:w="638" w:type="dxa"/>
            <w:vAlign w:val="center"/>
          </w:tcPr>
          <w:p w14:paraId="7C68A618" w14:textId="77777777" w:rsidR="003208BA" w:rsidRDefault="003208BA" w:rsidP="00324888">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2988" w:type="dxa"/>
            <w:vAlign w:val="center"/>
          </w:tcPr>
          <w:p w14:paraId="55B8ED10"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color w:val="0070C0"/>
              </w:rPr>
              <w:t>Prise en charge</w:t>
            </w:r>
          </w:p>
        </w:tc>
        <w:tc>
          <w:tcPr>
            <w:tcW w:w="5386" w:type="dxa"/>
            <w:vAlign w:val="center"/>
          </w:tcPr>
          <w:p w14:paraId="326B72E1"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color w:val="0070C0"/>
              </w:rPr>
              <w:t>Connaître les modalités d’administration des antituberculeux</w:t>
            </w:r>
          </w:p>
        </w:tc>
      </w:tr>
      <w:tr w:rsidR="003208BA" w14:paraId="042924DE" w14:textId="77777777" w:rsidTr="00D17E4C">
        <w:trPr>
          <w:trHeight w:val="201"/>
        </w:trPr>
        <w:tc>
          <w:tcPr>
            <w:tcW w:w="638" w:type="dxa"/>
            <w:vAlign w:val="center"/>
          </w:tcPr>
          <w:p w14:paraId="586E38BA" w14:textId="77777777" w:rsidR="003208BA" w:rsidRDefault="003208BA" w:rsidP="00324888">
            <w:pPr>
              <w:spacing w:line="240" w:lineRule="auto"/>
              <w:jc w:val="center"/>
              <w:rPr>
                <w:rFonts w:ascii="Calibri" w:eastAsia="Calibri" w:hAnsi="Calibri" w:cs="Calibri"/>
                <w:i/>
                <w:iCs/>
                <w:color w:val="2E74B5"/>
              </w:rPr>
            </w:pPr>
            <w:r>
              <w:rPr>
                <w:rFonts w:ascii="Calibri" w:eastAsia="Calibri" w:hAnsi="Calibri" w:cs="Calibri"/>
              </w:rPr>
              <w:t>A</w:t>
            </w:r>
          </w:p>
        </w:tc>
        <w:tc>
          <w:tcPr>
            <w:tcW w:w="2988" w:type="dxa"/>
            <w:vAlign w:val="center"/>
          </w:tcPr>
          <w:p w14:paraId="178315D5"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Prise en charge</w:t>
            </w:r>
          </w:p>
        </w:tc>
        <w:tc>
          <w:tcPr>
            <w:tcW w:w="5386" w:type="dxa"/>
            <w:vAlign w:val="center"/>
          </w:tcPr>
          <w:p w14:paraId="1AE95330"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Connaître les principales caractéristiques des antituberculeux (toxicité, interactions médicamenteuses, contre-indications, surveillance, précautions d’emploi)</w:t>
            </w:r>
          </w:p>
        </w:tc>
      </w:tr>
      <w:tr w:rsidR="003208BA" w14:paraId="0B1A549E" w14:textId="77777777" w:rsidTr="00D17E4C">
        <w:trPr>
          <w:trHeight w:val="201"/>
        </w:trPr>
        <w:tc>
          <w:tcPr>
            <w:tcW w:w="638" w:type="dxa"/>
            <w:vAlign w:val="center"/>
          </w:tcPr>
          <w:p w14:paraId="3978169D" w14:textId="77777777" w:rsidR="003208BA" w:rsidRDefault="003208BA" w:rsidP="00324888">
            <w:pPr>
              <w:spacing w:line="240" w:lineRule="auto"/>
              <w:jc w:val="center"/>
              <w:rPr>
                <w:rFonts w:ascii="Calibri" w:eastAsia="Calibri" w:hAnsi="Calibri" w:cs="Calibri"/>
                <w:i/>
                <w:iCs/>
                <w:color w:val="2E74B5"/>
              </w:rPr>
            </w:pPr>
            <w:r>
              <w:rPr>
                <w:rFonts w:ascii="Calibri" w:eastAsia="Calibri" w:hAnsi="Calibri" w:cs="Calibri"/>
              </w:rPr>
              <w:t>A</w:t>
            </w:r>
          </w:p>
        </w:tc>
        <w:tc>
          <w:tcPr>
            <w:tcW w:w="2988" w:type="dxa"/>
            <w:vAlign w:val="center"/>
          </w:tcPr>
          <w:p w14:paraId="4F086731"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Prise en charge</w:t>
            </w:r>
          </w:p>
        </w:tc>
        <w:tc>
          <w:tcPr>
            <w:tcW w:w="5386" w:type="dxa"/>
            <w:vAlign w:val="center"/>
          </w:tcPr>
          <w:p w14:paraId="106B9AB2" w14:textId="77777777" w:rsidR="003208BA" w:rsidRDefault="003208BA" w:rsidP="00324888">
            <w:pPr>
              <w:spacing w:line="240" w:lineRule="auto"/>
              <w:jc w:val="left"/>
              <w:rPr>
                <w:rFonts w:ascii="Calibri" w:eastAsia="Calibri" w:hAnsi="Calibri" w:cs="Calibri"/>
                <w:i/>
                <w:iCs/>
                <w:color w:val="2E74B5"/>
              </w:rPr>
            </w:pPr>
            <w:r>
              <w:rPr>
                <w:rFonts w:ascii="Calibri" w:eastAsia="Calibri" w:hAnsi="Calibri" w:cs="Calibri"/>
              </w:rPr>
              <w:t>Connaître les principes de prise en charge des sujets contacts et d’isolement du patient</w:t>
            </w:r>
          </w:p>
        </w:tc>
      </w:tr>
      <w:tr w:rsidR="003208BA" w14:paraId="59199D44" w14:textId="77777777" w:rsidTr="00D17E4C">
        <w:trPr>
          <w:trHeight w:val="201"/>
        </w:trPr>
        <w:tc>
          <w:tcPr>
            <w:tcW w:w="638" w:type="dxa"/>
            <w:vAlign w:val="center"/>
          </w:tcPr>
          <w:p w14:paraId="0C2CDC7C" w14:textId="77777777" w:rsidR="003208BA" w:rsidRDefault="003208BA" w:rsidP="00324888">
            <w:pPr>
              <w:spacing w:line="240" w:lineRule="auto"/>
              <w:jc w:val="center"/>
              <w:rPr>
                <w:rFonts w:ascii="Calibri" w:eastAsia="Calibri" w:hAnsi="Calibri" w:cs="Calibri"/>
                <w:color w:val="2E74B5"/>
              </w:rPr>
            </w:pPr>
            <w:r>
              <w:rPr>
                <w:rFonts w:ascii="Calibri" w:eastAsia="Calibri" w:hAnsi="Calibri" w:cs="Calibri"/>
              </w:rPr>
              <w:t>A</w:t>
            </w:r>
          </w:p>
        </w:tc>
        <w:tc>
          <w:tcPr>
            <w:tcW w:w="2988" w:type="dxa"/>
            <w:vAlign w:val="center"/>
          </w:tcPr>
          <w:p w14:paraId="30134588"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Prise en charge</w:t>
            </w:r>
          </w:p>
        </w:tc>
        <w:tc>
          <w:tcPr>
            <w:tcW w:w="5386" w:type="dxa"/>
            <w:vAlign w:val="center"/>
          </w:tcPr>
          <w:p w14:paraId="6E5F4CFE"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Savoir que la tuberculose est une maladie à déclaration obligatoire</w:t>
            </w:r>
          </w:p>
        </w:tc>
      </w:tr>
      <w:tr w:rsidR="003208BA" w14:paraId="2D646C65" w14:textId="77777777" w:rsidTr="00D17E4C">
        <w:trPr>
          <w:trHeight w:val="201"/>
        </w:trPr>
        <w:tc>
          <w:tcPr>
            <w:tcW w:w="638" w:type="dxa"/>
            <w:vAlign w:val="center"/>
          </w:tcPr>
          <w:p w14:paraId="46B3103F" w14:textId="77777777" w:rsidR="003208BA" w:rsidRDefault="003208BA" w:rsidP="00324888">
            <w:pPr>
              <w:spacing w:line="240" w:lineRule="auto"/>
              <w:jc w:val="center"/>
              <w:rPr>
                <w:rFonts w:ascii="Calibri" w:eastAsia="Calibri" w:hAnsi="Calibri" w:cs="Calibri"/>
                <w:color w:val="2E74B5"/>
              </w:rPr>
            </w:pPr>
            <w:r>
              <w:rPr>
                <w:rFonts w:ascii="Calibri" w:eastAsia="Calibri" w:hAnsi="Calibri" w:cs="Calibri"/>
              </w:rPr>
              <w:t>A</w:t>
            </w:r>
          </w:p>
        </w:tc>
        <w:tc>
          <w:tcPr>
            <w:tcW w:w="2988" w:type="dxa"/>
            <w:vAlign w:val="center"/>
          </w:tcPr>
          <w:p w14:paraId="5E8312DB"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Prise en charge</w:t>
            </w:r>
          </w:p>
        </w:tc>
        <w:tc>
          <w:tcPr>
            <w:tcW w:w="5386" w:type="dxa"/>
            <w:vAlign w:val="center"/>
          </w:tcPr>
          <w:p w14:paraId="657750D2" w14:textId="77777777" w:rsidR="003208BA" w:rsidRDefault="003208BA" w:rsidP="00324888">
            <w:pPr>
              <w:spacing w:line="240" w:lineRule="auto"/>
              <w:jc w:val="left"/>
              <w:rPr>
                <w:rFonts w:ascii="Calibri" w:eastAsia="Calibri" w:hAnsi="Calibri" w:cs="Calibri"/>
                <w:color w:val="2E74B5"/>
              </w:rPr>
            </w:pPr>
            <w:r>
              <w:rPr>
                <w:rFonts w:ascii="Calibri" w:eastAsia="Calibri" w:hAnsi="Calibri" w:cs="Calibri"/>
              </w:rPr>
              <w:t>Connaître les modalités de prévention vaccinale de la tuberculose</w:t>
            </w:r>
          </w:p>
        </w:tc>
      </w:tr>
    </w:tbl>
    <w:p w14:paraId="5410DECC" w14:textId="77777777" w:rsidR="00876EF8" w:rsidRDefault="00876EF8" w:rsidP="00116864"/>
    <w:p w14:paraId="1B95F4E4" w14:textId="7F7E2D53" w:rsidR="003208BA" w:rsidRDefault="003208BA" w:rsidP="00116864">
      <w:pPr>
        <w:rPr>
          <w:b/>
          <w:bCs/>
        </w:rPr>
      </w:pPr>
      <w:r>
        <w:rPr>
          <w:b/>
          <w:bCs/>
        </w:rPr>
        <w:t>N.B. : les aspects pédiatriques de cet item ne sont pas traités dans ce chapitre.</w:t>
      </w:r>
    </w:p>
    <w:p w14:paraId="0FE346FB" w14:textId="77777777" w:rsidR="003208BA" w:rsidRDefault="003208BA" w:rsidP="00116864"/>
    <w:p w14:paraId="078B2208" w14:textId="70310577" w:rsidR="00FE7D19" w:rsidRDefault="00FE7D19" w:rsidP="00FE7D19">
      <w:pPr>
        <w:rPr>
          <w:color w:val="00B050"/>
        </w:rPr>
      </w:pPr>
      <w:r w:rsidRPr="00116864">
        <w:rPr>
          <w:noProof/>
          <w:color w:val="0070C0"/>
        </w:rPr>
        <w:drawing>
          <wp:anchor distT="0" distB="0" distL="114300" distR="114300" simplePos="0" relativeHeight="251659264" behindDoc="0" locked="0" layoutInCell="1" hidden="0" allowOverlap="1" wp14:anchorId="6E037DFD" wp14:editId="6A5FA472">
            <wp:simplePos x="0" y="0"/>
            <wp:positionH relativeFrom="column">
              <wp:posOffset>-1926</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116864">
        <w:rPr>
          <w:noProof/>
          <w:color w:val="00B050"/>
        </w:rPr>
        <w:drawing>
          <wp:anchor distT="0" distB="0" distL="114300" distR="114300" simplePos="0" relativeHeight="251809792" behindDoc="0" locked="0" layoutInCell="1" hidden="0" allowOverlap="1" wp14:anchorId="373E7017" wp14:editId="5F59E2AB">
            <wp:simplePos x="0" y="0"/>
            <wp:positionH relativeFrom="column">
              <wp:posOffset>3175</wp:posOffset>
            </wp:positionH>
            <wp:positionV relativeFrom="paragraph">
              <wp:posOffset>153545</wp:posOffset>
            </wp:positionV>
            <wp:extent cx="135890" cy="138430"/>
            <wp:effectExtent l="0" t="0" r="0" b="0"/>
            <wp:wrapThrough wrapText="bothSides">
              <wp:wrapPolygon edited="0">
                <wp:start x="0" y="0"/>
                <wp:lineTo x="0" y="17835"/>
                <wp:lineTo x="18168" y="17835"/>
                <wp:lineTo x="18168" y="0"/>
                <wp:lineTo x="0" y="0"/>
              </wp:wrapPolygon>
            </wp:wrapThrough>
            <wp:docPr id="113366724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r w:rsidR="00876EF8" w:rsidRPr="00116864">
        <w:rPr>
          <w:color w:val="0070C0"/>
        </w:rPr>
        <w:t>Les objectifs de rang B apparaissent en bleu dans le texte.</w:t>
      </w:r>
      <w:r w:rsidRPr="00FE7D19">
        <w:rPr>
          <w:noProof/>
          <w:color w:val="00B050"/>
        </w:rPr>
        <w:t xml:space="preserve"> </w:t>
      </w:r>
      <w:r w:rsidRPr="00116864">
        <w:rPr>
          <w:color w:val="00B050"/>
        </w:rPr>
        <w:t xml:space="preserve"> </w:t>
      </w:r>
    </w:p>
    <w:p w14:paraId="5135FFDE" w14:textId="7A180BD7" w:rsidR="00FE7D19" w:rsidRDefault="00FE7D19" w:rsidP="00FE7D19">
      <w:pPr>
        <w:rPr>
          <w:color w:val="FF0000"/>
        </w:rPr>
      </w:pPr>
      <w:r w:rsidRPr="00116864">
        <w:rPr>
          <w:color w:val="00B050"/>
        </w:rPr>
        <w:lastRenderedPageBreak/>
        <w:t xml:space="preserve">Pour aller plus loin, répondre à vos questions, ou en savoir plus, les recommandations nationales de la société de pneumologie de langue française sont disponibles ici : </w:t>
      </w:r>
      <w:hyperlink r:id="rId12" w:history="1">
        <w:r w:rsidRPr="00116864">
          <w:rPr>
            <w:rStyle w:val="Lienhypertexte"/>
          </w:rPr>
          <w:t>https://splf.fr/les-recommandations-splf/</w:t>
        </w:r>
      </w:hyperlink>
    </w:p>
    <w:p w14:paraId="264027C1" w14:textId="1FA5D08D" w:rsidR="00876EF8" w:rsidRPr="00116864" w:rsidRDefault="00876EF8" w:rsidP="00116864">
      <w:pPr>
        <w:jc w:val="center"/>
        <w:rPr>
          <w:color w:val="0070C0"/>
        </w:rPr>
      </w:pPr>
    </w:p>
    <w:p w14:paraId="3BBB9A00" w14:textId="77777777" w:rsidR="00876EF8" w:rsidRPr="00876EF8" w:rsidRDefault="00876EF8" w:rsidP="00116864"/>
    <w:p w14:paraId="45234B7F" w14:textId="77777777" w:rsidR="003208BA" w:rsidRDefault="003208BA">
      <w:pPr>
        <w:spacing w:after="160"/>
        <w:jc w:val="left"/>
        <w:rPr>
          <w:b/>
          <w:bCs/>
          <w:color w:val="FFFFFF"/>
          <w:sz w:val="22"/>
          <w:szCs w:val="22"/>
        </w:rPr>
      </w:pPr>
      <w:r>
        <w:br w:type="page"/>
      </w:r>
    </w:p>
    <w:p w14:paraId="064314BF" w14:textId="74CBAFC7" w:rsidR="00876EF8" w:rsidRDefault="00876EF8" w:rsidP="00116864">
      <w:pPr>
        <w:pStyle w:val="Pointscls"/>
      </w:pPr>
      <w:r>
        <w:lastRenderedPageBreak/>
        <w:t>Points clés</w:t>
      </w:r>
    </w:p>
    <w:p w14:paraId="0732B64B" w14:textId="77777777" w:rsidR="003208BA" w:rsidRDefault="003208BA" w:rsidP="003208BA">
      <w:pPr>
        <w:pStyle w:val="pointscls1"/>
      </w:pPr>
      <w:r>
        <w:t xml:space="preserve">La tuberculose est une maladie infectieuse transmissible liée à </w:t>
      </w:r>
      <w:r>
        <w:rPr>
          <w:i/>
          <w:iCs/>
        </w:rPr>
        <w:t xml:space="preserve">Mycobacterium </w:t>
      </w:r>
      <w:proofErr w:type="spellStart"/>
      <w:r>
        <w:rPr>
          <w:i/>
          <w:iCs/>
        </w:rPr>
        <w:t>tuberculosis</w:t>
      </w:r>
      <w:proofErr w:type="spellEnd"/>
      <w:r>
        <w:t xml:space="preserve"> </w:t>
      </w:r>
      <w:proofErr w:type="spellStart"/>
      <w:r>
        <w:rPr>
          <w:i/>
          <w:iCs/>
        </w:rPr>
        <w:t>complex</w:t>
      </w:r>
      <w:proofErr w:type="spellEnd"/>
      <w:r>
        <w:rPr>
          <w:i/>
          <w:iCs/>
        </w:rPr>
        <w:t xml:space="preserve"> </w:t>
      </w:r>
      <w:r>
        <w:t>(MTBC).</w:t>
      </w:r>
    </w:p>
    <w:p w14:paraId="3F87FE2A" w14:textId="77777777" w:rsidR="003208BA" w:rsidRDefault="003208BA" w:rsidP="003208BA">
      <w:pPr>
        <w:pStyle w:val="pointscls1"/>
      </w:pPr>
      <w:r>
        <w:t>France = pays à faible incidence de tuberculose (7,1 cas/100 000 habitants/an en 2023).</w:t>
      </w:r>
    </w:p>
    <w:p w14:paraId="5F2E5D75" w14:textId="0251F63E" w:rsidR="003208BA" w:rsidRDefault="003208BA" w:rsidP="003208BA">
      <w:pPr>
        <w:pStyle w:val="pointscls1"/>
      </w:pPr>
      <w:r>
        <w:t>Transmission aérienne responsable du 1</w:t>
      </w:r>
      <w:r>
        <w:rPr>
          <w:vertAlign w:val="superscript"/>
        </w:rPr>
        <w:t>er</w:t>
      </w:r>
      <w:r>
        <w:t xml:space="preserve"> contact de l’organisme avec le MTBC </w:t>
      </w:r>
      <w:r>
        <w:sym w:font="Wingdings" w:char="F0E0"/>
      </w:r>
      <w:r>
        <w:t xml:space="preserve"> primo-infection tuberculeuse (PIT), souvent latente = infection tuberculeuse latente (ITL).</w:t>
      </w:r>
    </w:p>
    <w:p w14:paraId="10C4474B" w14:textId="77777777" w:rsidR="003208BA" w:rsidRDefault="003208BA" w:rsidP="003208BA">
      <w:pPr>
        <w:pStyle w:val="pointscls1"/>
      </w:pPr>
      <w:r>
        <w:t xml:space="preserve">Passage possible à n’importe quel moment de l’ITL à la tuberculose maladie (TM), essentiellement dans les 2 ans qui suivent la PIT. Ce risque est accru en cas d’immunodépression. </w:t>
      </w:r>
    </w:p>
    <w:p w14:paraId="54EFD067" w14:textId="77777777" w:rsidR="003208BA" w:rsidRDefault="003208BA" w:rsidP="003208BA">
      <w:pPr>
        <w:pStyle w:val="pointscls1"/>
      </w:pPr>
      <w:r>
        <w:t>La principale localisation est pulmonaire.</w:t>
      </w:r>
    </w:p>
    <w:p w14:paraId="0F1AD630" w14:textId="77777777" w:rsidR="003208BA" w:rsidRDefault="003208BA" w:rsidP="003208BA">
      <w:pPr>
        <w:pStyle w:val="pointscls1"/>
      </w:pPr>
      <w:r>
        <w:t>TM pulmonaire :</w:t>
      </w:r>
    </w:p>
    <w:p w14:paraId="1397AFF4" w14:textId="53D2CD4E" w:rsidR="003208BA" w:rsidRDefault="003208BA" w:rsidP="003208BA">
      <w:pPr>
        <w:pStyle w:val="pointscls1"/>
        <w:numPr>
          <w:ilvl w:val="0"/>
          <w:numId w:val="0"/>
        </w:numPr>
        <w:tabs>
          <w:tab w:val="left" w:pos="426"/>
        </w:tabs>
        <w:ind w:left="142" w:firstLine="284"/>
      </w:pPr>
      <w:r>
        <w:t xml:space="preserve">A. Symptômes aspécifiques évoluant de manière insidieuse sur plusieurs semaines : altération de l’état </w:t>
      </w:r>
      <w:r>
        <w:tab/>
        <w:t>général (AEG), fièvre au long cours, sueurs nocturnes, toux, expectorations, hémoptysie.</w:t>
      </w:r>
    </w:p>
    <w:p w14:paraId="3D45E62D" w14:textId="2E52EC98" w:rsidR="003208BA" w:rsidRDefault="003208BA" w:rsidP="003208BA">
      <w:pPr>
        <w:pStyle w:val="pointscls1"/>
        <w:numPr>
          <w:ilvl w:val="0"/>
          <w:numId w:val="0"/>
        </w:numPr>
        <w:tabs>
          <w:tab w:val="left" w:pos="426"/>
        </w:tabs>
        <w:ind w:left="142" w:firstLine="284"/>
      </w:pPr>
      <w:r>
        <w:t xml:space="preserve">B. Radiographie thoracique de TM = lésions des lobes supérieurs et des segments postérieurs à type </w:t>
      </w:r>
      <w:r>
        <w:br/>
      </w:r>
      <w:r>
        <w:tab/>
        <w:t>d’infiltrats, nodules isolés ou groupés et lésions excavées (cavernes).</w:t>
      </w:r>
    </w:p>
    <w:p w14:paraId="3D9C3194" w14:textId="69252BD7" w:rsidR="003208BA" w:rsidRDefault="003208BA" w:rsidP="003208BA">
      <w:pPr>
        <w:pStyle w:val="pointscls1"/>
      </w:pPr>
      <w:r>
        <w:t xml:space="preserve">Diagnostic de tuberculose = mise en évidence du MTBC </w:t>
      </w:r>
      <w:r>
        <w:sym w:font="Wingdings" w:char="F0E0"/>
      </w:r>
      <w:r>
        <w:t xml:space="preserve"> prélèvements MULTIPLES.</w:t>
      </w:r>
    </w:p>
    <w:p w14:paraId="2C26BD74" w14:textId="77777777" w:rsidR="003208BA" w:rsidRDefault="003208BA" w:rsidP="003208BA">
      <w:pPr>
        <w:pStyle w:val="pointscls1"/>
      </w:pPr>
      <w:r>
        <w:t xml:space="preserve">Examen microscopique d’un prélèvement respiratoire : mise en évidence de bacilles </w:t>
      </w:r>
      <w:proofErr w:type="spellStart"/>
      <w:r>
        <w:t>acido</w:t>
      </w:r>
      <w:proofErr w:type="spellEnd"/>
      <w:r>
        <w:t>-alcoolo résistants (BAAR), un examen direct négatif n’élimine pas le diagnostic.</w:t>
      </w:r>
    </w:p>
    <w:p w14:paraId="653ED7F1" w14:textId="77777777" w:rsidR="003208BA" w:rsidRDefault="003208BA" w:rsidP="003208BA">
      <w:pPr>
        <w:pStyle w:val="pointscls1"/>
      </w:pPr>
      <w:r>
        <w:t>Toujours demander un antibiogramme</w:t>
      </w:r>
      <w:r>
        <w:rPr>
          <w:rFonts w:ascii="Arial" w:eastAsia="Arial" w:hAnsi="Arial" w:cs="Arial"/>
        </w:rPr>
        <w:t> </w:t>
      </w:r>
      <w:r>
        <w:t>! (Existence de résistance aux antibiotiques).</w:t>
      </w:r>
    </w:p>
    <w:p w14:paraId="36EF195C" w14:textId="77777777" w:rsidR="003208BA" w:rsidRDefault="003208BA" w:rsidP="003208BA">
      <w:pPr>
        <w:pStyle w:val="pointscls1"/>
      </w:pPr>
      <w:r>
        <w:t xml:space="preserve"> Traitement de la TM pulmonaire (6 mois) : quadrithérapie (INH+RMP+EMB+PZA) pendant deux mois, suivie d’une bithérapie pendant 4 mois (INH+RMP).</w:t>
      </w:r>
    </w:p>
    <w:p w14:paraId="0DACABFA" w14:textId="77777777" w:rsidR="003208BA" w:rsidRDefault="003208BA" w:rsidP="003208BA">
      <w:pPr>
        <w:pStyle w:val="pointscls1"/>
      </w:pPr>
      <w:r>
        <w:t xml:space="preserve"> Notification et signalement obligatoires, permettant de dépister les sujets contacts.</w:t>
      </w:r>
    </w:p>
    <w:p w14:paraId="344E4939" w14:textId="77777777" w:rsidR="003208BA" w:rsidRDefault="003208BA" w:rsidP="003208BA">
      <w:pPr>
        <w:pStyle w:val="pointscls1"/>
      </w:pPr>
      <w:r>
        <w:t xml:space="preserve"> Chimioprophylaxie des ITL (bithérapie INH-RMP 3 mois ou monothérapie par INH 6 ou 9 mois) dans certains cas.</w:t>
      </w:r>
    </w:p>
    <w:p w14:paraId="3A5BDA69" w14:textId="77777777" w:rsidR="003208BA" w:rsidRDefault="003208BA" w:rsidP="003208BA">
      <w:pPr>
        <w:pStyle w:val="pointscls1"/>
      </w:pPr>
      <w:r>
        <w:t xml:space="preserve"> Vaccination par le BCG : plus obligatoire en France, mais fortement proposée aux enfants à risque, dans les territoires de forte endémie.</w:t>
      </w:r>
    </w:p>
    <w:p w14:paraId="12B96925" w14:textId="77777777" w:rsidR="00876EF8" w:rsidRDefault="00876EF8" w:rsidP="00116864">
      <w:r>
        <w:br w:type="page"/>
      </w:r>
    </w:p>
    <w:p w14:paraId="6F4F44BD" w14:textId="40C2CC3A" w:rsidR="003208BA" w:rsidRDefault="003208BA" w:rsidP="003208BA">
      <w:pPr>
        <w:pStyle w:val="titredepartie"/>
      </w:pPr>
      <w:r>
        <w:lastRenderedPageBreak/>
        <w:t>DÉFINITIONS</w:t>
      </w:r>
      <w:r w:rsidR="00FE7D19">
        <w:t>-PHYSIOPATHOLOGIE-EPIDEMIOLOGIE</w:t>
      </w:r>
      <w:r>
        <w:t xml:space="preserve"> </w:t>
      </w:r>
    </w:p>
    <w:p w14:paraId="4F0CF853" w14:textId="77777777" w:rsidR="003208BA" w:rsidRDefault="003208BA" w:rsidP="003208BA">
      <w:pPr>
        <w:pStyle w:val="titredesous-partie"/>
      </w:pPr>
      <w:r>
        <w:t>Définition</w:t>
      </w:r>
    </w:p>
    <w:p w14:paraId="3F9F771F" w14:textId="77777777" w:rsidR="003208BA" w:rsidRDefault="003208BA" w:rsidP="003208BA">
      <w:r>
        <w:t xml:space="preserve">Maladie infectieuse transmissible, due à une mycobactérie du complexe </w:t>
      </w:r>
      <w:proofErr w:type="spellStart"/>
      <w:r>
        <w:rPr>
          <w:i/>
          <w:iCs/>
        </w:rPr>
        <w:t>tuberculosis</w:t>
      </w:r>
      <w:proofErr w:type="spellEnd"/>
      <w:r>
        <w:t xml:space="preserve"> (principalement</w:t>
      </w:r>
      <w:r>
        <w:rPr>
          <w:i/>
          <w:iCs/>
        </w:rPr>
        <w:t xml:space="preserve"> Mycobacterium </w:t>
      </w:r>
      <w:proofErr w:type="spellStart"/>
      <w:r>
        <w:rPr>
          <w:i/>
          <w:iCs/>
        </w:rPr>
        <w:t>tuberculosis</w:t>
      </w:r>
      <w:proofErr w:type="spellEnd"/>
      <w:r>
        <w:t xml:space="preserve"> </w:t>
      </w:r>
      <w:r>
        <w:rPr>
          <w:i/>
          <w:iCs/>
        </w:rPr>
        <w:t>hominis</w:t>
      </w:r>
      <w:r>
        <w:t xml:space="preserve">, appelé bacille de Koch (BK), ou plus rarement à </w:t>
      </w:r>
      <w:r>
        <w:rPr>
          <w:i/>
          <w:iCs/>
        </w:rPr>
        <w:t xml:space="preserve">M. </w:t>
      </w:r>
      <w:proofErr w:type="spellStart"/>
      <w:r>
        <w:rPr>
          <w:i/>
          <w:iCs/>
        </w:rPr>
        <w:t>bovis</w:t>
      </w:r>
      <w:proofErr w:type="spellEnd"/>
      <w:r>
        <w:t xml:space="preserve"> ou </w:t>
      </w:r>
      <w:r>
        <w:rPr>
          <w:i/>
          <w:iCs/>
        </w:rPr>
        <w:t xml:space="preserve">M. </w:t>
      </w:r>
      <w:proofErr w:type="spellStart"/>
      <w:r>
        <w:rPr>
          <w:i/>
          <w:iCs/>
        </w:rPr>
        <w:t>africanum</w:t>
      </w:r>
      <w:proofErr w:type="spellEnd"/>
      <w:r>
        <w:t>). Il s’agit de bacilles acido-alcoolo-résistants (BAAR), à multiplication intra- et extracellulaire, à croissance lente et dont le métabolisme est aérobie strict. La principale localisation de la tuberculose maladie (TM) est pulmonaire, mais elle peut concerner n’importe quel organe (osseuse, ganglionnaire, neuro-méningée, pleurale, etc.).</w:t>
      </w:r>
    </w:p>
    <w:p w14:paraId="5EFCA66E" w14:textId="77777777" w:rsidR="003208BA" w:rsidRDefault="003208BA" w:rsidP="003208BA"/>
    <w:p w14:paraId="63A9BA79" w14:textId="77777777" w:rsidR="003208BA" w:rsidRDefault="003208BA" w:rsidP="003208BA">
      <w:pPr>
        <w:pStyle w:val="titredesous-partie"/>
      </w:pPr>
      <w:r>
        <w:t>Épidémiologie</w:t>
      </w:r>
    </w:p>
    <w:p w14:paraId="0163A87A" w14:textId="77777777" w:rsidR="003208BA" w:rsidRDefault="003208BA" w:rsidP="00742634">
      <w:r>
        <w:t>10,7 millions de nouveaux cas par an de tuberculoses dans le monde, avec une incidence variant de moins de 10 nouveaux cas/100,000 habitants (Europe occidentale et Amérique du Nord) à plus de 1000 cas/100,000 habitants (Afrique subsaharienne)</w:t>
      </w:r>
    </w:p>
    <w:p w14:paraId="6742EEBD" w14:textId="77777777" w:rsidR="003208BA" w:rsidRDefault="003208BA" w:rsidP="00742634">
      <w:r>
        <w:t>10</w:t>
      </w:r>
      <w:r>
        <w:rPr>
          <w:vertAlign w:val="superscript"/>
        </w:rPr>
        <w:t>e</w:t>
      </w:r>
      <w:r>
        <w:t xml:space="preserve"> cause de décès par maladie dans le monde en 2021 et 2</w:t>
      </w:r>
      <w:r>
        <w:rPr>
          <w:vertAlign w:val="superscript"/>
        </w:rPr>
        <w:t>e</w:t>
      </w:r>
      <w:r>
        <w:t xml:space="preserve"> cause de décès par maladie infectieuse chez l’adulte : encore 1,2 millions de morts en 2024</w:t>
      </w:r>
      <w:r>
        <w:rPr>
          <w:rFonts w:ascii="Arial" w:eastAsia="Arial" w:hAnsi="Arial" w:cs="Arial"/>
        </w:rPr>
        <w:t> </w:t>
      </w:r>
      <w:r>
        <w:t>!</w:t>
      </w:r>
    </w:p>
    <w:p w14:paraId="0DCDBF20" w14:textId="77777777" w:rsidR="003208BA" w:rsidRDefault="003208BA" w:rsidP="00742634">
      <w:r>
        <w:t>En France, pays à faible incidence, près de 4866 cas ont été déclarés en 2023, soit 7,1 cas/100,000 habitants, mais il existe d’importantes variations inter-régionales,</w:t>
      </w:r>
    </w:p>
    <w:p w14:paraId="2929F43C" w14:textId="77777777" w:rsidR="003208BA" w:rsidRDefault="003208BA" w:rsidP="00742634">
      <w:r>
        <w:t>L’incidence est plus élevée en Île-de-France (34 % de tous les cas français), à Mayotte et en Guyane, ainsi que pour les migrants originaires d’Afrique subsaharienne et les personnes sans domicile fixe.</w:t>
      </w:r>
    </w:p>
    <w:p w14:paraId="498B71D2" w14:textId="77777777" w:rsidR="003208BA" w:rsidRDefault="003208BA" w:rsidP="00742634">
      <w:r>
        <w:t>Les tuberculoses multi-résistantes (voir chapitre VI.7) concernaient 390 000 cas de tuberculose en 2024. La zone où la proportion de ces cas MDR est la plus élevée est l’ex-Union soviétique.</w:t>
      </w:r>
    </w:p>
    <w:p w14:paraId="059A5ED5" w14:textId="77777777" w:rsidR="003208BA" w:rsidRDefault="003208BA" w:rsidP="003208BA">
      <w:pPr>
        <w:spacing w:line="240" w:lineRule="auto"/>
      </w:pPr>
    </w:p>
    <w:p w14:paraId="0E34C72E" w14:textId="609879C5" w:rsidR="003208BA" w:rsidRDefault="00FE7D19" w:rsidP="00742634">
      <w:pPr>
        <w:pStyle w:val="titredesous-partie"/>
      </w:pPr>
      <w:r>
        <w:t>PHYSIOPATHOLOGIE</w:t>
      </w:r>
    </w:p>
    <w:p w14:paraId="19C9F339" w14:textId="77777777" w:rsidR="003208BA" w:rsidRDefault="003208BA" w:rsidP="00742634">
      <w:r>
        <w:t>Trois étapes (figure 1) :</w:t>
      </w:r>
    </w:p>
    <w:p w14:paraId="73849E6E" w14:textId="77777777" w:rsidR="003208BA" w:rsidRDefault="003208BA" w:rsidP="00742634">
      <w:r>
        <w:t xml:space="preserve">- Étape 1 : </w:t>
      </w:r>
      <w:r>
        <w:rPr>
          <w:u w:val="single"/>
        </w:rPr>
        <w:t>Contamination du sujet</w:t>
      </w:r>
      <w:r>
        <w:t xml:space="preserve"> par transmission aérienne à partir d’une personne présentant une tuberculose bacillifère :</w:t>
      </w:r>
    </w:p>
    <w:p w14:paraId="41BEE22A" w14:textId="77777777" w:rsidR="003208BA" w:rsidRDefault="003208BA" w:rsidP="00742634">
      <w:r>
        <w:t>- La contamination est due à l’inhalation d</w:t>
      </w:r>
      <w:proofErr w:type="gramStart"/>
      <w:r>
        <w:t>’«</w:t>
      </w:r>
      <w:proofErr w:type="gramEnd"/>
      <w:r>
        <w:rPr>
          <w:rFonts w:ascii="Arial" w:eastAsia="Arial" w:hAnsi="Arial" w:cs="Arial"/>
        </w:rPr>
        <w:t> </w:t>
      </w:r>
      <w:r>
        <w:t>aérosols</w:t>
      </w:r>
      <w:r>
        <w:rPr>
          <w:rFonts w:ascii="Arial" w:eastAsia="Arial" w:hAnsi="Arial" w:cs="Arial"/>
        </w:rPr>
        <w:t> </w:t>
      </w:r>
      <w:r>
        <w:t>» de gouttelettes infectantes (contenant MTBC) émises lors de la toux. Les gouttelettes, et donc quelques bacilles, atteignent les territoires alvéolaires (c’est le «</w:t>
      </w:r>
      <w:r>
        <w:rPr>
          <w:rFonts w:ascii="Arial" w:eastAsia="Arial" w:hAnsi="Arial" w:cs="Arial"/>
        </w:rPr>
        <w:t> </w:t>
      </w:r>
      <w:r>
        <w:t>foyer primaire</w:t>
      </w:r>
      <w:r>
        <w:rPr>
          <w:rFonts w:ascii="Arial" w:eastAsia="Arial" w:hAnsi="Arial" w:cs="Arial"/>
        </w:rPr>
        <w:t> </w:t>
      </w:r>
      <w:r>
        <w:t>»), entraînant la primo-infection.</w:t>
      </w:r>
    </w:p>
    <w:p w14:paraId="52F73701" w14:textId="77777777" w:rsidR="003208BA" w:rsidRDefault="003208BA" w:rsidP="00742634">
      <w:r>
        <w:t xml:space="preserve">- Le risque de contamination à l’origine d’une PIT est ainsi proportionnel à l’intensité de la toux, de l’expectoration et de la durée d’exposition.   </w:t>
      </w:r>
    </w:p>
    <w:p w14:paraId="710601B8" w14:textId="77777777" w:rsidR="003208BA" w:rsidRDefault="003208BA" w:rsidP="00742634"/>
    <w:p w14:paraId="0E7CE051" w14:textId="77777777" w:rsidR="003208BA" w:rsidRDefault="003208BA" w:rsidP="00742634">
      <w:r>
        <w:t xml:space="preserve">Étape 2 : </w:t>
      </w:r>
      <w:r>
        <w:rPr>
          <w:u w:val="single"/>
        </w:rPr>
        <w:t>Le sujet développe une primo-infection tuberculeuse</w:t>
      </w:r>
      <w:r>
        <w:t xml:space="preserve"> (PIT) le plus souvent asymptomatique appelée «</w:t>
      </w:r>
      <w:r>
        <w:rPr>
          <w:rFonts w:ascii="Arial" w:eastAsia="Arial" w:hAnsi="Arial" w:cs="Arial"/>
        </w:rPr>
        <w:t> </w:t>
      </w:r>
      <w:r>
        <w:t>infection tuberculeuse latente (ITL)</w:t>
      </w:r>
      <w:r>
        <w:rPr>
          <w:rFonts w:ascii="Arial" w:eastAsia="Arial" w:hAnsi="Arial" w:cs="Arial"/>
        </w:rPr>
        <w:t> </w:t>
      </w:r>
      <w:r>
        <w:t>»</w:t>
      </w:r>
    </w:p>
    <w:p w14:paraId="67B62943" w14:textId="77777777" w:rsidR="003208BA" w:rsidRPr="00742634" w:rsidRDefault="003208BA" w:rsidP="00742634">
      <w:pPr>
        <w:rPr>
          <w:color w:val="0070C0"/>
        </w:rPr>
      </w:pPr>
      <w:r w:rsidRPr="00742634">
        <w:rPr>
          <w:color w:val="0070C0"/>
        </w:rPr>
        <w:t>- Au niveau du «</w:t>
      </w:r>
      <w:r w:rsidRPr="00742634">
        <w:rPr>
          <w:rFonts w:ascii="Arial" w:eastAsia="Arial" w:hAnsi="Arial" w:cs="Arial"/>
          <w:color w:val="0070C0"/>
        </w:rPr>
        <w:t> </w:t>
      </w:r>
      <w:r w:rsidRPr="00742634">
        <w:rPr>
          <w:color w:val="0070C0"/>
        </w:rPr>
        <w:t>foyer primaire</w:t>
      </w:r>
      <w:r w:rsidRPr="00742634">
        <w:rPr>
          <w:rFonts w:ascii="Arial" w:eastAsia="Arial" w:hAnsi="Arial" w:cs="Arial"/>
          <w:color w:val="0070C0"/>
        </w:rPr>
        <w:t> </w:t>
      </w:r>
      <w:r w:rsidRPr="00742634">
        <w:rPr>
          <w:color w:val="0070C0"/>
        </w:rPr>
        <w:t>» : les bacilles sont phagocytés par les macrophages alvéolaires, et se multiplient dans les macrophages.</w:t>
      </w:r>
      <w:r w:rsidRPr="00742634">
        <w:rPr>
          <w:noProof/>
          <w:color w:val="0070C0"/>
        </w:rPr>
        <w:drawing>
          <wp:anchor distT="0" distB="0" distL="114300" distR="114300" simplePos="0" relativeHeight="251774976" behindDoc="0" locked="0" layoutInCell="1" hidden="0" allowOverlap="1" wp14:anchorId="78750F93" wp14:editId="3DE37117">
            <wp:simplePos x="0" y="0"/>
            <wp:positionH relativeFrom="column">
              <wp:posOffset>-235074</wp:posOffset>
            </wp:positionH>
            <wp:positionV relativeFrom="paragraph">
              <wp:posOffset>4670</wp:posOffset>
            </wp:positionV>
            <wp:extent cx="153670" cy="137160"/>
            <wp:effectExtent l="0" t="0" r="0" b="0"/>
            <wp:wrapSquare wrapText="bothSides" distT="0" distB="0" distL="114300" distR="11430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5259E520" w14:textId="77777777" w:rsidR="003208BA" w:rsidRPr="00742634" w:rsidRDefault="003208BA" w:rsidP="00742634">
      <w:pPr>
        <w:rPr>
          <w:color w:val="0070C0"/>
        </w:rPr>
      </w:pPr>
      <w:r w:rsidRPr="00742634">
        <w:rPr>
          <w:color w:val="0070C0"/>
        </w:rPr>
        <w:t>- Les bacilles gagnent le ganglion hilaire satellite du foyer primaire.</w:t>
      </w:r>
    </w:p>
    <w:p w14:paraId="5DB7EB25" w14:textId="77777777" w:rsidR="003208BA" w:rsidRDefault="003208BA" w:rsidP="00742634">
      <w:r>
        <w:t>- L’association du foyer primaire et de l’adénopathie satellite est appelée «</w:t>
      </w:r>
      <w:r>
        <w:rPr>
          <w:rFonts w:ascii="Arial" w:eastAsia="Arial" w:hAnsi="Arial" w:cs="Arial"/>
        </w:rPr>
        <w:t> </w:t>
      </w:r>
      <w:r>
        <w:rPr>
          <w:b/>
          <w:bCs/>
        </w:rPr>
        <w:t>complexe primaire</w:t>
      </w:r>
      <w:r>
        <w:rPr>
          <w:rFonts w:ascii="Arial" w:eastAsia="Arial" w:hAnsi="Arial" w:cs="Arial"/>
          <w:b/>
          <w:bCs/>
        </w:rPr>
        <w:t> </w:t>
      </w:r>
      <w:r>
        <w:rPr>
          <w:b/>
          <w:bCs/>
        </w:rPr>
        <w:t>»</w:t>
      </w:r>
      <w:r>
        <w:t>, qui peut rester visible sur la radio de thorax plusieurs années après la PIT.</w:t>
      </w:r>
    </w:p>
    <w:p w14:paraId="73C4C135" w14:textId="77777777" w:rsidR="003208BA" w:rsidRDefault="003208BA" w:rsidP="00742634">
      <w:r>
        <w:t>- Dans les semaines suivant la PIT, une réponse immune à médiation cellulaire se développe :</w:t>
      </w:r>
    </w:p>
    <w:p w14:paraId="5E34F521" w14:textId="77777777" w:rsidR="003208BA" w:rsidRDefault="003208BA">
      <w:pPr>
        <w:pStyle w:val="Paragraphedeliste"/>
        <w:numPr>
          <w:ilvl w:val="0"/>
          <w:numId w:val="30"/>
        </w:numPr>
        <w:ind w:left="284" w:hanging="142"/>
      </w:pPr>
      <w:r>
        <w:t>Permettant le plus souvent de limiter la multiplication du BK.</w:t>
      </w:r>
    </w:p>
    <w:p w14:paraId="30ACDBF7" w14:textId="77777777" w:rsidR="003208BA" w:rsidRDefault="003208BA">
      <w:pPr>
        <w:pStyle w:val="Paragraphedeliste"/>
        <w:numPr>
          <w:ilvl w:val="0"/>
          <w:numId w:val="30"/>
        </w:numPr>
        <w:ind w:left="284" w:hanging="142"/>
      </w:pPr>
      <w:r>
        <w:t>Responsable au niveau du foyer primaire et des foyers secondaires d’un afflux de cellules monocytaires d’allure épithélioïde avec au centre une nécrose dite «</w:t>
      </w:r>
      <w:r w:rsidRPr="00742634">
        <w:rPr>
          <w:rFonts w:ascii="Arial" w:eastAsia="Arial" w:hAnsi="Arial" w:cs="Arial"/>
        </w:rPr>
        <w:t> </w:t>
      </w:r>
      <w:r>
        <w:t>caséeuse</w:t>
      </w:r>
      <w:r w:rsidRPr="00742634">
        <w:rPr>
          <w:rFonts w:ascii="Arial" w:eastAsia="Arial" w:hAnsi="Arial" w:cs="Arial"/>
        </w:rPr>
        <w:t> </w:t>
      </w:r>
      <w:r>
        <w:t xml:space="preserve">», ces lésions sont </w:t>
      </w:r>
      <w:r>
        <w:lastRenderedPageBreak/>
        <w:t>appelées «</w:t>
      </w:r>
      <w:r w:rsidRPr="00742634">
        <w:rPr>
          <w:rFonts w:ascii="Arial" w:eastAsia="Arial" w:hAnsi="Arial" w:cs="Arial"/>
        </w:rPr>
        <w:t> </w:t>
      </w:r>
      <w:r>
        <w:t xml:space="preserve">granulomes </w:t>
      </w:r>
      <w:r w:rsidRPr="00742634">
        <w:rPr>
          <w:b/>
          <w:bCs/>
        </w:rPr>
        <w:t>giganto-cellulaires avec nécrose caséeuse</w:t>
      </w:r>
      <w:r w:rsidRPr="00742634">
        <w:rPr>
          <w:rFonts w:ascii="Arial" w:eastAsia="Arial" w:hAnsi="Arial" w:cs="Arial"/>
          <w:b/>
          <w:bCs/>
        </w:rPr>
        <w:t> </w:t>
      </w:r>
      <w:r w:rsidRPr="00742634">
        <w:rPr>
          <w:b/>
          <w:bCs/>
        </w:rPr>
        <w:t>»</w:t>
      </w:r>
      <w:r>
        <w:t xml:space="preserve"> et contiennent quelques bacilles quiescents.</w:t>
      </w:r>
      <w:r w:rsidRPr="00742634">
        <w:rPr>
          <w:b/>
          <w:bCs/>
        </w:rPr>
        <w:t xml:space="preserve"> </w:t>
      </w:r>
    </w:p>
    <w:p w14:paraId="727F5890" w14:textId="77777777" w:rsidR="003208BA" w:rsidRDefault="003208BA" w:rsidP="00742634">
      <w:r>
        <w:t xml:space="preserve">- L’ITL est par définition une PIT asymptomatique. </w:t>
      </w:r>
      <w:r>
        <w:rPr>
          <w:noProof/>
        </w:rPr>
        <w:drawing>
          <wp:anchor distT="0" distB="0" distL="114300" distR="114300" simplePos="0" relativeHeight="251776000" behindDoc="0" locked="0" layoutInCell="1" hidden="0" allowOverlap="1" wp14:anchorId="59764E67" wp14:editId="2AAAB776">
            <wp:simplePos x="0" y="0"/>
            <wp:positionH relativeFrom="column">
              <wp:posOffset>1924685</wp:posOffset>
            </wp:positionH>
            <wp:positionV relativeFrom="paragraph">
              <wp:posOffset>150191</wp:posOffset>
            </wp:positionV>
            <wp:extent cx="153670" cy="137160"/>
            <wp:effectExtent l="0" t="0" r="0" b="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A75713E" w14:textId="77777777" w:rsidR="003208BA" w:rsidRDefault="003208BA" w:rsidP="00742634">
      <w:r>
        <w:t>- Parfois la PIT est «</w:t>
      </w:r>
      <w:r>
        <w:rPr>
          <w:rFonts w:ascii="Arial" w:eastAsia="Arial" w:hAnsi="Arial" w:cs="Arial"/>
        </w:rPr>
        <w:t> </w:t>
      </w:r>
      <w:r>
        <w:rPr>
          <w:b/>
          <w:bCs/>
        </w:rPr>
        <w:t>patente</w:t>
      </w:r>
      <w:r>
        <w:rPr>
          <w:rFonts w:ascii="Arial" w:eastAsia="Arial" w:hAnsi="Arial" w:cs="Arial"/>
          <w:b/>
          <w:bCs/>
        </w:rPr>
        <w:t> </w:t>
      </w:r>
      <w:r>
        <w:t xml:space="preserve">». </w:t>
      </w:r>
      <w:r>
        <w:rPr>
          <w:color w:val="0070C0"/>
        </w:rPr>
        <w:t>Elle s’accompagne d’une altération de l’état général (AEG), d’un érythème noueux, d’une kérato-conjonctivite phlycténulaire, d’adénopathies cervicales. La radiographie du thorax peut alors montrer des adénopathies médiastinales avec ou sans lésion parenchymateuse correspondant au foyer primaire (chancre d’inoculation).</w:t>
      </w:r>
    </w:p>
    <w:p w14:paraId="268624C7" w14:textId="77777777" w:rsidR="003208BA" w:rsidRDefault="003208BA" w:rsidP="00742634"/>
    <w:p w14:paraId="033DA430" w14:textId="77777777" w:rsidR="003208BA" w:rsidRDefault="003208BA" w:rsidP="00742634">
      <w:r>
        <w:t xml:space="preserve">Étape 3 : </w:t>
      </w:r>
      <w:r>
        <w:rPr>
          <w:u w:val="single"/>
        </w:rPr>
        <w:t>Le développement de la tuberculose maladie</w:t>
      </w:r>
      <w:r>
        <w:t xml:space="preserve"> (TM)</w:t>
      </w:r>
    </w:p>
    <w:p w14:paraId="6ED07A42" w14:textId="6E3D8F7E" w:rsidR="003208BA" w:rsidRDefault="003208BA" w:rsidP="00742634">
      <w:pPr>
        <w:rPr>
          <w:b/>
          <w:bCs/>
        </w:rPr>
      </w:pPr>
      <w:r>
        <w:t xml:space="preserve">- À n’importe quel moment, pendant l’ITL ou après l’ITL, la multiplication des bacilles quiescents peut survenir : c’est la </w:t>
      </w:r>
      <w:r>
        <w:rPr>
          <w:b/>
          <w:bCs/>
        </w:rPr>
        <w:t>tuberculose-maladie</w:t>
      </w:r>
      <w:r>
        <w:t xml:space="preserve"> </w:t>
      </w:r>
      <w:r>
        <w:rPr>
          <w:b/>
          <w:bCs/>
        </w:rPr>
        <w:t>(TM)</w:t>
      </w:r>
      <w:r>
        <w:t xml:space="preserve"> </w:t>
      </w:r>
      <w:r w:rsidR="00742634">
        <w:sym w:font="Wingdings" w:char="F0E0"/>
      </w:r>
      <w:r w:rsidR="00742634">
        <w:t xml:space="preserve"> </w:t>
      </w:r>
      <w:r>
        <w:t xml:space="preserve">le </w:t>
      </w:r>
      <w:r>
        <w:rPr>
          <w:b/>
          <w:bCs/>
        </w:rPr>
        <w:t>patient</w:t>
      </w:r>
      <w:r>
        <w:t xml:space="preserve"> devient symptomatique :</w:t>
      </w:r>
    </w:p>
    <w:p w14:paraId="4EEF385B" w14:textId="77777777" w:rsidR="003208BA" w:rsidRDefault="003208BA">
      <w:pPr>
        <w:pStyle w:val="Paragraphedeliste"/>
        <w:numPr>
          <w:ilvl w:val="0"/>
          <w:numId w:val="31"/>
        </w:numPr>
        <w:ind w:left="284" w:hanging="142"/>
      </w:pPr>
      <w:r>
        <w:t>5 % des patients développent une TM dans les 2 ans qui suivent la PIT.</w:t>
      </w:r>
    </w:p>
    <w:p w14:paraId="4A51C7B6" w14:textId="77777777" w:rsidR="003208BA" w:rsidRDefault="003208BA">
      <w:pPr>
        <w:pStyle w:val="Paragraphedeliste"/>
        <w:numPr>
          <w:ilvl w:val="0"/>
          <w:numId w:val="31"/>
        </w:numPr>
        <w:ind w:left="284" w:hanging="142"/>
      </w:pPr>
      <w:r>
        <w:t>Environ 5 % des patients supplémentaires développent une TM au-delà des 2 ans qui suivent la PIT (formes cavitaires).</w:t>
      </w:r>
    </w:p>
    <w:p w14:paraId="3E6763FD" w14:textId="77777777" w:rsidR="003208BA" w:rsidRDefault="003208BA" w:rsidP="00742634">
      <w:r>
        <w:t>- Le développement d’une TM est favorisé par :</w:t>
      </w:r>
    </w:p>
    <w:p w14:paraId="1F73B6B5" w14:textId="77777777" w:rsidR="003208BA" w:rsidRDefault="003208BA">
      <w:pPr>
        <w:pStyle w:val="Paragraphedeliste"/>
        <w:numPr>
          <w:ilvl w:val="0"/>
          <w:numId w:val="31"/>
        </w:numPr>
        <w:ind w:left="284" w:hanging="142"/>
      </w:pPr>
      <w:r>
        <w:t>L’immunodépression (infection VIH +++, quel que soit le niveau de CD4, tumeurs solides et hémopathies, traitements immunosuppresseurs/anti-TNF α).</w:t>
      </w:r>
    </w:p>
    <w:p w14:paraId="3534F068" w14:textId="77777777" w:rsidR="003208BA" w:rsidRDefault="003208BA">
      <w:pPr>
        <w:pStyle w:val="Paragraphedeliste"/>
        <w:numPr>
          <w:ilvl w:val="0"/>
          <w:numId w:val="31"/>
        </w:numPr>
        <w:ind w:left="284" w:hanging="142"/>
      </w:pPr>
      <w:r>
        <w:t>Pneumoconiose (</w:t>
      </w:r>
      <w:proofErr w:type="spellStart"/>
      <w:r>
        <w:t>anthraco</w:t>
      </w:r>
      <w:proofErr w:type="spellEnd"/>
      <w:r>
        <w:t>-fibrose, silicose).</w:t>
      </w:r>
    </w:p>
    <w:p w14:paraId="4AF79787" w14:textId="77777777" w:rsidR="003208BA" w:rsidRDefault="003208BA">
      <w:pPr>
        <w:pStyle w:val="Paragraphedeliste"/>
        <w:numPr>
          <w:ilvl w:val="0"/>
          <w:numId w:val="31"/>
        </w:numPr>
        <w:ind w:left="284" w:hanging="142"/>
      </w:pPr>
      <w:r>
        <w:t>Le diabète, l’insuffisance rénale (notamment si dialyse).</w:t>
      </w:r>
    </w:p>
    <w:p w14:paraId="177CF667" w14:textId="77777777" w:rsidR="003208BA" w:rsidRDefault="003208BA">
      <w:pPr>
        <w:pStyle w:val="Paragraphedeliste"/>
        <w:numPr>
          <w:ilvl w:val="0"/>
          <w:numId w:val="31"/>
        </w:numPr>
        <w:ind w:left="284" w:hanging="142"/>
      </w:pPr>
      <w:r>
        <w:t>La précarité.</w:t>
      </w:r>
    </w:p>
    <w:p w14:paraId="30059786" w14:textId="77777777" w:rsidR="003208BA" w:rsidRDefault="003208BA">
      <w:pPr>
        <w:pStyle w:val="Paragraphedeliste"/>
        <w:numPr>
          <w:ilvl w:val="0"/>
          <w:numId w:val="31"/>
        </w:numPr>
        <w:ind w:left="284" w:hanging="142"/>
      </w:pPr>
      <w:r>
        <w:t xml:space="preserve">La malnutrition. </w:t>
      </w:r>
    </w:p>
    <w:p w14:paraId="6192BBCE" w14:textId="77777777" w:rsidR="003208BA" w:rsidRDefault="003208BA">
      <w:pPr>
        <w:pStyle w:val="Paragraphedeliste"/>
        <w:numPr>
          <w:ilvl w:val="0"/>
          <w:numId w:val="31"/>
        </w:numPr>
        <w:ind w:left="284" w:hanging="142"/>
      </w:pPr>
      <w:r>
        <w:t>Le tabagisme.</w:t>
      </w:r>
    </w:p>
    <w:p w14:paraId="553BBCA7" w14:textId="77777777" w:rsidR="003208BA" w:rsidRDefault="003208BA">
      <w:pPr>
        <w:pStyle w:val="Paragraphedeliste"/>
        <w:numPr>
          <w:ilvl w:val="0"/>
          <w:numId w:val="31"/>
        </w:numPr>
        <w:ind w:left="284" w:hanging="142"/>
      </w:pPr>
      <w:r>
        <w:t>La toxicomanie.</w:t>
      </w:r>
    </w:p>
    <w:p w14:paraId="6FC1454E" w14:textId="77777777" w:rsidR="003208BA" w:rsidRDefault="003208BA">
      <w:pPr>
        <w:pStyle w:val="Paragraphedeliste"/>
        <w:numPr>
          <w:ilvl w:val="0"/>
          <w:numId w:val="31"/>
        </w:numPr>
        <w:ind w:left="284" w:hanging="142"/>
      </w:pPr>
      <w:r>
        <w:t>Les âges extrêmes.</w:t>
      </w:r>
    </w:p>
    <w:p w14:paraId="648CBE17" w14:textId="77777777" w:rsidR="003208BA" w:rsidRDefault="003208BA" w:rsidP="003208BA">
      <w:pPr>
        <w:spacing w:line="240" w:lineRule="auto"/>
      </w:pPr>
    </w:p>
    <w:p w14:paraId="066562D5" w14:textId="77777777" w:rsidR="003208BA" w:rsidRDefault="003208BA" w:rsidP="00742634">
      <w:pPr>
        <w:pStyle w:val="lgende"/>
        <w:rPr>
          <w:sz w:val="22"/>
          <w:szCs w:val="22"/>
        </w:rPr>
      </w:pPr>
      <w:r>
        <w:t>Figure 1 : Histoire naturelle schématique de la tuberculose.</w:t>
      </w:r>
    </w:p>
    <w:p w14:paraId="7A8D3D1F" w14:textId="77777777" w:rsidR="003208BA" w:rsidRDefault="003208BA" w:rsidP="003208BA">
      <w:pPr>
        <w:spacing w:line="240" w:lineRule="auto"/>
        <w:jc w:val="center"/>
      </w:pPr>
      <w:r>
        <w:rPr>
          <w:noProof/>
        </w:rPr>
        <w:drawing>
          <wp:inline distT="0" distB="0" distL="0" distR="0" wp14:anchorId="724CEEE0" wp14:editId="0C74EC62">
            <wp:extent cx="4673840" cy="3130711"/>
            <wp:effectExtent l="0" t="0" r="0" b="0"/>
            <wp:docPr id="2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4673840" cy="3130711"/>
                    </a:xfrm>
                    <a:prstGeom prst="rect">
                      <a:avLst/>
                    </a:prstGeom>
                    <a:ln/>
                  </pic:spPr>
                </pic:pic>
              </a:graphicData>
            </a:graphic>
          </wp:inline>
        </w:drawing>
      </w:r>
    </w:p>
    <w:p w14:paraId="176ED3DD" w14:textId="77777777" w:rsidR="003208BA" w:rsidRDefault="003208BA" w:rsidP="003208BA">
      <w:pPr>
        <w:spacing w:line="240" w:lineRule="auto"/>
      </w:pPr>
    </w:p>
    <w:p w14:paraId="11C273AB" w14:textId="77777777" w:rsidR="003208BA" w:rsidRDefault="003208BA" w:rsidP="00742634">
      <w:pPr>
        <w:pStyle w:val="titredepartie"/>
      </w:pPr>
      <w:r>
        <w:t>partie 1 : STRATÉGIE DIAGNOSTIQUE DEVANT UNE TUBERCULOSE-MALADIE (TM)</w:t>
      </w:r>
    </w:p>
    <w:tbl>
      <w:tblPr>
        <w:tblW w:w="906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067"/>
      </w:tblGrid>
      <w:tr w:rsidR="003208BA" w14:paraId="5DD905C0" w14:textId="77777777" w:rsidTr="00742634">
        <w:trPr>
          <w:trHeight w:val="54"/>
        </w:trPr>
        <w:tc>
          <w:tcPr>
            <w:tcW w:w="9067" w:type="dxa"/>
            <w:vAlign w:val="center"/>
          </w:tcPr>
          <w:p w14:paraId="6BDC2B4E" w14:textId="77777777" w:rsidR="003208BA" w:rsidRDefault="003208BA" w:rsidP="00324888">
            <w:pPr>
              <w:rPr>
                <w:sz w:val="6"/>
                <w:szCs w:val="6"/>
              </w:rPr>
            </w:pPr>
            <w:r w:rsidRPr="00742634">
              <w:rPr>
                <w:sz w:val="14"/>
                <w:szCs w:val="14"/>
              </w:rPr>
              <w:lastRenderedPageBreak/>
              <w:br/>
            </w:r>
            <w:r>
              <w:t>La tuberculose est la grande trompeuse :</w:t>
            </w:r>
            <w:r>
              <w:rPr>
                <w:noProof/>
              </w:rPr>
              <w:drawing>
                <wp:anchor distT="0" distB="0" distL="114300" distR="114300" simplePos="0" relativeHeight="251777024" behindDoc="0" locked="0" layoutInCell="1" hidden="0" allowOverlap="1" wp14:anchorId="7C9D1961" wp14:editId="31E39DC4">
                  <wp:simplePos x="0" y="0"/>
                  <wp:positionH relativeFrom="column">
                    <wp:posOffset>47626</wp:posOffset>
                  </wp:positionH>
                  <wp:positionV relativeFrom="paragraph">
                    <wp:posOffset>19050</wp:posOffset>
                  </wp:positionV>
                  <wp:extent cx="548640" cy="660400"/>
                  <wp:effectExtent l="0" t="0" r="0" b="0"/>
                  <wp:wrapSquare wrapText="bothSides" distT="0" distB="0" distL="114300" distR="1143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48640" cy="660400"/>
                          </a:xfrm>
                          <a:prstGeom prst="rect">
                            <a:avLst/>
                          </a:prstGeom>
                          <a:ln/>
                        </pic:spPr>
                      </pic:pic>
                    </a:graphicData>
                  </a:graphic>
                </wp:anchor>
              </w:drawing>
            </w:r>
          </w:p>
          <w:p w14:paraId="78763469" w14:textId="77777777" w:rsidR="003208BA" w:rsidRDefault="003208BA" w:rsidP="00324888">
            <w:r>
              <w:t>- Elle peut simuler de multiples pathologies pulmonaires.</w:t>
            </w:r>
          </w:p>
          <w:p w14:paraId="69C5A1B1" w14:textId="77777777" w:rsidR="003208BA" w:rsidRDefault="003208BA" w:rsidP="00324888">
            <w:r>
              <w:t>- Ou survenir en même temps que d’autres pathologies pulmonaires.</w:t>
            </w:r>
          </w:p>
        </w:tc>
      </w:tr>
    </w:tbl>
    <w:p w14:paraId="69BE79A7" w14:textId="77777777" w:rsidR="003208BA" w:rsidRDefault="003208BA" w:rsidP="003208BA">
      <w:pPr>
        <w:spacing w:line="240" w:lineRule="auto"/>
      </w:pPr>
    </w:p>
    <w:p w14:paraId="4B4DF2E1" w14:textId="77777777" w:rsidR="003208BA" w:rsidRDefault="003208BA" w:rsidP="00742634">
      <w:pPr>
        <w:pStyle w:val="titredesous-partie"/>
        <w:rPr>
          <w:i/>
          <w:iCs/>
        </w:rPr>
      </w:pPr>
      <w:r>
        <w:rPr>
          <w:shd w:val="clear" w:color="auto" w:fill="auto"/>
        </w:rPr>
        <w:t>MOTIF DE CONSULTATION/PRISE EN CHARGE</w:t>
      </w:r>
      <w:r>
        <w:rPr>
          <w:i/>
          <w:iCs/>
          <w:shd w:val="clear" w:color="auto" w:fill="auto"/>
        </w:rPr>
        <w:t xml:space="preserve"> </w:t>
      </w:r>
    </w:p>
    <w:p w14:paraId="086B7B35" w14:textId="77777777" w:rsidR="003208BA" w:rsidRDefault="003208BA" w:rsidP="00742634">
      <w:r>
        <w:t>Toujours penser à la tuberculose devant :</w:t>
      </w:r>
    </w:p>
    <w:p w14:paraId="1E624F16" w14:textId="77777777" w:rsidR="003208BA" w:rsidRDefault="003208BA" w:rsidP="00742634">
      <w:r>
        <w:t>- Des signes cliniques respiratoires ou généraux évoluant depuis plusieurs semaines à plusieurs mois.</w:t>
      </w:r>
    </w:p>
    <w:p w14:paraId="3C80C6A0" w14:textId="77777777" w:rsidR="003208BA" w:rsidRDefault="003208BA" w:rsidP="00742634">
      <w:r>
        <w:t>- La découverte radiologique d’infiltrats, nodules, et/ou cavernes au niveau des lobes supérieurs et segments postérieurs.</w:t>
      </w:r>
    </w:p>
    <w:p w14:paraId="3350B47A" w14:textId="77777777" w:rsidR="003208BA" w:rsidRDefault="003208BA" w:rsidP="003208BA">
      <w:pPr>
        <w:spacing w:line="240" w:lineRule="auto"/>
      </w:pPr>
    </w:p>
    <w:p w14:paraId="3A2889AF" w14:textId="77777777" w:rsidR="003208BA" w:rsidRDefault="003208BA" w:rsidP="00742634">
      <w:pPr>
        <w:pStyle w:val="titredesous-partie"/>
      </w:pPr>
      <w:r>
        <w:rPr>
          <w:shd w:val="clear" w:color="auto" w:fill="auto"/>
        </w:rPr>
        <w:t>TERRAIN ET ATCD</w:t>
      </w:r>
    </w:p>
    <w:p w14:paraId="4036BE7D" w14:textId="77777777" w:rsidR="003208BA" w:rsidRDefault="003208BA" w:rsidP="00742634">
      <w:r>
        <w:t xml:space="preserve">Un contexte évocateur sera à rechercher : </w:t>
      </w:r>
    </w:p>
    <w:p w14:paraId="0F3698EE" w14:textId="77777777" w:rsidR="003208BA" w:rsidRDefault="003208BA" w:rsidP="00742634">
      <w:r>
        <w:t xml:space="preserve">- Notion d’un </w:t>
      </w:r>
      <w:proofErr w:type="spellStart"/>
      <w:r>
        <w:t>contage</w:t>
      </w:r>
      <w:proofErr w:type="spellEnd"/>
      <w:r>
        <w:t>.</w:t>
      </w:r>
    </w:p>
    <w:p w14:paraId="3C959BEE" w14:textId="77777777" w:rsidR="003208BA" w:rsidRDefault="003208BA" w:rsidP="00742634">
      <w:r>
        <w:t>- Contexte socio-économique.</w:t>
      </w:r>
    </w:p>
    <w:p w14:paraId="528BDF83" w14:textId="77777777" w:rsidR="003208BA" w:rsidRDefault="003208BA" w:rsidP="00742634">
      <w:r>
        <w:t>- Immigration.</w:t>
      </w:r>
    </w:p>
    <w:p w14:paraId="5B0A8D90" w14:textId="77777777" w:rsidR="003208BA" w:rsidRDefault="003208BA" w:rsidP="00742634">
      <w:r>
        <w:t>- Grand Âge.</w:t>
      </w:r>
    </w:p>
    <w:p w14:paraId="3EE5B982" w14:textId="77777777" w:rsidR="003208BA" w:rsidRDefault="003208BA" w:rsidP="00742634">
      <w:r>
        <w:t>- Vie en communauté.</w:t>
      </w:r>
    </w:p>
    <w:p w14:paraId="0E0A9529" w14:textId="77777777" w:rsidR="003208BA" w:rsidRDefault="003208BA" w:rsidP="00742634">
      <w:r>
        <w:t>- Immunosuppression.</w:t>
      </w:r>
    </w:p>
    <w:p w14:paraId="4708ECB5" w14:textId="77777777" w:rsidR="003208BA" w:rsidRDefault="003208BA" w:rsidP="00742634">
      <w:r>
        <w:t>- Et infection VIH…</w:t>
      </w:r>
    </w:p>
    <w:p w14:paraId="3C6DB90A" w14:textId="77777777" w:rsidR="003208BA" w:rsidRDefault="003208BA" w:rsidP="00742634">
      <w:pPr>
        <w:rPr>
          <w:b/>
          <w:bCs/>
        </w:rPr>
      </w:pPr>
    </w:p>
    <w:p w14:paraId="586093F1" w14:textId="77777777" w:rsidR="003208BA" w:rsidRDefault="003208BA" w:rsidP="00742634">
      <w:pPr>
        <w:pStyle w:val="titredesous-partie"/>
        <w:rPr>
          <w:i/>
          <w:iCs/>
        </w:rPr>
      </w:pPr>
      <w:r>
        <w:rPr>
          <w:shd w:val="clear" w:color="auto" w:fill="auto"/>
        </w:rPr>
        <w:t>HISTOIRE DE LA MALADIE</w:t>
      </w:r>
    </w:p>
    <w:p w14:paraId="0C186031" w14:textId="77777777" w:rsidR="003208BA" w:rsidRDefault="003208BA" w:rsidP="00742634">
      <w:r>
        <w:t xml:space="preserve">Le contexte, avec un terrain favorisant + </w:t>
      </w:r>
      <w:r>
        <w:rPr>
          <w:b/>
          <w:bCs/>
          <w:u w:val="single"/>
        </w:rPr>
        <w:t>l’évolution lente</w:t>
      </w:r>
      <w:r>
        <w:t xml:space="preserve"> des symptômes, seront la caractéristique principale de l’histoire.</w:t>
      </w:r>
    </w:p>
    <w:p w14:paraId="09DC6AC5" w14:textId="77777777" w:rsidR="003208BA" w:rsidRDefault="003208BA" w:rsidP="003208BA">
      <w:pPr>
        <w:spacing w:line="240" w:lineRule="auto"/>
      </w:pPr>
    </w:p>
    <w:p w14:paraId="67F8B86B" w14:textId="2FF0E95C" w:rsidR="003208BA" w:rsidRDefault="003208BA" w:rsidP="00742634">
      <w:pPr>
        <w:pStyle w:val="titredesous-partie"/>
        <w:rPr>
          <w:color w:val="000000"/>
        </w:rPr>
      </w:pPr>
      <w:r>
        <w:t>diagnostique devant UNE TUBERCULOSE</w:t>
      </w:r>
      <w:r w:rsidR="009A3446">
        <w:t xml:space="preserve"> = CLINICO RADIOLOGIQUE</w:t>
      </w:r>
    </w:p>
    <w:p w14:paraId="4BC7CB32" w14:textId="77777777" w:rsidR="003208BA" w:rsidRDefault="003208BA" w:rsidP="00742634">
      <w:pPr>
        <w:pStyle w:val="Titre2"/>
      </w:pPr>
      <w:r>
        <w:t xml:space="preserve">Formes avec atteinte pulmonaire (75 % des cas) ou intrathoracique </w:t>
      </w:r>
    </w:p>
    <w:p w14:paraId="4ACB0D56" w14:textId="77777777" w:rsidR="003208BA" w:rsidRDefault="003208BA" w:rsidP="003208BA">
      <w:pPr>
        <w:spacing w:line="240" w:lineRule="auto"/>
      </w:pPr>
      <w:r>
        <w:t>Toutes les formes intrathoraciques seront présentées ici avec l’examen clinique + les signes radiologiques associés, avant de voir les autres examens complémentaires communs plus bas.</w:t>
      </w:r>
    </w:p>
    <w:p w14:paraId="6ACB83B7" w14:textId="77777777" w:rsidR="003208BA" w:rsidRDefault="003208BA" w:rsidP="003208BA">
      <w:pPr>
        <w:spacing w:line="240" w:lineRule="auto"/>
      </w:pPr>
    </w:p>
    <w:p w14:paraId="1C88FDC4" w14:textId="77777777" w:rsidR="003208BA" w:rsidRDefault="003208BA" w:rsidP="00742634">
      <w:pPr>
        <w:pStyle w:val="Titre3"/>
      </w:pPr>
      <w:r>
        <w:t xml:space="preserve">Formes intrathoracique 1 : tuberculose-pulmonaire commune </w:t>
      </w:r>
    </w:p>
    <w:p w14:paraId="4E7C0C76" w14:textId="77777777" w:rsidR="003208BA" w:rsidRDefault="003208BA" w:rsidP="00742634">
      <w:r>
        <w:t>Physiopathologie :</w:t>
      </w:r>
    </w:p>
    <w:p w14:paraId="07F6F6EB" w14:textId="77777777" w:rsidR="003208BA" w:rsidRDefault="003208BA" w:rsidP="00742634">
      <w:r>
        <w:t>- Lésions situées essentiellement dans les segments postérieurs des lobes supérieurs.</w:t>
      </w:r>
    </w:p>
    <w:p w14:paraId="286B4600" w14:textId="77777777" w:rsidR="003208BA" w:rsidRDefault="003208BA" w:rsidP="00742634">
      <w:r>
        <w:t>- Formation à partir de(s) foyers secondaires et/ou primaires avec ramollissement et fonte du caséum et formation d’une caverne fistulisée dans l’arbre bronchique.</w:t>
      </w:r>
    </w:p>
    <w:p w14:paraId="3669436B" w14:textId="77777777" w:rsidR="003208BA" w:rsidRDefault="003208BA" w:rsidP="00742634">
      <w:r>
        <w:t>- Dissémination bronchogène au reste du poumon.</w:t>
      </w:r>
    </w:p>
    <w:p w14:paraId="7F4C3C67" w14:textId="77777777" w:rsidR="003208BA" w:rsidRDefault="003208BA" w:rsidP="003208BA">
      <w:pPr>
        <w:spacing w:line="240" w:lineRule="auto"/>
      </w:pPr>
    </w:p>
    <w:p w14:paraId="2AB64823" w14:textId="77777777" w:rsidR="003208BA" w:rsidRDefault="003208BA" w:rsidP="003208BA">
      <w:pPr>
        <w:spacing w:line="240" w:lineRule="auto"/>
        <w:rPr>
          <w:b/>
          <w:bCs/>
        </w:rPr>
      </w:pPr>
      <w:r>
        <w:rPr>
          <w:b/>
          <w:bCs/>
        </w:rPr>
        <w:t>EXAMEN CLINIQUE ET RADIOLOGIQUE</w:t>
      </w:r>
    </w:p>
    <w:p w14:paraId="2DFA1EFD" w14:textId="77777777" w:rsidR="003208BA" w:rsidRDefault="003208BA" w:rsidP="00742634">
      <w:r>
        <w:t>Présentation clinique :</w:t>
      </w:r>
    </w:p>
    <w:p w14:paraId="6F839331" w14:textId="77777777" w:rsidR="003208BA" w:rsidRDefault="003208BA" w:rsidP="00742634">
      <w:r>
        <w:t>- Pas de symptôme spécifique.</w:t>
      </w:r>
    </w:p>
    <w:p w14:paraId="25B2C35A" w14:textId="77777777" w:rsidR="003208BA" w:rsidRDefault="003208BA" w:rsidP="00742634">
      <w:r>
        <w:t>- Évolution sur plusieurs semaines à plusieurs mois, avec début généralement insidieux.</w:t>
      </w:r>
    </w:p>
    <w:p w14:paraId="55FD139C" w14:textId="77777777" w:rsidR="003208BA" w:rsidRDefault="003208BA" w:rsidP="00742634">
      <w:r>
        <w:t>- Signes généraux :</w:t>
      </w:r>
    </w:p>
    <w:p w14:paraId="68E61F30" w14:textId="77777777" w:rsidR="003208BA" w:rsidRDefault="003208BA">
      <w:pPr>
        <w:pStyle w:val="Paragraphedeliste"/>
        <w:numPr>
          <w:ilvl w:val="0"/>
          <w:numId w:val="32"/>
        </w:numPr>
        <w:ind w:left="284" w:hanging="142"/>
      </w:pPr>
      <w:r>
        <w:t>AEG : asthénie, anorexie, amaigrissement.</w:t>
      </w:r>
    </w:p>
    <w:p w14:paraId="5F475445" w14:textId="77777777" w:rsidR="003208BA" w:rsidRDefault="003208BA">
      <w:pPr>
        <w:pStyle w:val="Paragraphedeliste"/>
        <w:numPr>
          <w:ilvl w:val="0"/>
          <w:numId w:val="32"/>
        </w:numPr>
        <w:ind w:left="284" w:hanging="142"/>
      </w:pPr>
      <w:r>
        <w:lastRenderedPageBreak/>
        <w:t>Fébricule à prédominance nocturne.</w:t>
      </w:r>
    </w:p>
    <w:p w14:paraId="4E78C11E" w14:textId="77777777" w:rsidR="003208BA" w:rsidRDefault="003208BA">
      <w:pPr>
        <w:pStyle w:val="Paragraphedeliste"/>
        <w:numPr>
          <w:ilvl w:val="0"/>
          <w:numId w:val="32"/>
        </w:numPr>
        <w:ind w:left="284" w:hanging="142"/>
      </w:pPr>
      <w:r>
        <w:t>Sueurs nocturnes.</w:t>
      </w:r>
    </w:p>
    <w:p w14:paraId="099584E0" w14:textId="77777777" w:rsidR="003208BA" w:rsidRDefault="003208BA" w:rsidP="00742634">
      <w:r>
        <w:t>- Signes fonctionnels :</w:t>
      </w:r>
    </w:p>
    <w:p w14:paraId="48174B35" w14:textId="77777777" w:rsidR="003208BA" w:rsidRDefault="003208BA">
      <w:pPr>
        <w:pStyle w:val="Paragraphedeliste"/>
        <w:numPr>
          <w:ilvl w:val="0"/>
          <w:numId w:val="32"/>
        </w:numPr>
        <w:ind w:left="284" w:hanging="142"/>
      </w:pPr>
      <w:r>
        <w:t>Toux chronique (cf. item 204) ± expectorations.</w:t>
      </w:r>
    </w:p>
    <w:p w14:paraId="40AD152F" w14:textId="77777777" w:rsidR="003208BA" w:rsidRDefault="003208BA">
      <w:pPr>
        <w:pStyle w:val="Paragraphedeliste"/>
        <w:numPr>
          <w:ilvl w:val="0"/>
          <w:numId w:val="32"/>
        </w:numPr>
        <w:ind w:left="284" w:hanging="142"/>
      </w:pPr>
      <w:r>
        <w:t>Hémoptysie : du simple crachat hémoptoïque à l’hémoptysie grave.</w:t>
      </w:r>
    </w:p>
    <w:p w14:paraId="0642E748" w14:textId="77777777" w:rsidR="00742634" w:rsidRDefault="003208BA">
      <w:pPr>
        <w:pStyle w:val="Paragraphedeliste"/>
        <w:numPr>
          <w:ilvl w:val="0"/>
          <w:numId w:val="32"/>
        </w:numPr>
        <w:ind w:left="284" w:hanging="142"/>
      </w:pPr>
      <w:r>
        <w:t>Dyspnée, plus rare, généralement d’apparition tardive.</w:t>
      </w:r>
    </w:p>
    <w:p w14:paraId="1EC2698A" w14:textId="03DB11B4" w:rsidR="003208BA" w:rsidRDefault="003208BA">
      <w:pPr>
        <w:pStyle w:val="Paragraphedeliste"/>
        <w:numPr>
          <w:ilvl w:val="0"/>
          <w:numId w:val="32"/>
        </w:numPr>
        <w:ind w:left="284" w:hanging="142"/>
      </w:pPr>
      <w:r>
        <w:t>Douleur thoracique en cas d’épanchement pleural associé.</w:t>
      </w:r>
    </w:p>
    <w:p w14:paraId="23578C15" w14:textId="77777777" w:rsidR="003208BA" w:rsidRDefault="003208BA" w:rsidP="00742634">
      <w:r>
        <w:t>- Signes physiques :</w:t>
      </w:r>
    </w:p>
    <w:p w14:paraId="70A5B6E6" w14:textId="77777777" w:rsidR="003208BA" w:rsidRDefault="003208BA">
      <w:pPr>
        <w:pStyle w:val="Paragraphedeliste"/>
        <w:numPr>
          <w:ilvl w:val="0"/>
          <w:numId w:val="33"/>
        </w:numPr>
        <w:ind w:left="284" w:hanging="142"/>
      </w:pPr>
      <w:r>
        <w:t>Généralement absents.</w:t>
      </w:r>
    </w:p>
    <w:p w14:paraId="20669B61" w14:textId="77777777" w:rsidR="003208BA" w:rsidRDefault="003208BA" w:rsidP="00742634"/>
    <w:p w14:paraId="1B639B9A" w14:textId="77777777" w:rsidR="003208BA" w:rsidRDefault="003208BA" w:rsidP="00742634">
      <w:r>
        <w:t>Présentation radiologique :</w:t>
      </w:r>
    </w:p>
    <w:p w14:paraId="575521BC" w14:textId="77777777" w:rsidR="003208BA" w:rsidRDefault="003208BA" w:rsidP="00742634">
      <w:r>
        <w:t>- 3 types de lésions évocatrices du diagnostic (figures 2, 3, 4 et 8) :</w:t>
      </w:r>
    </w:p>
    <w:p w14:paraId="77FC0B60" w14:textId="2D890CEF" w:rsidR="003208BA" w:rsidRDefault="00742634" w:rsidP="00742634">
      <w:r>
        <w:rPr>
          <w:noProof/>
        </w:rPr>
        <mc:AlternateContent>
          <mc:Choice Requires="wpg">
            <w:drawing>
              <wp:anchor distT="0" distB="0" distL="114300" distR="114300" simplePos="0" relativeHeight="251778048" behindDoc="0" locked="0" layoutInCell="1" hidden="0" allowOverlap="1" wp14:anchorId="0428480A" wp14:editId="50B1FE58">
                <wp:simplePos x="0" y="0"/>
                <wp:positionH relativeFrom="column">
                  <wp:posOffset>2830830</wp:posOffset>
                </wp:positionH>
                <wp:positionV relativeFrom="paragraph">
                  <wp:posOffset>88569</wp:posOffset>
                </wp:positionV>
                <wp:extent cx="350520" cy="347345"/>
                <wp:effectExtent l="0" t="0" r="11430" b="0"/>
                <wp:wrapNone/>
                <wp:docPr id="2" name="Groupe 2"/>
                <wp:cNvGraphicFramePr/>
                <a:graphic xmlns:a="http://schemas.openxmlformats.org/drawingml/2006/main">
                  <a:graphicData uri="http://schemas.microsoft.com/office/word/2010/wordprocessingGroup">
                    <wpg:wgp>
                      <wpg:cNvGrpSpPr/>
                      <wpg:grpSpPr>
                        <a:xfrm>
                          <a:off x="0" y="0"/>
                          <a:ext cx="350520" cy="347345"/>
                          <a:chOff x="5170725" y="3606325"/>
                          <a:chExt cx="348325" cy="347350"/>
                        </a:xfrm>
                      </wpg:grpSpPr>
                      <wpg:grpSp>
                        <wpg:cNvPr id="615611157" name="Groupe 615611157"/>
                        <wpg:cNvGrpSpPr/>
                        <wpg:grpSpPr>
                          <a:xfrm>
                            <a:off x="5170740" y="3606328"/>
                            <a:ext cx="350520" cy="347345"/>
                            <a:chOff x="8322" y="5682"/>
                            <a:chExt cx="912" cy="672"/>
                          </a:xfrm>
                        </wpg:grpSpPr>
                        <wps:wsp>
                          <wps:cNvPr id="1063802354" name="Rectangle 1063802354"/>
                          <wps:cNvSpPr/>
                          <wps:spPr>
                            <a:xfrm>
                              <a:off x="8322" y="5682"/>
                              <a:ext cx="900" cy="650"/>
                            </a:xfrm>
                            <a:prstGeom prst="rect">
                              <a:avLst/>
                            </a:prstGeom>
                            <a:noFill/>
                            <a:ln>
                              <a:noFill/>
                            </a:ln>
                          </wps:spPr>
                          <wps:txbx>
                            <w:txbxContent>
                              <w:p w14:paraId="0121AE0F"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1183955977" name="Forme libre : forme 1183955977"/>
                          <wps:cNvSpPr/>
                          <wps:spPr>
                            <a:xfrm>
                              <a:off x="8322" y="5862"/>
                              <a:ext cx="492" cy="492"/>
                            </a:xfrm>
                            <a:custGeom>
                              <a:avLst/>
                              <a:gdLst/>
                              <a:ahLst/>
                              <a:cxnLst/>
                              <a:rect l="l" t="t" r="r" b="b"/>
                              <a:pathLst>
                                <a:path w="883" h="778" extrusionOk="0">
                                  <a:moveTo>
                                    <a:pt x="374" y="13"/>
                                  </a:moveTo>
                                  <a:cubicBezTo>
                                    <a:pt x="291" y="34"/>
                                    <a:pt x="220" y="71"/>
                                    <a:pt x="149" y="118"/>
                                  </a:cubicBezTo>
                                  <a:cubicBezTo>
                                    <a:pt x="113" y="173"/>
                                    <a:pt x="65" y="213"/>
                                    <a:pt x="29" y="268"/>
                                  </a:cubicBezTo>
                                  <a:cubicBezTo>
                                    <a:pt x="20" y="360"/>
                                    <a:pt x="0" y="422"/>
                                    <a:pt x="29" y="508"/>
                                  </a:cubicBezTo>
                                  <a:cubicBezTo>
                                    <a:pt x="49" y="569"/>
                                    <a:pt x="70" y="548"/>
                                    <a:pt x="119" y="583"/>
                                  </a:cubicBezTo>
                                  <a:cubicBezTo>
                                    <a:pt x="136" y="595"/>
                                    <a:pt x="147" y="615"/>
                                    <a:pt x="164" y="628"/>
                                  </a:cubicBezTo>
                                  <a:cubicBezTo>
                                    <a:pt x="232" y="681"/>
                                    <a:pt x="297" y="716"/>
                                    <a:pt x="359" y="778"/>
                                  </a:cubicBezTo>
                                  <a:cubicBezTo>
                                    <a:pt x="373" y="768"/>
                                    <a:pt x="442" y="714"/>
                                    <a:pt x="464" y="703"/>
                                  </a:cubicBezTo>
                                  <a:cubicBezTo>
                                    <a:pt x="549" y="661"/>
                                    <a:pt x="639" y="666"/>
                                    <a:pt x="719" y="613"/>
                                  </a:cubicBezTo>
                                  <a:cubicBezTo>
                                    <a:pt x="779" y="523"/>
                                    <a:pt x="760" y="466"/>
                                    <a:pt x="854" y="403"/>
                                  </a:cubicBezTo>
                                  <a:cubicBezTo>
                                    <a:pt x="883" y="316"/>
                                    <a:pt x="855" y="304"/>
                                    <a:pt x="794" y="253"/>
                                  </a:cubicBezTo>
                                  <a:cubicBezTo>
                                    <a:pt x="703" y="177"/>
                                    <a:pt x="800" y="234"/>
                                    <a:pt x="689" y="178"/>
                                  </a:cubicBezTo>
                                  <a:cubicBezTo>
                                    <a:pt x="662" y="137"/>
                                    <a:pt x="661" y="124"/>
                                    <a:pt x="614" y="103"/>
                                  </a:cubicBezTo>
                                  <a:cubicBezTo>
                                    <a:pt x="585" y="90"/>
                                    <a:pt x="524" y="73"/>
                                    <a:pt x="524" y="73"/>
                                  </a:cubicBezTo>
                                  <a:cubicBezTo>
                                    <a:pt x="475" y="0"/>
                                    <a:pt x="463" y="13"/>
                                    <a:pt x="374" y="13"/>
                                  </a:cubicBezTo>
                                  <a:close/>
                                </a:path>
                              </a:pathLst>
                            </a:custGeom>
                            <a:solidFill>
                              <a:srgbClr val="969696"/>
                            </a:solidFill>
                            <a:ln>
                              <a:noFill/>
                            </a:ln>
                          </wps:spPr>
                          <wps:txbx>
                            <w:txbxContent>
                              <w:p w14:paraId="041F1BCC"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351235268" name="Forme libre : forme 351235268"/>
                          <wps:cNvSpPr/>
                          <wps:spPr>
                            <a:xfrm rot="-5400000">
                              <a:off x="8688" y="5676"/>
                              <a:ext cx="180" cy="192"/>
                            </a:xfrm>
                            <a:custGeom>
                              <a:avLst/>
                              <a:gdLst/>
                              <a:ahLst/>
                              <a:cxnLst/>
                              <a:rect l="l" t="t" r="r" b="b"/>
                              <a:pathLst>
                                <a:path w="883" h="778" extrusionOk="0">
                                  <a:moveTo>
                                    <a:pt x="374" y="13"/>
                                  </a:moveTo>
                                  <a:cubicBezTo>
                                    <a:pt x="291" y="34"/>
                                    <a:pt x="220" y="71"/>
                                    <a:pt x="149" y="118"/>
                                  </a:cubicBezTo>
                                  <a:cubicBezTo>
                                    <a:pt x="113" y="173"/>
                                    <a:pt x="65" y="213"/>
                                    <a:pt x="29" y="268"/>
                                  </a:cubicBezTo>
                                  <a:cubicBezTo>
                                    <a:pt x="20" y="360"/>
                                    <a:pt x="0" y="422"/>
                                    <a:pt x="29" y="508"/>
                                  </a:cubicBezTo>
                                  <a:cubicBezTo>
                                    <a:pt x="49" y="569"/>
                                    <a:pt x="70" y="548"/>
                                    <a:pt x="119" y="583"/>
                                  </a:cubicBezTo>
                                  <a:cubicBezTo>
                                    <a:pt x="136" y="595"/>
                                    <a:pt x="147" y="615"/>
                                    <a:pt x="164" y="628"/>
                                  </a:cubicBezTo>
                                  <a:cubicBezTo>
                                    <a:pt x="232" y="681"/>
                                    <a:pt x="297" y="716"/>
                                    <a:pt x="359" y="778"/>
                                  </a:cubicBezTo>
                                  <a:cubicBezTo>
                                    <a:pt x="373" y="768"/>
                                    <a:pt x="442" y="714"/>
                                    <a:pt x="464" y="703"/>
                                  </a:cubicBezTo>
                                  <a:cubicBezTo>
                                    <a:pt x="549" y="661"/>
                                    <a:pt x="639" y="666"/>
                                    <a:pt x="719" y="613"/>
                                  </a:cubicBezTo>
                                  <a:cubicBezTo>
                                    <a:pt x="779" y="523"/>
                                    <a:pt x="760" y="466"/>
                                    <a:pt x="854" y="403"/>
                                  </a:cubicBezTo>
                                  <a:cubicBezTo>
                                    <a:pt x="883" y="316"/>
                                    <a:pt x="855" y="304"/>
                                    <a:pt x="794" y="253"/>
                                  </a:cubicBezTo>
                                  <a:cubicBezTo>
                                    <a:pt x="703" y="177"/>
                                    <a:pt x="800" y="234"/>
                                    <a:pt x="689" y="178"/>
                                  </a:cubicBezTo>
                                  <a:cubicBezTo>
                                    <a:pt x="662" y="137"/>
                                    <a:pt x="661" y="124"/>
                                    <a:pt x="614" y="103"/>
                                  </a:cubicBezTo>
                                  <a:cubicBezTo>
                                    <a:pt x="585" y="90"/>
                                    <a:pt x="524" y="73"/>
                                    <a:pt x="524" y="73"/>
                                  </a:cubicBezTo>
                                  <a:cubicBezTo>
                                    <a:pt x="475" y="0"/>
                                    <a:pt x="463" y="13"/>
                                    <a:pt x="374" y="13"/>
                                  </a:cubicBezTo>
                                  <a:close/>
                                </a:path>
                              </a:pathLst>
                            </a:custGeom>
                            <a:solidFill>
                              <a:srgbClr val="969696"/>
                            </a:solidFill>
                            <a:ln>
                              <a:noFill/>
                            </a:ln>
                          </wps:spPr>
                          <wps:txbx>
                            <w:txbxContent>
                              <w:p w14:paraId="387A1C70"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421207949" name="Forme libre : forme 421207949"/>
                          <wps:cNvSpPr/>
                          <wps:spPr>
                            <a:xfrm rot="5400000">
                              <a:off x="8862" y="5682"/>
                              <a:ext cx="372" cy="372"/>
                            </a:xfrm>
                            <a:custGeom>
                              <a:avLst/>
                              <a:gdLst/>
                              <a:ahLst/>
                              <a:cxnLst/>
                              <a:rect l="l" t="t" r="r" b="b"/>
                              <a:pathLst>
                                <a:path w="883" h="778" extrusionOk="0">
                                  <a:moveTo>
                                    <a:pt x="374" y="13"/>
                                  </a:moveTo>
                                  <a:cubicBezTo>
                                    <a:pt x="291" y="34"/>
                                    <a:pt x="220" y="71"/>
                                    <a:pt x="149" y="118"/>
                                  </a:cubicBezTo>
                                  <a:cubicBezTo>
                                    <a:pt x="113" y="173"/>
                                    <a:pt x="65" y="213"/>
                                    <a:pt x="29" y="268"/>
                                  </a:cubicBezTo>
                                  <a:cubicBezTo>
                                    <a:pt x="20" y="360"/>
                                    <a:pt x="0" y="422"/>
                                    <a:pt x="29" y="508"/>
                                  </a:cubicBezTo>
                                  <a:cubicBezTo>
                                    <a:pt x="49" y="569"/>
                                    <a:pt x="70" y="548"/>
                                    <a:pt x="119" y="583"/>
                                  </a:cubicBezTo>
                                  <a:cubicBezTo>
                                    <a:pt x="136" y="595"/>
                                    <a:pt x="147" y="615"/>
                                    <a:pt x="164" y="628"/>
                                  </a:cubicBezTo>
                                  <a:cubicBezTo>
                                    <a:pt x="232" y="681"/>
                                    <a:pt x="297" y="716"/>
                                    <a:pt x="359" y="778"/>
                                  </a:cubicBezTo>
                                  <a:cubicBezTo>
                                    <a:pt x="373" y="768"/>
                                    <a:pt x="442" y="714"/>
                                    <a:pt x="464" y="703"/>
                                  </a:cubicBezTo>
                                  <a:cubicBezTo>
                                    <a:pt x="549" y="661"/>
                                    <a:pt x="639" y="666"/>
                                    <a:pt x="719" y="613"/>
                                  </a:cubicBezTo>
                                  <a:cubicBezTo>
                                    <a:pt x="779" y="523"/>
                                    <a:pt x="760" y="466"/>
                                    <a:pt x="854" y="403"/>
                                  </a:cubicBezTo>
                                  <a:cubicBezTo>
                                    <a:pt x="883" y="316"/>
                                    <a:pt x="855" y="304"/>
                                    <a:pt x="794" y="253"/>
                                  </a:cubicBezTo>
                                  <a:cubicBezTo>
                                    <a:pt x="703" y="177"/>
                                    <a:pt x="800" y="234"/>
                                    <a:pt x="689" y="178"/>
                                  </a:cubicBezTo>
                                  <a:cubicBezTo>
                                    <a:pt x="662" y="137"/>
                                    <a:pt x="661" y="124"/>
                                    <a:pt x="614" y="103"/>
                                  </a:cubicBezTo>
                                  <a:cubicBezTo>
                                    <a:pt x="585" y="90"/>
                                    <a:pt x="524" y="73"/>
                                    <a:pt x="524" y="73"/>
                                  </a:cubicBezTo>
                                  <a:cubicBezTo>
                                    <a:pt x="475" y="0"/>
                                    <a:pt x="463" y="13"/>
                                    <a:pt x="374" y="13"/>
                                  </a:cubicBezTo>
                                  <a:close/>
                                </a:path>
                              </a:pathLst>
                            </a:custGeom>
                            <a:solidFill>
                              <a:srgbClr val="969696"/>
                            </a:solidFill>
                            <a:ln>
                              <a:noFill/>
                            </a:ln>
                          </wps:spPr>
                          <wps:txbx>
                            <w:txbxContent>
                              <w:p w14:paraId="3FA1B61D"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0428480A" id="Groupe 2" o:spid="_x0000_s1026" style="position:absolute;left:0;text-align:left;margin-left:222.9pt;margin-top:6.95pt;width:27.6pt;height:27.35pt;z-index:251778048" coordorigin="51707,36063" coordsize="3483,347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">
                <v:group id="Groupe 615611157" o:spid="_x0000_s1027" style="position:absolute;left:51707;top:36063;width:3505;height:3473" coordorigin="8322,5682" coordsize="912,6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">
                  <v:rect id="Rectangle 1063802354" o:spid="_x0000_s1028" style="position:absolute;left:8322;top:5682;width:900;height:6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" filled="f" stroked="f">
                    <v:textbox inset="2.53958mm,2.53958mm,2.53958mm,2.53958mm">
                      <w:txbxContent>
                        <w:p w14:paraId="0121AE0F" w14:textId="77777777" w:rsidR="003208BA" w:rsidRDefault="003208BA" w:rsidP="003208BA">
                          <w:pPr>
                            <w:spacing w:line="240" w:lineRule="auto"/>
                            <w:jc w:val="left"/>
                            <w:textDirection w:val="btLr"/>
                          </w:pPr>
                        </w:p>
                      </w:txbxContent>
                    </v:textbox>
                  </v:rect>
                  <v:shape id="Forme libre : forme 1183955977" o:spid="_x0000_s1029" style="position:absolute;left:8322;top:5862;width:492;height:492;visibility:visible;mso-wrap-style:square;v-text-anchor:middle" coordsize="883,77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" adj="-11796480,,5400" path="m374,13c291,34,220,71,149,118,113,173,65,213,29,268,20,360,,422,29,508v20,61,41,40,90,75c136,595,147,615,164,628v68,53,133,88,195,150c373,768,442,714,464,703v85,-42,175,-37,255,-90c779,523,760,466,854,403v29,-87,1,-99,-60,-150c703,177,800,234,689,178,662,137,661,124,614,103,585,90,524,73,524,73,475,,463,13,374,13xe" fillcolor="#969696" stroked="f">
                    <v:stroke joinstyle="miter"/>
                    <v:formulas/>
                    <v:path arrowok="t" o:extrusionok="f" o:connecttype="custom" textboxrect="0,0,883,778"/>
                    <v:textbox inset="2.53958mm,2.53958mm,2.53958mm,2.53958mm">
                      <w:txbxContent>
                        <w:p w14:paraId="041F1BCC" w14:textId="77777777" w:rsidR="003208BA" w:rsidRDefault="003208BA" w:rsidP="003208BA">
                          <w:pPr>
                            <w:spacing w:line="240" w:lineRule="auto"/>
                            <w:jc w:val="left"/>
                            <w:textDirection w:val="btLr"/>
                          </w:pPr>
                        </w:p>
                      </w:txbxContent>
                    </v:textbox>
                  </v:shape>
                  <v:shape id="Forme libre : forme 351235268" o:spid="_x0000_s1030" style="position:absolute;left:8688;top:5676;width:180;height:192;rotation:-90;visibility:visible;mso-wrap-style:square;v-text-anchor:middle" coordsize="883,77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" adj="-11796480,,5400" path="m374,13c291,34,220,71,149,118,113,173,65,213,29,268,20,360,,422,29,508v20,61,41,40,90,75c136,595,147,615,164,628v68,53,133,88,195,150c373,768,442,714,464,703v85,-42,175,-37,255,-90c779,523,760,466,854,403v29,-87,1,-99,-60,-150c703,177,800,234,689,178,662,137,661,124,614,103,585,90,524,73,524,73,475,,463,13,374,13xe" fillcolor="#969696" stroked="f">
                    <v:stroke joinstyle="miter"/>
                    <v:formulas/>
                    <v:path arrowok="t" o:extrusionok="f" o:connecttype="custom" textboxrect="0,0,883,778"/>
                    <v:textbox inset="2.53958mm,2.53958mm,2.53958mm,2.53958mm">
                      <w:txbxContent>
                        <w:p w14:paraId="387A1C70" w14:textId="77777777" w:rsidR="003208BA" w:rsidRDefault="003208BA" w:rsidP="003208BA">
                          <w:pPr>
                            <w:spacing w:line="240" w:lineRule="auto"/>
                            <w:jc w:val="left"/>
                            <w:textDirection w:val="btLr"/>
                          </w:pPr>
                        </w:p>
                      </w:txbxContent>
                    </v:textbox>
                  </v:shape>
                  <v:shape id="Forme libre : forme 421207949" o:spid="_x0000_s1031" style="position:absolute;left:8862;top:5682;width:372;height:372;rotation:90;visibility:visible;mso-wrap-style:square;v-text-anchor:middle" coordsize="883,77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" adj="-11796480,,5400" path="m374,13c291,34,220,71,149,118,113,173,65,213,29,268,20,360,,422,29,508v20,61,41,40,90,75c136,595,147,615,164,628v68,53,133,88,195,150c373,768,442,714,464,703v85,-42,175,-37,255,-90c779,523,760,466,854,403v29,-87,1,-99,-60,-150c703,177,800,234,689,178,662,137,661,124,614,103,585,90,524,73,524,73,475,,463,13,374,13xe" fillcolor="#969696" stroked="f">
                    <v:stroke joinstyle="miter"/>
                    <v:formulas/>
                    <v:path arrowok="t" o:extrusionok="f" o:connecttype="custom" textboxrect="0,0,883,778"/>
                    <v:textbox inset="2.53958mm,2.53958mm,2.53958mm,2.53958mm">
                      <w:txbxContent>
                        <w:p w14:paraId="3FA1B61D" w14:textId="77777777" w:rsidR="003208BA" w:rsidRDefault="003208BA" w:rsidP="003208BA">
                          <w:pPr>
                            <w:spacing w:line="240" w:lineRule="auto"/>
                            <w:jc w:val="left"/>
                            <w:textDirection w:val="btLr"/>
                          </w:pPr>
                        </w:p>
                      </w:txbxContent>
                    </v:textbox>
                  </v:shape>
                </v:group>
              </v:group>
            </w:pict>
          </mc:Fallback>
        </mc:AlternateContent>
      </w:r>
    </w:p>
    <w:p w14:paraId="1B4D592A" w14:textId="6956445A" w:rsidR="003208BA" w:rsidRDefault="003208BA" w:rsidP="00742634">
      <w:pPr>
        <w:pStyle w:val="Paragraphedeliste"/>
        <w:numPr>
          <w:ilvl w:val="1"/>
          <w:numId w:val="2"/>
        </w:numPr>
        <w:ind w:left="426" w:hanging="284"/>
      </w:pPr>
      <w:r>
        <w:t>Nodules isolés ou multiples +/- confluents</w:t>
      </w:r>
    </w:p>
    <w:p w14:paraId="01625A55" w14:textId="6E58F1AD" w:rsidR="003208BA" w:rsidRDefault="00742634" w:rsidP="00742634">
      <w:pPr>
        <w:rPr>
          <w:b/>
          <w:bCs/>
        </w:rPr>
      </w:pPr>
      <w:r>
        <w:rPr>
          <w:noProof/>
        </w:rPr>
        <mc:AlternateContent>
          <mc:Choice Requires="wps">
            <w:drawing>
              <wp:anchor distT="0" distB="0" distL="114300" distR="114300" simplePos="0" relativeHeight="251779072" behindDoc="0" locked="0" layoutInCell="1" hidden="0" allowOverlap="1" wp14:anchorId="45689DC3" wp14:editId="1A461D03">
                <wp:simplePos x="0" y="0"/>
                <wp:positionH relativeFrom="column">
                  <wp:posOffset>924560</wp:posOffset>
                </wp:positionH>
                <wp:positionV relativeFrom="paragraph">
                  <wp:posOffset>107619</wp:posOffset>
                </wp:positionV>
                <wp:extent cx="680720" cy="579120"/>
                <wp:effectExtent l="0" t="0" r="5080" b="0"/>
                <wp:wrapNone/>
                <wp:docPr id="4" name="Forme libre : forme 4"/>
                <wp:cNvGraphicFramePr/>
                <a:graphic xmlns:a="http://schemas.openxmlformats.org/drawingml/2006/main">
                  <a:graphicData uri="http://schemas.microsoft.com/office/word/2010/wordprocessingShape">
                    <wps:wsp>
                      <wps:cNvSpPr/>
                      <wps:spPr>
                        <a:xfrm flipH="1">
                          <a:off x="0" y="0"/>
                          <a:ext cx="680720" cy="579120"/>
                        </a:xfrm>
                        <a:custGeom>
                          <a:avLst/>
                          <a:gdLst/>
                          <a:ahLst/>
                          <a:cxnLst/>
                          <a:rect l="l" t="t" r="r" b="b"/>
                          <a:pathLst>
                            <a:path w="765" h="485" extrusionOk="0">
                              <a:moveTo>
                                <a:pt x="180" y="20"/>
                              </a:moveTo>
                              <a:cubicBezTo>
                                <a:pt x="155" y="28"/>
                                <a:pt x="105" y="41"/>
                                <a:pt x="90" y="65"/>
                              </a:cubicBezTo>
                              <a:cubicBezTo>
                                <a:pt x="73" y="92"/>
                                <a:pt x="60" y="155"/>
                                <a:pt x="60" y="155"/>
                              </a:cubicBezTo>
                              <a:cubicBezTo>
                                <a:pt x="65" y="170"/>
                                <a:pt x="80" y="185"/>
                                <a:pt x="75" y="200"/>
                              </a:cubicBezTo>
                              <a:cubicBezTo>
                                <a:pt x="68" y="220"/>
                                <a:pt x="44" y="229"/>
                                <a:pt x="30" y="245"/>
                              </a:cubicBezTo>
                              <a:cubicBezTo>
                                <a:pt x="18" y="259"/>
                                <a:pt x="10" y="275"/>
                                <a:pt x="0" y="290"/>
                              </a:cubicBezTo>
                              <a:cubicBezTo>
                                <a:pt x="45" y="320"/>
                                <a:pt x="90" y="335"/>
                                <a:pt x="135" y="365"/>
                              </a:cubicBezTo>
                              <a:cubicBezTo>
                                <a:pt x="171" y="473"/>
                                <a:pt x="136" y="466"/>
                                <a:pt x="240" y="440"/>
                              </a:cubicBezTo>
                              <a:cubicBezTo>
                                <a:pt x="255" y="436"/>
                                <a:pt x="270" y="430"/>
                                <a:pt x="285" y="425"/>
                              </a:cubicBezTo>
                              <a:cubicBezTo>
                                <a:pt x="305" y="430"/>
                                <a:pt x="326" y="432"/>
                                <a:pt x="345" y="440"/>
                              </a:cubicBezTo>
                              <a:cubicBezTo>
                                <a:pt x="362" y="447"/>
                                <a:pt x="373" y="464"/>
                                <a:pt x="390" y="470"/>
                              </a:cubicBezTo>
                              <a:cubicBezTo>
                                <a:pt x="419" y="480"/>
                                <a:pt x="450" y="480"/>
                                <a:pt x="480" y="485"/>
                              </a:cubicBezTo>
                              <a:cubicBezTo>
                                <a:pt x="505" y="480"/>
                                <a:pt x="534" y="484"/>
                                <a:pt x="555" y="470"/>
                              </a:cubicBezTo>
                              <a:cubicBezTo>
                                <a:pt x="568" y="461"/>
                                <a:pt x="556" y="432"/>
                                <a:pt x="570" y="425"/>
                              </a:cubicBezTo>
                              <a:cubicBezTo>
                                <a:pt x="629" y="396"/>
                                <a:pt x="700" y="406"/>
                                <a:pt x="765" y="395"/>
                              </a:cubicBezTo>
                              <a:cubicBezTo>
                                <a:pt x="737" y="310"/>
                                <a:pt x="709" y="315"/>
                                <a:pt x="630" y="335"/>
                              </a:cubicBezTo>
                              <a:cubicBezTo>
                                <a:pt x="565" y="330"/>
                                <a:pt x="497" y="341"/>
                                <a:pt x="435" y="320"/>
                              </a:cubicBezTo>
                              <a:cubicBezTo>
                                <a:pt x="420" y="315"/>
                                <a:pt x="457" y="289"/>
                                <a:pt x="450" y="275"/>
                              </a:cubicBezTo>
                              <a:cubicBezTo>
                                <a:pt x="443" y="261"/>
                                <a:pt x="420" y="265"/>
                                <a:pt x="405" y="260"/>
                              </a:cubicBezTo>
                              <a:cubicBezTo>
                                <a:pt x="420" y="245"/>
                                <a:pt x="429" y="220"/>
                                <a:pt x="450" y="215"/>
                              </a:cubicBezTo>
                              <a:cubicBezTo>
                                <a:pt x="469" y="211"/>
                                <a:pt x="572" y="238"/>
                                <a:pt x="600" y="245"/>
                              </a:cubicBezTo>
                              <a:cubicBezTo>
                                <a:pt x="630" y="240"/>
                                <a:pt x="673" y="255"/>
                                <a:pt x="690" y="230"/>
                              </a:cubicBezTo>
                              <a:cubicBezTo>
                                <a:pt x="752" y="136"/>
                                <a:pt x="514" y="126"/>
                                <a:pt x="510" y="125"/>
                              </a:cubicBezTo>
                              <a:cubicBezTo>
                                <a:pt x="540" y="115"/>
                                <a:pt x="570" y="105"/>
                                <a:pt x="600" y="95"/>
                              </a:cubicBezTo>
                              <a:cubicBezTo>
                                <a:pt x="615" y="90"/>
                                <a:pt x="630" y="54"/>
                                <a:pt x="615" y="50"/>
                              </a:cubicBezTo>
                              <a:cubicBezTo>
                                <a:pt x="583" y="42"/>
                                <a:pt x="452" y="71"/>
                                <a:pt x="405" y="80"/>
                              </a:cubicBezTo>
                              <a:cubicBezTo>
                                <a:pt x="361" y="124"/>
                                <a:pt x="329" y="171"/>
                                <a:pt x="285" y="215"/>
                              </a:cubicBezTo>
                              <a:cubicBezTo>
                                <a:pt x="290" y="235"/>
                                <a:pt x="318" y="264"/>
                                <a:pt x="300" y="275"/>
                              </a:cubicBezTo>
                              <a:cubicBezTo>
                                <a:pt x="242" y="310"/>
                                <a:pt x="194" y="244"/>
                                <a:pt x="165" y="215"/>
                              </a:cubicBezTo>
                              <a:cubicBezTo>
                                <a:pt x="213" y="183"/>
                                <a:pt x="270" y="147"/>
                                <a:pt x="225" y="80"/>
                              </a:cubicBezTo>
                              <a:cubicBezTo>
                                <a:pt x="172" y="0"/>
                                <a:pt x="180" y="93"/>
                                <a:pt x="180" y="20"/>
                              </a:cubicBezTo>
                              <a:close/>
                            </a:path>
                          </a:pathLst>
                        </a:custGeom>
                        <a:blipFill rotWithShape="0">
                          <a:blip r:embed="rId15">
                            <a:alphaModFix/>
                          </a:blip>
                          <a:tile tx="-5" ty="0" sx="100000" sy="100000" flip="none" algn="tl"/>
                        </a:blipFill>
                        <a:ln>
                          <a:noFill/>
                        </a:ln>
                      </wps:spPr>
                      <wps:txbx>
                        <w:txbxContent>
                          <w:p w14:paraId="39D456D2"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 w14:anchorId="45689DC3" id="Forme libre : forme 4" o:spid="_x0000_s1032" style="position:absolute;left:0;text-align:left;margin-left:72.8pt;margin-top:8.45pt;width:53.6pt;height:45.6pt;flip:x;z-index:251779072;visibility:visible;mso-wrap-style:square;mso-wrap-distance-left:9pt;mso-wrap-distance-top:0;mso-wrap-distance-right:9pt;mso-wrap-distance-bottom:0;mso-position-horizontal:absolute;mso-position-horizontal-relative:text;mso-position-vertical:absolute;mso-position-vertical-relative:text;v-text-anchor:middle" coordsize="765,485" o:spt="10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" adj="-11796480,,5400" path="m180,20c155,28,105,41,90,65,73,92,60,155,60,155v5,15,20,30,15,45c68,220,44,229,30,245,18,259,10,275,,290v45,30,90,45,135,75c171,473,136,466,240,440v15,-4,30,-10,45,-15c305,430,326,432,345,440v17,7,28,24,45,30c419,480,450,480,480,485v25,-5,54,-1,75,-15c568,461,556,432,570,425v59,-29,130,-19,195,-30c737,310,709,315,630,335v-65,-5,-133,6,-195,-15c420,315,457,289,450,275v-7,-14,-30,-10,-45,-15c420,245,429,220,450,215v19,-4,122,23,150,30c630,240,673,255,690,230,752,136,514,126,510,125v30,-10,60,-20,90,-30c615,90,630,54,615,50,583,42,452,71,405,80v-44,44,-76,91,-120,135c290,235,318,264,300,275,242,310,194,244,165,215,213,183,270,147,225,80,172,,180,93,180,20xe" stroked="f">
                <v:fill r:id="rId16" o:title="" recolor="t" type="tile"/>
                <v:stroke joinstyle="miter"/>
                <v:formulas/>
                <v:path arrowok="t" o:extrusionok="f" o:connecttype="custom" textboxrect="0,0,765,485"/>
                <v:textbox inset="2.53958mm,2.53958mm,2.53958mm,2.53958mm">
                  <w:txbxContent>
                    <w:p w14:paraId="39D456D2" w14:textId="77777777" w:rsidR="003208BA" w:rsidRDefault="003208BA" w:rsidP="003208BA">
                      <w:pPr>
                        <w:spacing w:line="240" w:lineRule="auto"/>
                        <w:jc w:val="left"/>
                        <w:textDirection w:val="btLr"/>
                      </w:pPr>
                    </w:p>
                  </w:txbxContent>
                </v:textbox>
              </v:shape>
            </w:pict>
          </mc:Fallback>
        </mc:AlternateContent>
      </w:r>
    </w:p>
    <w:p w14:paraId="35301997" w14:textId="72A2E5DB" w:rsidR="003208BA" w:rsidRDefault="003208BA" w:rsidP="00742634">
      <w:pPr>
        <w:rPr>
          <w:b/>
          <w:bCs/>
        </w:rPr>
      </w:pPr>
    </w:p>
    <w:p w14:paraId="43ECD5D5" w14:textId="77777777" w:rsidR="00742634" w:rsidRDefault="003208BA" w:rsidP="00742634">
      <w:pPr>
        <w:pStyle w:val="1titre"/>
        <w:ind w:left="426" w:hanging="284"/>
        <w:rPr>
          <w:b w:val="0"/>
          <w:bCs w:val="0"/>
        </w:rPr>
      </w:pPr>
      <w:r w:rsidRPr="00742634">
        <w:rPr>
          <w:b w:val="0"/>
          <w:bCs w:val="0"/>
        </w:rPr>
        <w:t xml:space="preserve">Infiltrats </w:t>
      </w:r>
    </w:p>
    <w:p w14:paraId="376F33AA" w14:textId="77777777" w:rsidR="00742634" w:rsidRDefault="00742634" w:rsidP="00742634">
      <w:pPr>
        <w:pStyle w:val="1titre"/>
        <w:numPr>
          <w:ilvl w:val="0"/>
          <w:numId w:val="0"/>
        </w:numPr>
        <w:ind w:left="426"/>
        <w:rPr>
          <w:b w:val="0"/>
          <w:bCs w:val="0"/>
        </w:rPr>
      </w:pPr>
    </w:p>
    <w:p w14:paraId="5446B207" w14:textId="507C879A" w:rsidR="00742634" w:rsidRDefault="00742634" w:rsidP="00742634">
      <w:pPr>
        <w:pStyle w:val="1titre"/>
        <w:numPr>
          <w:ilvl w:val="0"/>
          <w:numId w:val="0"/>
        </w:numPr>
        <w:ind w:left="426"/>
        <w:rPr>
          <w:b w:val="0"/>
          <w:bCs w:val="0"/>
        </w:rPr>
      </w:pPr>
    </w:p>
    <w:p w14:paraId="2DDB2760" w14:textId="4EE4B729" w:rsidR="00742634" w:rsidRDefault="00742634" w:rsidP="00742634">
      <w:pPr>
        <w:pStyle w:val="1titre"/>
        <w:numPr>
          <w:ilvl w:val="0"/>
          <w:numId w:val="0"/>
        </w:numPr>
        <w:ind w:left="426"/>
        <w:rPr>
          <w:b w:val="0"/>
          <w:bCs w:val="0"/>
        </w:rPr>
      </w:pPr>
      <w:r w:rsidRPr="00742634">
        <w:rPr>
          <w:b w:val="0"/>
          <w:bCs w:val="0"/>
          <w:noProof/>
        </w:rPr>
        <mc:AlternateContent>
          <mc:Choice Requires="wpg">
            <w:drawing>
              <wp:anchor distT="0" distB="0" distL="114300" distR="114300" simplePos="0" relativeHeight="251780096" behindDoc="0" locked="0" layoutInCell="1" hidden="0" allowOverlap="1" wp14:anchorId="18E7F433" wp14:editId="1CC92920">
                <wp:simplePos x="0" y="0"/>
                <wp:positionH relativeFrom="column">
                  <wp:posOffset>4121896</wp:posOffset>
                </wp:positionH>
                <wp:positionV relativeFrom="paragraph">
                  <wp:posOffset>17835</wp:posOffset>
                </wp:positionV>
                <wp:extent cx="922351" cy="567601"/>
                <wp:effectExtent l="0" t="0" r="0" b="0"/>
                <wp:wrapNone/>
                <wp:docPr id="1" name="Groupe 1"/>
                <wp:cNvGraphicFramePr/>
                <a:graphic xmlns:a="http://schemas.openxmlformats.org/drawingml/2006/main">
                  <a:graphicData uri="http://schemas.microsoft.com/office/word/2010/wordprocessingGroup">
                    <wpg:wgp>
                      <wpg:cNvGrpSpPr/>
                      <wpg:grpSpPr>
                        <a:xfrm>
                          <a:off x="0" y="0"/>
                          <a:ext cx="922351" cy="567601"/>
                          <a:chOff x="4884825" y="3496200"/>
                          <a:chExt cx="904725" cy="567625"/>
                        </a:xfrm>
                      </wpg:grpSpPr>
                      <wpg:grpSp>
                        <wpg:cNvPr id="643395169" name="Groupe 643395169"/>
                        <wpg:cNvGrpSpPr/>
                        <wpg:grpSpPr>
                          <a:xfrm>
                            <a:off x="4884825" y="3496200"/>
                            <a:ext cx="922351" cy="567601"/>
                            <a:chOff x="3124" y="2982"/>
                            <a:chExt cx="994" cy="852"/>
                          </a:xfrm>
                        </wpg:grpSpPr>
                        <wps:wsp>
                          <wps:cNvPr id="1312690312" name="Rectangle 1312690312"/>
                          <wps:cNvSpPr/>
                          <wps:spPr>
                            <a:xfrm>
                              <a:off x="3124" y="2982"/>
                              <a:ext cx="975" cy="850"/>
                            </a:xfrm>
                            <a:prstGeom prst="rect">
                              <a:avLst/>
                            </a:prstGeom>
                            <a:noFill/>
                            <a:ln>
                              <a:noFill/>
                            </a:ln>
                          </wps:spPr>
                          <wps:txbx>
                            <w:txbxContent>
                              <w:p w14:paraId="2213796D"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1875305216" name="Forme libre : forme 1875305216"/>
                          <wps:cNvSpPr/>
                          <wps:spPr>
                            <a:xfrm>
                              <a:off x="3124" y="2982"/>
                              <a:ext cx="994" cy="852"/>
                            </a:xfrm>
                            <a:custGeom>
                              <a:avLst/>
                              <a:gdLst/>
                              <a:ahLst/>
                              <a:cxnLst/>
                              <a:rect l="l" t="t" r="r" b="b"/>
                              <a:pathLst>
                                <a:path w="883" h="778" extrusionOk="0">
                                  <a:moveTo>
                                    <a:pt x="374" y="13"/>
                                  </a:moveTo>
                                  <a:cubicBezTo>
                                    <a:pt x="291" y="34"/>
                                    <a:pt x="220" y="71"/>
                                    <a:pt x="149" y="118"/>
                                  </a:cubicBezTo>
                                  <a:cubicBezTo>
                                    <a:pt x="113" y="173"/>
                                    <a:pt x="65" y="213"/>
                                    <a:pt x="29" y="268"/>
                                  </a:cubicBezTo>
                                  <a:cubicBezTo>
                                    <a:pt x="20" y="360"/>
                                    <a:pt x="0" y="422"/>
                                    <a:pt x="29" y="508"/>
                                  </a:cubicBezTo>
                                  <a:cubicBezTo>
                                    <a:pt x="49" y="569"/>
                                    <a:pt x="70" y="548"/>
                                    <a:pt x="119" y="583"/>
                                  </a:cubicBezTo>
                                  <a:cubicBezTo>
                                    <a:pt x="136" y="595"/>
                                    <a:pt x="147" y="615"/>
                                    <a:pt x="164" y="628"/>
                                  </a:cubicBezTo>
                                  <a:cubicBezTo>
                                    <a:pt x="232" y="681"/>
                                    <a:pt x="297" y="716"/>
                                    <a:pt x="359" y="778"/>
                                  </a:cubicBezTo>
                                  <a:cubicBezTo>
                                    <a:pt x="373" y="768"/>
                                    <a:pt x="442" y="714"/>
                                    <a:pt x="464" y="703"/>
                                  </a:cubicBezTo>
                                  <a:cubicBezTo>
                                    <a:pt x="549" y="661"/>
                                    <a:pt x="639" y="666"/>
                                    <a:pt x="719" y="613"/>
                                  </a:cubicBezTo>
                                  <a:cubicBezTo>
                                    <a:pt x="779" y="523"/>
                                    <a:pt x="760" y="466"/>
                                    <a:pt x="854" y="403"/>
                                  </a:cubicBezTo>
                                  <a:cubicBezTo>
                                    <a:pt x="883" y="316"/>
                                    <a:pt x="855" y="304"/>
                                    <a:pt x="794" y="253"/>
                                  </a:cubicBezTo>
                                  <a:cubicBezTo>
                                    <a:pt x="703" y="177"/>
                                    <a:pt x="800" y="234"/>
                                    <a:pt x="689" y="178"/>
                                  </a:cubicBezTo>
                                  <a:cubicBezTo>
                                    <a:pt x="662" y="137"/>
                                    <a:pt x="661" y="124"/>
                                    <a:pt x="614" y="103"/>
                                  </a:cubicBezTo>
                                  <a:cubicBezTo>
                                    <a:pt x="585" y="90"/>
                                    <a:pt x="524" y="73"/>
                                    <a:pt x="524" y="73"/>
                                  </a:cubicBezTo>
                                  <a:cubicBezTo>
                                    <a:pt x="475" y="0"/>
                                    <a:pt x="463" y="13"/>
                                    <a:pt x="374" y="13"/>
                                  </a:cubicBezTo>
                                  <a:close/>
                                </a:path>
                              </a:pathLst>
                            </a:custGeom>
                            <a:solidFill>
                              <a:srgbClr val="969696"/>
                            </a:solidFill>
                            <a:ln>
                              <a:noFill/>
                            </a:ln>
                          </wps:spPr>
                          <wps:txbx>
                            <w:txbxContent>
                              <w:p w14:paraId="60261AD8"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219944858" name="Forme libre : forme 219944858"/>
                          <wps:cNvSpPr/>
                          <wps:spPr>
                            <a:xfrm>
                              <a:off x="3300" y="3223"/>
                              <a:ext cx="533" cy="437"/>
                            </a:xfrm>
                            <a:custGeom>
                              <a:avLst/>
                              <a:gdLst/>
                              <a:ahLst/>
                              <a:cxnLst/>
                              <a:rect l="l" t="t" r="r" b="b"/>
                              <a:pathLst>
                                <a:path w="533" h="437" extrusionOk="0">
                                  <a:moveTo>
                                    <a:pt x="315" y="2"/>
                                  </a:moveTo>
                                  <a:cubicBezTo>
                                    <a:pt x="228" y="14"/>
                                    <a:pt x="189" y="16"/>
                                    <a:pt x="120" y="62"/>
                                  </a:cubicBezTo>
                                  <a:cubicBezTo>
                                    <a:pt x="71" y="135"/>
                                    <a:pt x="31" y="135"/>
                                    <a:pt x="0" y="227"/>
                                  </a:cubicBezTo>
                                  <a:cubicBezTo>
                                    <a:pt x="10" y="247"/>
                                    <a:pt x="14" y="271"/>
                                    <a:pt x="30" y="287"/>
                                  </a:cubicBezTo>
                                  <a:cubicBezTo>
                                    <a:pt x="41" y="298"/>
                                    <a:pt x="61" y="295"/>
                                    <a:pt x="75" y="302"/>
                                  </a:cubicBezTo>
                                  <a:cubicBezTo>
                                    <a:pt x="91" y="310"/>
                                    <a:pt x="104" y="325"/>
                                    <a:pt x="120" y="332"/>
                                  </a:cubicBezTo>
                                  <a:cubicBezTo>
                                    <a:pt x="149" y="345"/>
                                    <a:pt x="184" y="344"/>
                                    <a:pt x="210" y="362"/>
                                  </a:cubicBezTo>
                                  <a:cubicBezTo>
                                    <a:pt x="313" y="431"/>
                                    <a:pt x="266" y="411"/>
                                    <a:pt x="345" y="437"/>
                                  </a:cubicBezTo>
                                  <a:cubicBezTo>
                                    <a:pt x="365" y="432"/>
                                    <a:pt x="385" y="428"/>
                                    <a:pt x="405" y="422"/>
                                  </a:cubicBezTo>
                                  <a:cubicBezTo>
                                    <a:pt x="435" y="413"/>
                                    <a:pt x="495" y="392"/>
                                    <a:pt x="495" y="392"/>
                                  </a:cubicBezTo>
                                  <a:cubicBezTo>
                                    <a:pt x="500" y="327"/>
                                    <a:pt x="502" y="262"/>
                                    <a:pt x="510" y="197"/>
                                  </a:cubicBezTo>
                                  <a:cubicBezTo>
                                    <a:pt x="512" y="181"/>
                                    <a:pt x="533" y="166"/>
                                    <a:pt x="525" y="152"/>
                                  </a:cubicBezTo>
                                  <a:cubicBezTo>
                                    <a:pt x="513" y="133"/>
                                    <a:pt x="484" y="133"/>
                                    <a:pt x="465" y="122"/>
                                  </a:cubicBezTo>
                                  <a:cubicBezTo>
                                    <a:pt x="449" y="113"/>
                                    <a:pt x="435" y="102"/>
                                    <a:pt x="420" y="92"/>
                                  </a:cubicBezTo>
                                  <a:cubicBezTo>
                                    <a:pt x="390" y="47"/>
                                    <a:pt x="395" y="42"/>
                                    <a:pt x="345" y="17"/>
                                  </a:cubicBezTo>
                                  <a:cubicBezTo>
                                    <a:pt x="312" y="0"/>
                                    <a:pt x="279" y="2"/>
                                    <a:pt x="315" y="2"/>
                                  </a:cubicBezTo>
                                  <a:close/>
                                </a:path>
                              </a:pathLst>
                            </a:custGeom>
                            <a:solidFill>
                              <a:srgbClr val="FFFFFF"/>
                            </a:solidFill>
                            <a:ln>
                              <a:noFill/>
                            </a:ln>
                          </wps:spPr>
                          <wps:txbx>
                            <w:txbxContent>
                              <w:p w14:paraId="30E0BEEA"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8E7F433" id="Groupe 1" o:spid="_x0000_s1033" style="position:absolute;left:0;text-align:left;margin-left:324.55pt;margin-top:1.4pt;width:72.65pt;height:44.7pt;z-index:251780096" coordorigin="48848,34962" coordsize="9047,56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">
                <v:group id="Groupe 643395169" o:spid="_x0000_s1034" style="position:absolute;left:48848;top:34962;width:9223;height:5676" coordorigin="3124,2982" coordsize="994,8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">
                  <v:rect id="Rectangle 1312690312" o:spid="_x0000_s1035" style="position:absolute;left:3124;top:2982;width:975;height:8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" filled="f" stroked="f">
                    <v:textbox inset="2.53958mm,2.53958mm,2.53958mm,2.53958mm">
                      <w:txbxContent>
                        <w:p w14:paraId="2213796D" w14:textId="77777777" w:rsidR="003208BA" w:rsidRDefault="003208BA" w:rsidP="003208BA">
                          <w:pPr>
                            <w:spacing w:line="240" w:lineRule="auto"/>
                            <w:jc w:val="left"/>
                            <w:textDirection w:val="btLr"/>
                          </w:pPr>
                        </w:p>
                      </w:txbxContent>
                    </v:textbox>
                  </v:rect>
                  <v:shape id="Forme libre : forme 1875305216" o:spid="_x0000_s1036" style="position:absolute;left:3124;top:2982;width:994;height:852;visibility:visible;mso-wrap-style:square;v-text-anchor:middle" coordsize="883,77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" adj="-11796480,,5400" path="m374,13c291,34,220,71,149,118,113,173,65,213,29,268,20,360,,422,29,508v20,61,41,40,90,75c136,595,147,615,164,628v68,53,133,88,195,150c373,768,442,714,464,703v85,-42,175,-37,255,-90c779,523,760,466,854,403v29,-87,1,-99,-60,-150c703,177,800,234,689,178,662,137,661,124,614,103,585,90,524,73,524,73,475,,463,13,374,13xe" fillcolor="#969696" stroked="f">
                    <v:stroke joinstyle="miter"/>
                    <v:formulas/>
                    <v:path arrowok="t" o:extrusionok="f" o:connecttype="custom" textboxrect="0,0,883,778"/>
                    <v:textbox inset="2.53958mm,2.53958mm,2.53958mm,2.53958mm">
                      <w:txbxContent>
                        <w:p w14:paraId="60261AD8" w14:textId="77777777" w:rsidR="003208BA" w:rsidRDefault="003208BA" w:rsidP="003208BA">
                          <w:pPr>
                            <w:spacing w:line="240" w:lineRule="auto"/>
                            <w:jc w:val="left"/>
                            <w:textDirection w:val="btLr"/>
                          </w:pPr>
                        </w:p>
                      </w:txbxContent>
                    </v:textbox>
                  </v:shape>
                  <v:shape id="Forme libre : forme 219944858" o:spid="_x0000_s1037" style="position:absolute;left:3300;top:3223;width:533;height:437;visibility:visible;mso-wrap-style:square;v-text-anchor:middle" coordsize="533,43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" adj="-11796480,,5400" path="m315,2c228,14,189,16,120,62,71,135,31,135,,227v10,20,14,44,30,60c41,298,61,295,75,302v16,8,29,23,45,30c149,345,184,344,210,362v103,69,56,49,135,75c365,432,385,428,405,422v30,-9,90,-30,90,-30c500,327,502,262,510,197v2,-16,23,-31,15,-45c513,133,484,133,465,122,449,113,435,102,420,92,390,47,395,42,345,17,312,,279,2,315,2xe" stroked="f">
                    <v:stroke joinstyle="miter"/>
                    <v:formulas/>
                    <v:path arrowok="t" o:extrusionok="f" o:connecttype="custom" textboxrect="0,0,533,437"/>
                    <v:textbox inset="2.53958mm,2.53958mm,2.53958mm,2.53958mm">
                      <w:txbxContent>
                        <w:p w14:paraId="30E0BEEA" w14:textId="77777777" w:rsidR="003208BA" w:rsidRDefault="003208BA" w:rsidP="003208BA">
                          <w:pPr>
                            <w:spacing w:line="240" w:lineRule="auto"/>
                            <w:jc w:val="left"/>
                            <w:textDirection w:val="btLr"/>
                          </w:pPr>
                        </w:p>
                      </w:txbxContent>
                    </v:textbox>
                  </v:shape>
                </v:group>
              </v:group>
            </w:pict>
          </mc:Fallback>
        </mc:AlternateContent>
      </w:r>
    </w:p>
    <w:p w14:paraId="0309080A" w14:textId="03437B7A" w:rsidR="003208BA" w:rsidRPr="00742634" w:rsidRDefault="003208BA" w:rsidP="00742634">
      <w:pPr>
        <w:pStyle w:val="1titre"/>
        <w:ind w:left="426" w:right="2976" w:hanging="284"/>
        <w:rPr>
          <w:b w:val="0"/>
          <w:bCs w:val="0"/>
        </w:rPr>
      </w:pPr>
      <w:r w:rsidRPr="00742634">
        <w:rPr>
          <w:b w:val="0"/>
          <w:bCs w:val="0"/>
        </w:rPr>
        <w:t xml:space="preserve">Lésion excavée (caverne) : de la condensation irrégulière et dense avec cavitation débutante, à la caverne </w:t>
      </w:r>
    </w:p>
    <w:p w14:paraId="0C861A53" w14:textId="77777777" w:rsidR="003208BA" w:rsidRDefault="003208BA" w:rsidP="00742634"/>
    <w:p w14:paraId="0FACA435" w14:textId="77777777" w:rsidR="003208BA" w:rsidRDefault="003208BA" w:rsidP="00742634"/>
    <w:p w14:paraId="6D2440FF" w14:textId="69218387" w:rsidR="003208BA" w:rsidRDefault="00742634" w:rsidP="00742634">
      <w:r>
        <w:rPr>
          <w:noProof/>
        </w:rPr>
        <mc:AlternateContent>
          <mc:Choice Requires="wpg">
            <w:drawing>
              <wp:anchor distT="0" distB="0" distL="114300" distR="114300" simplePos="0" relativeHeight="251781120" behindDoc="0" locked="0" layoutInCell="1" hidden="0" allowOverlap="1" wp14:anchorId="539D77AD" wp14:editId="27CF870C">
                <wp:simplePos x="0" y="0"/>
                <wp:positionH relativeFrom="column">
                  <wp:posOffset>4159140</wp:posOffset>
                </wp:positionH>
                <wp:positionV relativeFrom="paragraph">
                  <wp:posOffset>5356</wp:posOffset>
                </wp:positionV>
                <wp:extent cx="1262380" cy="2400300"/>
                <wp:effectExtent l="0" t="0" r="0" b="0"/>
                <wp:wrapNone/>
                <wp:docPr id="3" name="Groupe 3"/>
                <wp:cNvGraphicFramePr/>
                <a:graphic xmlns:a="http://schemas.openxmlformats.org/drawingml/2006/main">
                  <a:graphicData uri="http://schemas.microsoft.com/office/word/2010/wordprocessingGroup">
                    <wpg:wgp>
                      <wpg:cNvGrpSpPr/>
                      <wpg:grpSpPr>
                        <a:xfrm>
                          <a:off x="0" y="0"/>
                          <a:ext cx="1262380" cy="2400300"/>
                          <a:chOff x="4707775" y="2572325"/>
                          <a:chExt cx="1280450" cy="2404650"/>
                        </a:xfrm>
                      </wpg:grpSpPr>
                      <wpg:grpSp>
                        <wpg:cNvPr id="1592244654" name="Groupe 1592244654"/>
                        <wpg:cNvGrpSpPr/>
                        <wpg:grpSpPr>
                          <a:xfrm>
                            <a:off x="4714810" y="2579850"/>
                            <a:ext cx="1262380" cy="2400300"/>
                            <a:chOff x="8241" y="9774"/>
                            <a:chExt cx="1988" cy="3780"/>
                          </a:xfrm>
                        </wpg:grpSpPr>
                        <wps:wsp>
                          <wps:cNvPr id="171657096" name="Rectangle 171657096"/>
                          <wps:cNvSpPr/>
                          <wps:spPr>
                            <a:xfrm>
                              <a:off x="8241" y="9774"/>
                              <a:ext cx="1975" cy="3775"/>
                            </a:xfrm>
                            <a:prstGeom prst="rect">
                              <a:avLst/>
                            </a:prstGeom>
                            <a:noFill/>
                            <a:ln>
                              <a:noFill/>
                            </a:ln>
                          </wps:spPr>
                          <wps:txbx>
                            <w:txbxContent>
                              <w:p w14:paraId="3908E6CF"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g:grpSp>
                          <wpg:cNvPr id="105334956" name="Groupe 105334956"/>
                          <wpg:cNvGrpSpPr/>
                          <wpg:grpSpPr>
                            <a:xfrm>
                              <a:off x="8241" y="9774"/>
                              <a:ext cx="1988" cy="3780"/>
                              <a:chOff x="8241" y="9774"/>
                              <a:chExt cx="1988" cy="3493"/>
                            </a:xfrm>
                          </wpg:grpSpPr>
                          <wpg:grpSp>
                            <wpg:cNvPr id="1546464080" name="Groupe 1546464080"/>
                            <wpg:cNvGrpSpPr/>
                            <wpg:grpSpPr>
                              <a:xfrm>
                                <a:off x="8241" y="9774"/>
                                <a:ext cx="1988" cy="3493"/>
                                <a:chOff x="7360" y="1515"/>
                                <a:chExt cx="2320" cy="4165"/>
                              </a:xfrm>
                            </wpg:grpSpPr>
                            <wps:wsp>
                              <wps:cNvPr id="526500026" name="Forme libre : forme 526500026"/>
                              <wps:cNvSpPr/>
                              <wps:spPr>
                                <a:xfrm>
                                  <a:off x="7360" y="1515"/>
                                  <a:ext cx="2320" cy="4165"/>
                                </a:xfrm>
                                <a:custGeom>
                                  <a:avLst/>
                                  <a:gdLst/>
                                  <a:ahLst/>
                                  <a:cxnLst/>
                                  <a:rect l="l" t="t" r="r" b="b"/>
                                  <a:pathLst>
                                    <a:path w="2320" h="4165" extrusionOk="0">
                                      <a:moveTo>
                                        <a:pt x="1018" y="47"/>
                                      </a:moveTo>
                                      <a:cubicBezTo>
                                        <a:pt x="876" y="94"/>
                                        <a:pt x="687" y="236"/>
                                        <a:pt x="592" y="331"/>
                                      </a:cubicBezTo>
                                      <a:cubicBezTo>
                                        <a:pt x="497" y="426"/>
                                        <a:pt x="521" y="449"/>
                                        <a:pt x="450" y="615"/>
                                      </a:cubicBezTo>
                                      <a:cubicBezTo>
                                        <a:pt x="379" y="781"/>
                                        <a:pt x="237" y="1088"/>
                                        <a:pt x="166" y="1325"/>
                                      </a:cubicBezTo>
                                      <a:cubicBezTo>
                                        <a:pt x="95" y="1562"/>
                                        <a:pt x="48" y="1822"/>
                                        <a:pt x="24" y="2035"/>
                                      </a:cubicBezTo>
                                      <a:cubicBezTo>
                                        <a:pt x="0" y="2248"/>
                                        <a:pt x="24" y="2390"/>
                                        <a:pt x="24" y="2603"/>
                                      </a:cubicBezTo>
                                      <a:cubicBezTo>
                                        <a:pt x="24" y="2816"/>
                                        <a:pt x="0" y="3195"/>
                                        <a:pt x="24" y="3313"/>
                                      </a:cubicBezTo>
                                      <a:cubicBezTo>
                                        <a:pt x="48" y="3431"/>
                                        <a:pt x="95" y="3313"/>
                                        <a:pt x="166" y="3313"/>
                                      </a:cubicBezTo>
                                      <a:cubicBezTo>
                                        <a:pt x="237" y="3313"/>
                                        <a:pt x="332" y="3313"/>
                                        <a:pt x="450" y="3313"/>
                                      </a:cubicBezTo>
                                      <a:cubicBezTo>
                                        <a:pt x="568" y="3313"/>
                                        <a:pt x="758" y="3289"/>
                                        <a:pt x="876" y="3313"/>
                                      </a:cubicBezTo>
                                      <a:cubicBezTo>
                                        <a:pt x="994" y="3337"/>
                                        <a:pt x="1018" y="3384"/>
                                        <a:pt x="1160" y="3455"/>
                                      </a:cubicBezTo>
                                      <a:cubicBezTo>
                                        <a:pt x="1302" y="3526"/>
                                        <a:pt x="1610" y="3668"/>
                                        <a:pt x="1728" y="3739"/>
                                      </a:cubicBezTo>
                                      <a:cubicBezTo>
                                        <a:pt x="1846" y="3810"/>
                                        <a:pt x="1799" y="3834"/>
                                        <a:pt x="1870" y="3881"/>
                                      </a:cubicBezTo>
                                      <a:cubicBezTo>
                                        <a:pt x="1941" y="3928"/>
                                        <a:pt x="2083" y="4165"/>
                                        <a:pt x="2154" y="4023"/>
                                      </a:cubicBezTo>
                                      <a:cubicBezTo>
                                        <a:pt x="2225" y="3881"/>
                                        <a:pt x="2272" y="3313"/>
                                        <a:pt x="2296" y="3029"/>
                                      </a:cubicBezTo>
                                      <a:cubicBezTo>
                                        <a:pt x="2320" y="2745"/>
                                        <a:pt x="2320" y="2603"/>
                                        <a:pt x="2296" y="2319"/>
                                      </a:cubicBezTo>
                                      <a:cubicBezTo>
                                        <a:pt x="2272" y="2035"/>
                                        <a:pt x="2201" y="1562"/>
                                        <a:pt x="2154" y="1325"/>
                                      </a:cubicBezTo>
                                      <a:cubicBezTo>
                                        <a:pt x="2107" y="1088"/>
                                        <a:pt x="2083" y="1065"/>
                                        <a:pt x="2012" y="899"/>
                                      </a:cubicBezTo>
                                      <a:cubicBezTo>
                                        <a:pt x="1941" y="733"/>
                                        <a:pt x="1823" y="473"/>
                                        <a:pt x="1728" y="331"/>
                                      </a:cubicBezTo>
                                      <a:cubicBezTo>
                                        <a:pt x="1633" y="189"/>
                                        <a:pt x="1562" y="94"/>
                                        <a:pt x="1444" y="47"/>
                                      </a:cubicBezTo>
                                      <a:cubicBezTo>
                                        <a:pt x="1326" y="0"/>
                                        <a:pt x="1160" y="0"/>
                                        <a:pt x="1018" y="47"/>
                                      </a:cubicBezTo>
                                      <a:close/>
                                    </a:path>
                                  </a:pathLst>
                                </a:custGeom>
                                <a:solidFill>
                                  <a:srgbClr val="FFFFFF"/>
                                </a:solidFill>
                                <a:ln w="28575" cap="flat" cmpd="sng">
                                  <a:solidFill>
                                    <a:srgbClr val="000000"/>
                                  </a:solidFill>
                                  <a:prstDash val="solid"/>
                                  <a:round/>
                                  <a:headEnd type="none" w="sm" len="sm"/>
                                  <a:tailEnd type="none" w="sm" len="sm"/>
                                </a:ln>
                              </wps:spPr>
                              <wps:txbx>
                                <w:txbxContent>
                                  <w:p w14:paraId="258B57D6"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1534393439" name="Forme libre : forme 1534393439"/>
                              <wps:cNvSpPr/>
                              <wps:spPr>
                                <a:xfrm>
                                  <a:off x="7384" y="1988"/>
                                  <a:ext cx="1704" cy="2840"/>
                                </a:xfrm>
                                <a:custGeom>
                                  <a:avLst/>
                                  <a:gdLst/>
                                  <a:ahLst/>
                                  <a:cxnLst/>
                                  <a:rect l="l" t="t" r="r" b="b"/>
                                  <a:pathLst>
                                    <a:path w="1704" h="2840" extrusionOk="0">
                                      <a:moveTo>
                                        <a:pt x="1704" y="0"/>
                                      </a:moveTo>
                                      <a:cubicBezTo>
                                        <a:pt x="1668" y="248"/>
                                        <a:pt x="1633" y="497"/>
                                        <a:pt x="1562" y="710"/>
                                      </a:cubicBezTo>
                                      <a:cubicBezTo>
                                        <a:pt x="1491" y="923"/>
                                        <a:pt x="1373" y="1112"/>
                                        <a:pt x="1278" y="1278"/>
                                      </a:cubicBezTo>
                                      <a:cubicBezTo>
                                        <a:pt x="1183" y="1444"/>
                                        <a:pt x="1089" y="1562"/>
                                        <a:pt x="994" y="1704"/>
                                      </a:cubicBezTo>
                                      <a:cubicBezTo>
                                        <a:pt x="899" y="1846"/>
                                        <a:pt x="828" y="1988"/>
                                        <a:pt x="710" y="2130"/>
                                      </a:cubicBezTo>
                                      <a:cubicBezTo>
                                        <a:pt x="592" y="2272"/>
                                        <a:pt x="402" y="2438"/>
                                        <a:pt x="284" y="2556"/>
                                      </a:cubicBezTo>
                                      <a:cubicBezTo>
                                        <a:pt x="166" y="2674"/>
                                        <a:pt x="83" y="2757"/>
                                        <a:pt x="0" y="2840"/>
                                      </a:cubicBezTo>
                                    </a:path>
                                  </a:pathLst>
                                </a:custGeom>
                                <a:noFill/>
                                <a:ln w="9525" cap="flat" cmpd="sng">
                                  <a:solidFill>
                                    <a:srgbClr val="000000"/>
                                  </a:solidFill>
                                  <a:prstDash val="solid"/>
                                  <a:round/>
                                  <a:headEnd type="none" w="sm" len="sm"/>
                                  <a:tailEnd type="none" w="sm" len="sm"/>
                                </a:ln>
                              </wps:spPr>
                              <wps:txbx>
                                <w:txbxContent>
                                  <w:p w14:paraId="6DB56EE7"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228872977" name="Forme libre : forme 228872977"/>
                              <wps:cNvSpPr/>
                              <wps:spPr>
                                <a:xfrm>
                                  <a:off x="7384" y="3124"/>
                                  <a:ext cx="1278" cy="450"/>
                                </a:xfrm>
                                <a:custGeom>
                                  <a:avLst/>
                                  <a:gdLst/>
                                  <a:ahLst/>
                                  <a:cxnLst/>
                                  <a:rect l="l" t="t" r="r" b="b"/>
                                  <a:pathLst>
                                    <a:path w="1278" h="450" extrusionOk="0">
                                      <a:moveTo>
                                        <a:pt x="1278" y="0"/>
                                      </a:moveTo>
                                      <a:cubicBezTo>
                                        <a:pt x="1148" y="106"/>
                                        <a:pt x="1018" y="213"/>
                                        <a:pt x="852" y="284"/>
                                      </a:cubicBezTo>
                                      <a:cubicBezTo>
                                        <a:pt x="686" y="355"/>
                                        <a:pt x="426" y="402"/>
                                        <a:pt x="284" y="426"/>
                                      </a:cubicBezTo>
                                      <a:cubicBezTo>
                                        <a:pt x="142" y="450"/>
                                        <a:pt x="71" y="438"/>
                                        <a:pt x="0" y="426"/>
                                      </a:cubicBezTo>
                                    </a:path>
                                  </a:pathLst>
                                </a:custGeom>
                                <a:noFill/>
                                <a:ln w="9525" cap="flat" cmpd="sng">
                                  <a:solidFill>
                                    <a:srgbClr val="000000"/>
                                  </a:solidFill>
                                  <a:prstDash val="solid"/>
                                  <a:round/>
                                  <a:headEnd type="none" w="sm" len="sm"/>
                                  <a:tailEnd type="none" w="sm" len="sm"/>
                                </a:ln>
                              </wps:spPr>
                              <wps:txbx>
                                <w:txbxContent>
                                  <w:p w14:paraId="646C7CAA"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g:grpSp>
                          <wps:wsp>
                            <wps:cNvPr id="365341955" name="Forme libre : forme 365341955"/>
                            <wps:cNvSpPr/>
                            <wps:spPr>
                              <a:xfrm>
                                <a:off x="8781" y="9966"/>
                                <a:ext cx="768" cy="548"/>
                              </a:xfrm>
                              <a:custGeom>
                                <a:avLst/>
                                <a:gdLst/>
                                <a:ahLst/>
                                <a:cxnLst/>
                                <a:rect l="l" t="t" r="r" b="b"/>
                                <a:pathLst>
                                  <a:path w="1203" h="1058" extrusionOk="0">
                                    <a:moveTo>
                                      <a:pt x="723" y="38"/>
                                    </a:moveTo>
                                    <a:cubicBezTo>
                                      <a:pt x="584" y="53"/>
                                      <a:pt x="455" y="74"/>
                                      <a:pt x="323" y="118"/>
                                    </a:cubicBezTo>
                                    <a:cubicBezTo>
                                      <a:pt x="303" y="138"/>
                                      <a:pt x="285" y="160"/>
                                      <a:pt x="263" y="178"/>
                                    </a:cubicBezTo>
                                    <a:cubicBezTo>
                                      <a:pt x="245" y="193"/>
                                      <a:pt x="216" y="198"/>
                                      <a:pt x="203" y="218"/>
                                    </a:cubicBezTo>
                                    <a:cubicBezTo>
                                      <a:pt x="167" y="276"/>
                                      <a:pt x="146" y="389"/>
                                      <a:pt x="123" y="458"/>
                                    </a:cubicBezTo>
                                    <a:cubicBezTo>
                                      <a:pt x="115" y="481"/>
                                      <a:pt x="94" y="497"/>
                                      <a:pt x="83" y="518"/>
                                    </a:cubicBezTo>
                                    <a:cubicBezTo>
                                      <a:pt x="0" y="684"/>
                                      <a:pt x="138" y="466"/>
                                      <a:pt x="23" y="638"/>
                                    </a:cubicBezTo>
                                    <a:cubicBezTo>
                                      <a:pt x="30" y="678"/>
                                      <a:pt x="34" y="718"/>
                                      <a:pt x="43" y="758"/>
                                    </a:cubicBezTo>
                                    <a:cubicBezTo>
                                      <a:pt x="98" y="1003"/>
                                      <a:pt x="398" y="948"/>
                                      <a:pt x="583" y="958"/>
                                    </a:cubicBezTo>
                                    <a:cubicBezTo>
                                      <a:pt x="734" y="1008"/>
                                      <a:pt x="548" y="940"/>
                                      <a:pt x="703" y="1018"/>
                                    </a:cubicBezTo>
                                    <a:cubicBezTo>
                                      <a:pt x="732" y="1032"/>
                                      <a:pt x="817" y="1052"/>
                                      <a:pt x="843" y="1058"/>
                                    </a:cubicBezTo>
                                    <a:cubicBezTo>
                                      <a:pt x="947" y="1041"/>
                                      <a:pt x="999" y="1034"/>
                                      <a:pt x="1083" y="978"/>
                                    </a:cubicBezTo>
                                    <a:cubicBezTo>
                                      <a:pt x="1140" y="806"/>
                                      <a:pt x="1113" y="899"/>
                                      <a:pt x="1163" y="698"/>
                                    </a:cubicBezTo>
                                    <a:cubicBezTo>
                                      <a:pt x="1173" y="657"/>
                                      <a:pt x="1203" y="578"/>
                                      <a:pt x="1203" y="578"/>
                                    </a:cubicBezTo>
                                    <a:cubicBezTo>
                                      <a:pt x="1196" y="498"/>
                                      <a:pt x="1199" y="417"/>
                                      <a:pt x="1183" y="338"/>
                                    </a:cubicBezTo>
                                    <a:cubicBezTo>
                                      <a:pt x="1168" y="263"/>
                                      <a:pt x="1134" y="283"/>
                                      <a:pt x="1083" y="258"/>
                                    </a:cubicBezTo>
                                    <a:cubicBezTo>
                                      <a:pt x="981" y="207"/>
                                      <a:pt x="892" y="134"/>
                                      <a:pt x="783" y="98"/>
                                    </a:cubicBezTo>
                                    <a:cubicBezTo>
                                      <a:pt x="685" y="0"/>
                                      <a:pt x="751" y="38"/>
                                      <a:pt x="563" y="38"/>
                                    </a:cubicBezTo>
                                    <a:lnTo>
                                      <a:pt x="825" y="162"/>
                                    </a:lnTo>
                                  </a:path>
                                </a:pathLst>
                              </a:custGeom>
                              <a:solidFill>
                                <a:srgbClr val="C0C0C0"/>
                              </a:solidFill>
                              <a:ln w="9525" cap="flat" cmpd="sng">
                                <a:solidFill>
                                  <a:srgbClr val="C0C0C0"/>
                                </a:solidFill>
                                <a:prstDash val="solid"/>
                                <a:round/>
                                <a:headEnd type="none" w="sm" len="sm"/>
                                <a:tailEnd type="none" w="sm" len="sm"/>
                              </a:ln>
                            </wps:spPr>
                            <wps:txbx>
                              <w:txbxContent>
                                <w:p w14:paraId="30F78390"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s:wsp>
                            <wps:cNvPr id="1113519794" name="Forme libre : forme 1113519794"/>
                            <wps:cNvSpPr/>
                            <wps:spPr>
                              <a:xfrm>
                                <a:off x="9475" y="10298"/>
                                <a:ext cx="609" cy="1074"/>
                              </a:xfrm>
                              <a:custGeom>
                                <a:avLst/>
                                <a:gdLst/>
                                <a:ahLst/>
                                <a:cxnLst/>
                                <a:rect l="l" t="t" r="r" b="b"/>
                                <a:pathLst>
                                  <a:path w="711" h="1280" extrusionOk="0">
                                    <a:moveTo>
                                      <a:pt x="360" y="0"/>
                                    </a:moveTo>
                                    <a:cubicBezTo>
                                      <a:pt x="306" y="108"/>
                                      <a:pt x="295" y="225"/>
                                      <a:pt x="260" y="340"/>
                                    </a:cubicBezTo>
                                    <a:cubicBezTo>
                                      <a:pt x="248" y="380"/>
                                      <a:pt x="220" y="460"/>
                                      <a:pt x="220" y="460"/>
                                    </a:cubicBezTo>
                                    <a:cubicBezTo>
                                      <a:pt x="210" y="561"/>
                                      <a:pt x="205" y="763"/>
                                      <a:pt x="140" y="860"/>
                                    </a:cubicBezTo>
                                    <a:cubicBezTo>
                                      <a:pt x="97" y="925"/>
                                      <a:pt x="43" y="975"/>
                                      <a:pt x="0" y="1040"/>
                                    </a:cubicBezTo>
                                    <a:cubicBezTo>
                                      <a:pt x="13" y="1104"/>
                                      <a:pt x="22" y="1214"/>
                                      <a:pt x="80" y="1260"/>
                                    </a:cubicBezTo>
                                    <a:cubicBezTo>
                                      <a:pt x="96" y="1273"/>
                                      <a:pt x="120" y="1273"/>
                                      <a:pt x="140" y="1280"/>
                                    </a:cubicBezTo>
                                    <a:cubicBezTo>
                                      <a:pt x="293" y="1273"/>
                                      <a:pt x="448" y="1278"/>
                                      <a:pt x="600" y="1260"/>
                                    </a:cubicBezTo>
                                    <a:cubicBezTo>
                                      <a:pt x="662" y="1253"/>
                                      <a:pt x="700" y="1100"/>
                                      <a:pt x="700" y="1100"/>
                                    </a:cubicBezTo>
                                    <a:cubicBezTo>
                                      <a:pt x="651" y="903"/>
                                      <a:pt x="711" y="1162"/>
                                      <a:pt x="660" y="780"/>
                                    </a:cubicBezTo>
                                    <a:cubicBezTo>
                                      <a:pt x="646" y="673"/>
                                      <a:pt x="594" y="562"/>
                                      <a:pt x="560" y="460"/>
                                    </a:cubicBezTo>
                                    <a:cubicBezTo>
                                      <a:pt x="535" y="385"/>
                                      <a:pt x="547" y="310"/>
                                      <a:pt x="500" y="240"/>
                                    </a:cubicBezTo>
                                    <a:cubicBezTo>
                                      <a:pt x="448" y="162"/>
                                      <a:pt x="413" y="79"/>
                                      <a:pt x="360" y="0"/>
                                    </a:cubicBezTo>
                                    <a:close/>
                                  </a:path>
                                </a:pathLst>
                              </a:custGeom>
                              <a:solidFill>
                                <a:srgbClr val="C0C0C0"/>
                              </a:solidFill>
                              <a:ln w="9525" cap="flat" cmpd="sng">
                                <a:solidFill>
                                  <a:srgbClr val="C0C0C0"/>
                                </a:solidFill>
                                <a:prstDash val="solid"/>
                                <a:round/>
                                <a:headEnd type="none" w="sm" len="sm"/>
                                <a:tailEnd type="none" w="sm" len="sm"/>
                              </a:ln>
                            </wps:spPr>
                            <wps:txbx>
                              <w:txbxContent>
                                <w:p w14:paraId="227F042E" w14:textId="77777777" w:rsidR="003208BA" w:rsidRDefault="003208BA" w:rsidP="003208BA">
                                  <w:pPr>
                                    <w:spacing w:line="240" w:lineRule="auto"/>
                                    <w:jc w:val="left"/>
                                    <w:textDirection w:val="btLr"/>
                                  </w:pPr>
                                </w:p>
                              </w:txbxContent>
                            </wps:txbx>
                            <wps:bodyPr spcFirstLastPara="1" wrap="square" lIns="91425" tIns="91425" rIns="91425" bIns="91425" anchor="ctr" anchorCtr="0">
                              <a:noAutofit/>
                            </wps:bodyPr>
                          </wps:wsp>
                        </wpg:grpSp>
                        <wps:wsp>
                          <wps:cNvPr id="1993249767" name="Rectangle 1993249767"/>
                          <wps:cNvSpPr/>
                          <wps:spPr>
                            <a:xfrm>
                              <a:off x="8241" y="12899"/>
                              <a:ext cx="1582" cy="357"/>
                            </a:xfrm>
                            <a:prstGeom prst="rect">
                              <a:avLst/>
                            </a:prstGeom>
                            <a:noFill/>
                            <a:ln>
                              <a:noFill/>
                            </a:ln>
                          </wps:spPr>
                          <wps:txbx>
                            <w:txbxContent>
                              <w:p w14:paraId="7DD01C85" w14:textId="77777777" w:rsidR="003208BA" w:rsidRDefault="003208BA" w:rsidP="003208BA">
                                <w:pPr>
                                  <w:spacing w:line="258" w:lineRule="auto"/>
                                  <w:jc w:val="center"/>
                                  <w:textDirection w:val="btLr"/>
                                </w:pPr>
                                <w:r>
                                  <w:rPr>
                                    <w:rFonts w:ascii="Arial" w:eastAsia="Arial" w:hAnsi="Arial" w:cs="Arial"/>
                                    <w:sz w:val="16"/>
                                  </w:rPr>
                                  <w:t>profil</w:t>
                                </w:r>
                              </w:p>
                            </w:txbxContent>
                          </wps:txbx>
                          <wps:bodyPr spcFirstLastPara="1" wrap="square" lIns="91425" tIns="45700" rIns="91425" bIns="45700" anchor="t" anchorCtr="0">
                            <a:noAutofit/>
                          </wps:bodyPr>
                        </wps:wsp>
                      </wpg:grpSp>
                    </wpg:wgp>
                  </a:graphicData>
                </a:graphic>
              </wp:anchor>
            </w:drawing>
          </mc:Choice>
          <mc:Fallback>
            <w:pict>
              <v:group w14:anchorId="539D77AD" id="Groupe 3" o:spid="_x0000_s1038" style="position:absolute;left:0;text-align:left;margin-left:327.5pt;margin-top:.4pt;width:99.4pt;height:189pt;z-index:251781120" coordorigin="47077,25723" coordsize="12804,240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">
                <v:group id="Groupe 1592244654" o:spid="_x0000_s1039" style="position:absolute;left:47148;top:25798;width:12623;height:24003" coordorigin="8241,9774" coordsize="1988,37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">
                  <v:rect id="Rectangle 171657096" o:spid="_x0000_s1040" style="position:absolute;left:8241;top:9774;width:1975;height:37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" filled="f" stroked="f">
                    <v:textbox inset="2.53958mm,2.53958mm,2.53958mm,2.53958mm">
                      <w:txbxContent>
                        <w:p w14:paraId="3908E6CF" w14:textId="77777777" w:rsidR="003208BA" w:rsidRDefault="003208BA" w:rsidP="003208BA">
                          <w:pPr>
                            <w:spacing w:line="240" w:lineRule="auto"/>
                            <w:jc w:val="left"/>
                            <w:textDirection w:val="btLr"/>
                          </w:pPr>
                        </w:p>
                      </w:txbxContent>
                    </v:textbox>
                  </v:rect>
                  <v:group id="Groupe 105334956" o:spid="_x0000_s1041" style="position:absolute;left:8241;top:9774;width:1988;height:3780" coordorigin="8241,9774" coordsize="1988,34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">
                    <v:group id="Groupe 1546464080" o:spid="_x0000_s1042" style="position:absolute;left:8241;top:9774;width:1988;height:3493" coordorigin="7360,1515" coordsize="2320,4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">
                      <v:shape id="Forme libre : forme 526500026" o:spid="_x0000_s1043" style="position:absolute;left:7360;top:1515;width:2320;height:4165;visibility:visible;mso-wrap-style:square;v-text-anchor:middle" coordsize="2320,416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" adj="-11796480,,5400" path="m1018,47c876,94,687,236,592,331,497,426,521,449,450,615,379,781,237,1088,166,1325,95,1562,48,1822,24,2035v-24,213,,355,,568c24,2816,,3195,24,3313v24,118,71,,142,c237,3313,332,3313,450,3313v118,,308,-24,426,c994,3337,1018,3384,1160,3455v142,71,450,213,568,284c1846,3810,1799,3834,1870,3881v71,47,213,284,284,142c2225,3881,2272,3313,2296,3029v24,-284,24,-426,,-710c2272,2035,2201,1562,2154,1325v-47,-237,-71,-260,-142,-426c1941,733,1823,473,1728,331,1633,189,1562,94,1444,47,1326,,1160,,1018,47xe" strokeweight="2.25pt">
                        <v:stroke startarrowwidth="narrow" startarrowlength="short" endarrowwidth="narrow" endarrowlength="short" joinstyle="round"/>
                        <v:formulas/>
                        <v:path arrowok="t" o:extrusionok="f" o:connecttype="custom" textboxrect="0,0,2320,4165"/>
                        <v:textbox inset="2.53958mm,2.53958mm,2.53958mm,2.53958mm">
                          <w:txbxContent>
                            <w:p w14:paraId="258B57D6" w14:textId="77777777" w:rsidR="003208BA" w:rsidRDefault="003208BA" w:rsidP="003208BA">
                              <w:pPr>
                                <w:spacing w:line="240" w:lineRule="auto"/>
                                <w:jc w:val="left"/>
                                <w:textDirection w:val="btLr"/>
                              </w:pPr>
                            </w:p>
                          </w:txbxContent>
                        </v:textbox>
                      </v:shape>
                      <v:shape id="Forme libre : forme 1534393439" o:spid="_x0000_s1044" style="position:absolute;left:7384;top:1988;width:1704;height:2840;visibility:visible;mso-wrap-style:square;v-text-anchor:middle" coordsize="1704,28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" adj="-11796480,,5400" path="m1704,v-36,248,-71,497,-142,710c1491,923,1373,1112,1278,1278v-95,166,-189,284,-284,426c899,1846,828,1988,710,2130,592,2272,402,2438,284,2556,166,2674,83,2757,,2840e" filled="f">
                        <v:stroke startarrowwidth="narrow" startarrowlength="short" endarrowwidth="narrow" endarrowlength="short" joinstyle="round"/>
                        <v:formulas/>
                        <v:path arrowok="t" o:extrusionok="f" o:connecttype="custom" textboxrect="0,0,1704,2840"/>
                        <v:textbox inset="2.53958mm,2.53958mm,2.53958mm,2.53958mm">
                          <w:txbxContent>
                            <w:p w14:paraId="6DB56EE7" w14:textId="77777777" w:rsidR="003208BA" w:rsidRDefault="003208BA" w:rsidP="003208BA">
                              <w:pPr>
                                <w:spacing w:line="240" w:lineRule="auto"/>
                                <w:jc w:val="left"/>
                                <w:textDirection w:val="btLr"/>
                              </w:pPr>
                            </w:p>
                          </w:txbxContent>
                        </v:textbox>
                      </v:shape>
                      <v:shape id="Forme libre : forme 228872977" o:spid="_x0000_s1045" style="position:absolute;left:7384;top:3124;width:1278;height:450;visibility:visible;mso-wrap-style:square;v-text-anchor:middle" coordsize="1278,45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" adj="-11796480,,5400" path="m1278,c1148,106,1018,213,852,284,686,355,426,402,284,426,142,450,71,438,,426e" filled="f">
                        <v:stroke startarrowwidth="narrow" startarrowlength="short" endarrowwidth="narrow" endarrowlength="short" joinstyle="round"/>
                        <v:formulas/>
                        <v:path arrowok="t" o:extrusionok="f" o:connecttype="custom" textboxrect="0,0,1278,450"/>
                        <v:textbox inset="2.53958mm,2.53958mm,2.53958mm,2.53958mm">
                          <w:txbxContent>
                            <w:p w14:paraId="646C7CAA" w14:textId="77777777" w:rsidR="003208BA" w:rsidRDefault="003208BA" w:rsidP="003208BA">
                              <w:pPr>
                                <w:spacing w:line="240" w:lineRule="auto"/>
                                <w:jc w:val="left"/>
                                <w:textDirection w:val="btLr"/>
                              </w:pPr>
                            </w:p>
                          </w:txbxContent>
                        </v:textbox>
                      </v:shape>
                    </v:group>
                    <v:shape id="Forme libre : forme 365341955" o:spid="_x0000_s1046" style="position:absolute;left:8781;top:9966;width:768;height:548;visibility:visible;mso-wrap-style:square;v-text-anchor:middle" coordsize="1203,105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" adj="-11796480,,5400" path="m723,38c584,53,455,74,323,118v-20,20,-38,42,-60,60c245,193,216,198,203,218v-36,58,-57,171,-80,240c115,481,94,497,83,518,,684,138,466,23,638v7,40,11,80,20,120c98,1003,398,948,583,958v151,50,-35,-18,120,60c732,1032,817,1052,843,1058v104,-17,156,-24,240,-80c1140,806,1113,899,1163,698v10,-41,40,-120,40,-120c1196,498,1199,417,1183,338v-15,-75,-49,-55,-100,-80c981,207,892,134,783,98,685,,751,38,563,38l825,162e" fillcolor="silver" strokecolor="silver">
                      <v:stroke startarrowwidth="narrow" startarrowlength="short" endarrowwidth="narrow" endarrowlength="short" joinstyle="round"/>
                      <v:formulas/>
                      <v:path arrowok="t" o:extrusionok="f" o:connecttype="custom" textboxrect="0,0,1203,1058"/>
                      <v:textbox inset="2.53958mm,2.53958mm,2.53958mm,2.53958mm">
                        <w:txbxContent>
                          <w:p w14:paraId="30F78390" w14:textId="77777777" w:rsidR="003208BA" w:rsidRDefault="003208BA" w:rsidP="003208BA">
                            <w:pPr>
                              <w:spacing w:line="240" w:lineRule="auto"/>
                              <w:jc w:val="left"/>
                              <w:textDirection w:val="btLr"/>
                            </w:pPr>
                          </w:p>
                        </w:txbxContent>
                      </v:textbox>
                    </v:shape>
                    <v:shape id="Forme libre : forme 1113519794" o:spid="_x0000_s1047" style="position:absolute;left:9475;top:10298;width:609;height:1074;visibility:visible;mso-wrap-style:square;v-text-anchor:middle" coordsize="711,128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" adj="-11796480,,5400" path="m360,c306,108,295,225,260,340v-12,40,-40,120,-40,120c210,561,205,763,140,860,97,925,43,975,,1040v13,64,22,174,80,220c96,1273,120,1273,140,1280v153,-7,308,-2,460,-20c662,1253,700,1100,700,1100v-49,-197,11,62,-40,-320c646,673,594,562,560,460,535,385,547,310,500,240,448,162,413,79,360,xe" fillcolor="silver" strokecolor="silver">
                      <v:stroke startarrowwidth="narrow" startarrowlength="short" endarrowwidth="narrow" endarrowlength="short" joinstyle="round"/>
                      <v:formulas/>
                      <v:path arrowok="t" o:extrusionok="f" o:connecttype="custom" textboxrect="0,0,711,1280"/>
                      <v:textbox inset="2.53958mm,2.53958mm,2.53958mm,2.53958mm">
                        <w:txbxContent>
                          <w:p w14:paraId="227F042E" w14:textId="77777777" w:rsidR="003208BA" w:rsidRDefault="003208BA" w:rsidP="003208BA">
                            <w:pPr>
                              <w:spacing w:line="240" w:lineRule="auto"/>
                              <w:jc w:val="left"/>
                              <w:textDirection w:val="btLr"/>
                            </w:pPr>
                          </w:p>
                        </w:txbxContent>
                      </v:textbox>
                    </v:shape>
                  </v:group>
                  <v:rect id="Rectangle 1993249767" o:spid="_x0000_s1048" style="position:absolute;left:8241;top:12899;width:1582;height:3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" filled="f" stroked="f">
                    <v:textbox inset="2.53958mm,1.2694mm,2.53958mm,1.2694mm">
                      <w:txbxContent>
                        <w:p w14:paraId="7DD01C85" w14:textId="77777777" w:rsidR="003208BA" w:rsidRDefault="003208BA" w:rsidP="003208BA">
                          <w:pPr>
                            <w:spacing w:line="258" w:lineRule="auto"/>
                            <w:jc w:val="center"/>
                            <w:textDirection w:val="btLr"/>
                          </w:pPr>
                          <w:r>
                            <w:rPr>
                              <w:rFonts w:ascii="Arial" w:eastAsia="Arial" w:hAnsi="Arial" w:cs="Arial"/>
                              <w:sz w:val="16"/>
                            </w:rPr>
                            <w:t>profil</w:t>
                          </w:r>
                        </w:p>
                      </w:txbxContent>
                    </v:textbox>
                  </v:rect>
                </v:group>
              </v:group>
            </w:pict>
          </mc:Fallback>
        </mc:AlternateContent>
      </w:r>
      <w:r w:rsidR="003208BA">
        <w:t>- Ces 3 types de lésions peuvent être associées.</w:t>
      </w:r>
    </w:p>
    <w:p w14:paraId="22DE7558" w14:textId="27AB9832" w:rsidR="003208BA" w:rsidRDefault="003208BA" w:rsidP="00742634">
      <w:pPr>
        <w:ind w:right="2835"/>
      </w:pPr>
      <w:r>
        <w:t>-</w:t>
      </w:r>
      <w:r w:rsidR="00742634">
        <w:t xml:space="preserve"> </w:t>
      </w:r>
      <w:r>
        <w:t>Généralement situées dans les segments supérieurs et postérieurs, là où la pression partielle en oxygène est la plus élevée (le BK est un aérobie strict)</w:t>
      </w:r>
      <w:r w:rsidR="00742634">
        <w:t>.</w:t>
      </w:r>
    </w:p>
    <w:p w14:paraId="4B486A70" w14:textId="77777777" w:rsidR="003208BA" w:rsidRDefault="003208BA" w:rsidP="003208BA">
      <w:pPr>
        <w:spacing w:line="240" w:lineRule="auto"/>
        <w:jc w:val="center"/>
      </w:pPr>
    </w:p>
    <w:p w14:paraId="342830BE" w14:textId="77777777" w:rsidR="003208BA" w:rsidRDefault="003208BA" w:rsidP="003208BA">
      <w:pPr>
        <w:spacing w:line="240" w:lineRule="auto"/>
        <w:jc w:val="center"/>
      </w:pPr>
    </w:p>
    <w:p w14:paraId="04E2ABA3" w14:textId="77777777" w:rsidR="003208BA" w:rsidRDefault="003208BA" w:rsidP="003208BA">
      <w:pPr>
        <w:spacing w:line="240" w:lineRule="auto"/>
        <w:jc w:val="center"/>
      </w:pPr>
    </w:p>
    <w:p w14:paraId="06DF520D" w14:textId="77777777" w:rsidR="003208BA" w:rsidRDefault="003208BA" w:rsidP="003208BA">
      <w:pPr>
        <w:spacing w:line="240" w:lineRule="auto"/>
        <w:jc w:val="center"/>
      </w:pPr>
    </w:p>
    <w:p w14:paraId="405B7B4A" w14:textId="77777777" w:rsidR="003208BA" w:rsidRDefault="003208BA" w:rsidP="003208BA">
      <w:pPr>
        <w:spacing w:line="240" w:lineRule="auto"/>
      </w:pPr>
    </w:p>
    <w:p w14:paraId="10959310" w14:textId="77777777" w:rsidR="003208BA" w:rsidRDefault="003208BA" w:rsidP="003208BA">
      <w:pPr>
        <w:spacing w:line="240" w:lineRule="auto"/>
      </w:pPr>
    </w:p>
    <w:p w14:paraId="553783BC" w14:textId="77777777" w:rsidR="003208BA" w:rsidRDefault="003208BA" w:rsidP="003208BA">
      <w:pPr>
        <w:spacing w:line="240" w:lineRule="auto"/>
      </w:pPr>
    </w:p>
    <w:p w14:paraId="4DC5A29B" w14:textId="77777777" w:rsidR="003208BA" w:rsidRDefault="003208BA" w:rsidP="003208BA">
      <w:pPr>
        <w:spacing w:line="240" w:lineRule="auto"/>
      </w:pPr>
    </w:p>
    <w:p w14:paraId="31FBEFF2" w14:textId="77777777" w:rsidR="003208BA" w:rsidRDefault="003208BA" w:rsidP="003208BA">
      <w:pPr>
        <w:pBdr>
          <w:top w:val="nil"/>
          <w:left w:val="nil"/>
          <w:bottom w:val="nil"/>
          <w:right w:val="nil"/>
          <w:between w:val="nil"/>
        </w:pBdr>
        <w:spacing w:line="240" w:lineRule="auto"/>
        <w:rPr>
          <w:rFonts w:ascii="Arial" w:eastAsia="Arial" w:hAnsi="Arial" w:cs="Arial"/>
          <w:sz w:val="18"/>
          <w:szCs w:val="18"/>
        </w:rPr>
      </w:pPr>
    </w:p>
    <w:p w14:paraId="2930F660" w14:textId="77777777" w:rsidR="003208BA" w:rsidRDefault="003208BA" w:rsidP="003208BA">
      <w:pPr>
        <w:pBdr>
          <w:top w:val="nil"/>
          <w:left w:val="nil"/>
          <w:bottom w:val="nil"/>
          <w:right w:val="nil"/>
          <w:between w:val="nil"/>
        </w:pBdr>
        <w:spacing w:line="240" w:lineRule="auto"/>
        <w:rPr>
          <w:rFonts w:ascii="Arial" w:eastAsia="Arial" w:hAnsi="Arial" w:cs="Arial"/>
          <w:sz w:val="18"/>
          <w:szCs w:val="18"/>
        </w:rPr>
      </w:pPr>
    </w:p>
    <w:p w14:paraId="56688416" w14:textId="77777777" w:rsidR="003208BA" w:rsidRDefault="003208BA" w:rsidP="003208BA">
      <w:pPr>
        <w:pBdr>
          <w:top w:val="nil"/>
          <w:left w:val="nil"/>
          <w:bottom w:val="nil"/>
          <w:right w:val="nil"/>
          <w:between w:val="nil"/>
        </w:pBdr>
        <w:spacing w:line="240" w:lineRule="auto"/>
        <w:rPr>
          <w:rFonts w:ascii="Arial" w:eastAsia="Arial" w:hAnsi="Arial" w:cs="Arial"/>
          <w:sz w:val="18"/>
          <w:szCs w:val="18"/>
        </w:rPr>
      </w:pPr>
    </w:p>
    <w:p w14:paraId="02A01736" w14:textId="77777777" w:rsidR="003208BA" w:rsidRDefault="003208BA" w:rsidP="003208BA">
      <w:pPr>
        <w:pBdr>
          <w:top w:val="nil"/>
          <w:left w:val="nil"/>
          <w:bottom w:val="nil"/>
          <w:right w:val="nil"/>
          <w:between w:val="nil"/>
        </w:pBdr>
        <w:spacing w:line="240" w:lineRule="auto"/>
        <w:rPr>
          <w:rFonts w:ascii="Arial" w:eastAsia="Arial" w:hAnsi="Arial" w:cs="Arial"/>
          <w:sz w:val="18"/>
          <w:szCs w:val="18"/>
        </w:rPr>
      </w:pPr>
    </w:p>
    <w:p w14:paraId="52A73694" w14:textId="77777777" w:rsidR="003208BA" w:rsidRDefault="003208BA" w:rsidP="003208BA">
      <w:pPr>
        <w:pBdr>
          <w:top w:val="nil"/>
          <w:left w:val="nil"/>
          <w:bottom w:val="nil"/>
          <w:right w:val="nil"/>
          <w:between w:val="nil"/>
        </w:pBdr>
        <w:spacing w:line="240" w:lineRule="auto"/>
        <w:rPr>
          <w:rFonts w:ascii="Arial" w:eastAsia="Arial" w:hAnsi="Arial" w:cs="Arial"/>
          <w:sz w:val="18"/>
          <w:szCs w:val="18"/>
        </w:rPr>
      </w:pPr>
    </w:p>
    <w:p w14:paraId="6AF8A991" w14:textId="77777777" w:rsidR="00742634" w:rsidRDefault="00742634" w:rsidP="00742634">
      <w:pPr>
        <w:pStyle w:val="lgende"/>
      </w:pPr>
    </w:p>
    <w:p w14:paraId="7D05EE16" w14:textId="77777777" w:rsidR="00005918" w:rsidRDefault="00005918">
      <w:pPr>
        <w:spacing w:after="160"/>
        <w:jc w:val="left"/>
        <w:rPr>
          <w:rFonts w:ascii="Arial" w:eastAsia="Arial" w:hAnsi="Arial" w:cs="Arial"/>
          <w:sz w:val="18"/>
          <w:szCs w:val="18"/>
        </w:rPr>
      </w:pPr>
      <w:r>
        <w:br w:type="page"/>
      </w:r>
    </w:p>
    <w:p w14:paraId="5AC821E7" w14:textId="77777777" w:rsidR="003208BA" w:rsidRDefault="003208BA" w:rsidP="003208BA">
      <w:pPr>
        <w:spacing w:line="240" w:lineRule="auto"/>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05918" w14:paraId="47570332" w14:textId="77777777" w:rsidTr="00E97EBF">
        <w:tc>
          <w:tcPr>
            <w:tcW w:w="9062" w:type="dxa"/>
            <w:gridSpan w:val="2"/>
          </w:tcPr>
          <w:p w14:paraId="5A3E6D40" w14:textId="2D4D6AA8" w:rsidR="00005918" w:rsidRDefault="00005918" w:rsidP="00005918">
            <w:pPr>
              <w:pStyle w:val="lgende"/>
            </w:pPr>
            <w:r>
              <w:t>Figure 2 : Tuberculose pulmonaire commune. Radiographie de thorax montrant des infiltrats lobaires supérieurs + caverne lobaire supérieure gauche. Scanner thoracique montrant des nodules (flèches noires), des nodules confluents (flèche blanche) et une caverne.</w:t>
            </w:r>
          </w:p>
          <w:p w14:paraId="27F22969" w14:textId="26E8EC91" w:rsidR="00005918" w:rsidRDefault="00005918" w:rsidP="00005918">
            <w:pPr>
              <w:ind w:left="708"/>
              <w:jc w:val="center"/>
            </w:pPr>
            <w:r>
              <w:rPr>
                <w:noProof/>
              </w:rPr>
              <w:drawing>
                <wp:anchor distT="0" distB="0" distL="114300" distR="114300" simplePos="0" relativeHeight="251800576" behindDoc="0" locked="0" layoutInCell="1" allowOverlap="1" wp14:anchorId="7D595ACD" wp14:editId="495A657C">
                  <wp:simplePos x="0" y="0"/>
                  <wp:positionH relativeFrom="column">
                    <wp:posOffset>2646514</wp:posOffset>
                  </wp:positionH>
                  <wp:positionV relativeFrom="paragraph">
                    <wp:posOffset>289642</wp:posOffset>
                  </wp:positionV>
                  <wp:extent cx="2950210" cy="1987550"/>
                  <wp:effectExtent l="0" t="0" r="2540" b="0"/>
                  <wp:wrapSquare wrapText="bothSides"/>
                  <wp:docPr id="28"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rotWithShape="1">
                          <a:blip r:embed="rId17">
                            <a:extLst>
                              <a:ext uri="{28A0092B-C50C-407E-A947-70E740481C1C}">
                                <a14:useLocalDpi xmlns:a14="http://schemas.microsoft.com/office/drawing/2010/main" val="0"/>
                              </a:ext>
                            </a:extLst>
                          </a:blip>
                          <a:srcRect t="59443" r="1023"/>
                          <a:stretch>
                            <a:fillRect/>
                          </a:stretch>
                        </pic:blipFill>
                        <pic:spPr bwMode="auto">
                          <a:xfrm>
                            <a:off x="0" y="0"/>
                            <a:ext cx="2950210" cy="198755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799552" behindDoc="0" locked="0" layoutInCell="1" allowOverlap="1" wp14:anchorId="102B6FF9" wp14:editId="5E07E0EC">
                  <wp:simplePos x="0" y="0"/>
                  <wp:positionH relativeFrom="column">
                    <wp:posOffset>5880</wp:posOffset>
                  </wp:positionH>
                  <wp:positionV relativeFrom="paragraph">
                    <wp:posOffset>59469</wp:posOffset>
                  </wp:positionV>
                  <wp:extent cx="2592125" cy="2560320"/>
                  <wp:effectExtent l="0" t="0" r="0" b="0"/>
                  <wp:wrapSquare wrapText="bothSides"/>
                  <wp:docPr id="168530271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rotWithShape="1">
                          <a:blip r:embed="rId17">
                            <a:extLst>
                              <a:ext uri="{28A0092B-C50C-407E-A947-70E740481C1C}">
                                <a14:useLocalDpi xmlns:a14="http://schemas.microsoft.com/office/drawing/2010/main" val="0"/>
                              </a:ext>
                            </a:extLst>
                          </a:blip>
                          <a:srcRect r="1660" b="40923"/>
                          <a:stretch>
                            <a:fillRect/>
                          </a:stretch>
                        </pic:blipFill>
                        <pic:spPr bwMode="auto">
                          <a:xfrm>
                            <a:off x="0" y="0"/>
                            <a:ext cx="2592125" cy="2560320"/>
                          </a:xfrm>
                          <a:prstGeom prst="rect">
                            <a:avLst/>
                          </a:prstGeom>
                          <a:ln>
                            <a:noFill/>
                          </a:ln>
                          <a:extLst>
                            <a:ext uri="{53640926-AAD7-44D8-BBD7-CCE9431645EC}">
                              <a14:shadowObscured xmlns:a14="http://schemas.microsoft.com/office/drawing/2010/main"/>
                            </a:ext>
                          </a:extLst>
                        </pic:spPr>
                      </pic:pic>
                    </a:graphicData>
                  </a:graphic>
                </wp:anchor>
              </w:drawing>
            </w:r>
          </w:p>
          <w:p w14:paraId="06174FA4" w14:textId="36E91575" w:rsidR="00005918" w:rsidRDefault="00005918" w:rsidP="00005918">
            <w:pPr>
              <w:pStyle w:val="lgende"/>
            </w:pPr>
          </w:p>
        </w:tc>
      </w:tr>
      <w:tr w:rsidR="00005918" w14:paraId="5B0939E6" w14:textId="77777777" w:rsidTr="00005918">
        <w:tc>
          <w:tcPr>
            <w:tcW w:w="4531" w:type="dxa"/>
          </w:tcPr>
          <w:p w14:paraId="5EDF9573" w14:textId="6147205A" w:rsidR="00005918" w:rsidRDefault="00005918" w:rsidP="00005918">
            <w:pPr>
              <w:pStyle w:val="lgende"/>
            </w:pPr>
            <w:r>
              <w:t>Figure 3 : Tuberculose pulmonaire commune. Nodules, infiltrats et caverne (flèche) lobaires supérieurs droits.</w:t>
            </w:r>
          </w:p>
          <w:p w14:paraId="3666A68D" w14:textId="00B1127D" w:rsidR="00005918" w:rsidRDefault="00005918" w:rsidP="00005918">
            <w:pPr>
              <w:ind w:left="1080" w:hanging="1080"/>
              <w:jc w:val="center"/>
            </w:pPr>
            <w:r>
              <w:rPr>
                <w:noProof/>
              </w:rPr>
              <w:drawing>
                <wp:inline distT="0" distB="0" distL="0" distR="0" wp14:anchorId="26D3F087" wp14:editId="58674857">
                  <wp:extent cx="2512612" cy="2560668"/>
                  <wp:effectExtent l="0" t="0" r="2540" b="0"/>
                  <wp:docPr id="30"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8"/>
                          <a:srcRect/>
                          <a:stretch>
                            <a:fillRect/>
                          </a:stretch>
                        </pic:blipFill>
                        <pic:spPr>
                          <a:xfrm>
                            <a:off x="0" y="0"/>
                            <a:ext cx="2531329" cy="2579743"/>
                          </a:xfrm>
                          <a:prstGeom prst="rect">
                            <a:avLst/>
                          </a:prstGeom>
                          <a:ln/>
                        </pic:spPr>
                      </pic:pic>
                    </a:graphicData>
                  </a:graphic>
                </wp:inline>
              </w:drawing>
            </w:r>
          </w:p>
        </w:tc>
        <w:tc>
          <w:tcPr>
            <w:tcW w:w="4531" w:type="dxa"/>
          </w:tcPr>
          <w:p w14:paraId="38830E28" w14:textId="694C02F2" w:rsidR="00005918" w:rsidRDefault="00005918" w:rsidP="00005918">
            <w:pPr>
              <w:pStyle w:val="lgende"/>
            </w:pPr>
            <w:r>
              <w:t>Figure 4 : Tuberculose pulmonaire commune. Nodule de l’apex droit (</w:t>
            </w:r>
            <w:proofErr w:type="spellStart"/>
            <w:r>
              <w:t>rx</w:t>
            </w:r>
            <w:proofErr w:type="spellEnd"/>
            <w:r>
              <w:t>) ; infiltrat lobaire supérieur droit (scanner).</w:t>
            </w:r>
          </w:p>
          <w:p w14:paraId="28E2656D" w14:textId="77777777" w:rsidR="00005918" w:rsidRDefault="00005918" w:rsidP="00005918">
            <w:pPr>
              <w:jc w:val="center"/>
            </w:pPr>
            <w:r>
              <w:rPr>
                <w:noProof/>
              </w:rPr>
              <w:drawing>
                <wp:inline distT="0" distB="0" distL="0" distR="0" wp14:anchorId="4C4B8632" wp14:editId="08680F39">
                  <wp:extent cx="1759585" cy="2835275"/>
                  <wp:effectExtent l="0" t="0" r="0" b="0"/>
                  <wp:docPr id="29"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9"/>
                          <a:srcRect/>
                          <a:stretch>
                            <a:fillRect/>
                          </a:stretch>
                        </pic:blipFill>
                        <pic:spPr>
                          <a:xfrm>
                            <a:off x="0" y="0"/>
                            <a:ext cx="1759585" cy="2835275"/>
                          </a:xfrm>
                          <a:prstGeom prst="rect">
                            <a:avLst/>
                          </a:prstGeom>
                          <a:ln/>
                        </pic:spPr>
                      </pic:pic>
                    </a:graphicData>
                  </a:graphic>
                </wp:inline>
              </w:drawing>
            </w:r>
            <w:r>
              <w:t xml:space="preserve"> </w:t>
            </w:r>
          </w:p>
          <w:p w14:paraId="1B104A90" w14:textId="5F9316E6" w:rsidR="00005918" w:rsidRDefault="00005918" w:rsidP="00005918">
            <w:pPr>
              <w:jc w:val="center"/>
            </w:pPr>
            <w:r>
              <w:rPr>
                <w:noProof/>
              </w:rPr>
              <w:lastRenderedPageBreak/>
              <w:drawing>
                <wp:inline distT="0" distB="0" distL="0" distR="0" wp14:anchorId="1B1CB621" wp14:editId="57A0314E">
                  <wp:extent cx="2647784" cy="2442635"/>
                  <wp:effectExtent l="0" t="0" r="635" b="0"/>
                  <wp:docPr id="32"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0"/>
                          <a:srcRect/>
                          <a:stretch>
                            <a:fillRect/>
                          </a:stretch>
                        </pic:blipFill>
                        <pic:spPr>
                          <a:xfrm>
                            <a:off x="0" y="0"/>
                            <a:ext cx="2656328" cy="2450517"/>
                          </a:xfrm>
                          <a:prstGeom prst="rect">
                            <a:avLst/>
                          </a:prstGeom>
                          <a:ln/>
                        </pic:spPr>
                      </pic:pic>
                    </a:graphicData>
                  </a:graphic>
                </wp:inline>
              </w:drawing>
            </w:r>
          </w:p>
        </w:tc>
      </w:tr>
    </w:tbl>
    <w:p w14:paraId="15E8B71F" w14:textId="77777777" w:rsidR="003208BA" w:rsidRDefault="003208BA" w:rsidP="00005918">
      <w:pPr>
        <w:spacing w:line="240" w:lineRule="auto"/>
      </w:pPr>
    </w:p>
    <w:p w14:paraId="1BC5CC3F" w14:textId="77777777" w:rsidR="003208BA" w:rsidRDefault="003208BA" w:rsidP="00742634">
      <w:pPr>
        <w:pStyle w:val="Titre3"/>
      </w:pPr>
      <w:r>
        <w:t>Formes intrathoracique 2 : miliaire tuberculeuse</w:t>
      </w:r>
    </w:p>
    <w:p w14:paraId="0E395845" w14:textId="77777777" w:rsidR="003208BA" w:rsidRDefault="003208BA" w:rsidP="00742634">
      <w:pPr>
        <w:spacing w:line="276" w:lineRule="auto"/>
      </w:pPr>
      <w:r>
        <w:t>Il ne s’agit pas à proprement parler d’une forme pulmonaire de la TM, mais bien d’une forme disséminée, généralisée, mise en évidence sur l’imagerie thoracique. Le poumon, ainsi que beaucoup d’autres organes, sont ici atteints, d’où la sévérité de cette forme de TM, qui doit être rapidement prise en charge.</w:t>
      </w:r>
    </w:p>
    <w:p w14:paraId="48FBF834" w14:textId="77777777" w:rsidR="003208BA" w:rsidRDefault="003208BA" w:rsidP="00742634">
      <w:pPr>
        <w:spacing w:line="276" w:lineRule="auto"/>
      </w:pPr>
    </w:p>
    <w:p w14:paraId="056DB205" w14:textId="77777777" w:rsidR="003208BA" w:rsidRDefault="003208BA" w:rsidP="00742634">
      <w:pPr>
        <w:spacing w:line="276" w:lineRule="auto"/>
      </w:pPr>
      <w:r>
        <w:t>Physiopathologie :</w:t>
      </w:r>
    </w:p>
    <w:p w14:paraId="5C531619" w14:textId="77777777" w:rsidR="003208BA" w:rsidRDefault="003208BA" w:rsidP="00742634">
      <w:pPr>
        <w:spacing w:line="276" w:lineRule="auto"/>
      </w:pPr>
      <w:r>
        <w:t xml:space="preserve">- Dissémination </w:t>
      </w:r>
      <w:r>
        <w:rPr>
          <w:b/>
          <w:bCs/>
        </w:rPr>
        <w:t>hématogène</w:t>
      </w:r>
      <w:r>
        <w:t xml:space="preserve"> dans les deux champs pulmonaires, mais aussi vers d’autres organes.</w:t>
      </w:r>
    </w:p>
    <w:p w14:paraId="7A83A454" w14:textId="77777777" w:rsidR="003208BA" w:rsidRDefault="003208BA" w:rsidP="00742634">
      <w:pPr>
        <w:spacing w:line="276" w:lineRule="auto"/>
      </w:pPr>
      <w:r>
        <w:t>- Soit lors de la phase de bacillémie initiale.</w:t>
      </w:r>
    </w:p>
    <w:p w14:paraId="27443642" w14:textId="77777777" w:rsidR="003208BA" w:rsidRDefault="003208BA" w:rsidP="00742634">
      <w:pPr>
        <w:spacing w:line="276" w:lineRule="auto"/>
      </w:pPr>
      <w:r>
        <w:t>- Ou par érosion vasculaire à partir d’un foyer de nécrose caséeuse.</w:t>
      </w:r>
    </w:p>
    <w:p w14:paraId="7EE252AC" w14:textId="77777777" w:rsidR="003208BA" w:rsidRDefault="003208BA" w:rsidP="003208BA">
      <w:pPr>
        <w:spacing w:line="240" w:lineRule="auto"/>
      </w:pPr>
    </w:p>
    <w:p w14:paraId="4B8A8260" w14:textId="77777777" w:rsidR="003208BA" w:rsidRDefault="003208BA" w:rsidP="00742634">
      <w:pPr>
        <w:spacing w:line="276" w:lineRule="auto"/>
        <w:rPr>
          <w:b/>
          <w:bCs/>
        </w:rPr>
      </w:pPr>
      <w:r>
        <w:rPr>
          <w:b/>
          <w:bCs/>
        </w:rPr>
        <w:t>EXAMEN CLINIQUE ET RADIOLOGIQUE</w:t>
      </w:r>
    </w:p>
    <w:p w14:paraId="1BB87A50" w14:textId="77777777" w:rsidR="003208BA" w:rsidRDefault="003208BA" w:rsidP="00742634">
      <w:pPr>
        <w:spacing w:line="276" w:lineRule="auto"/>
      </w:pPr>
      <w:r>
        <w:t>Clinique : AEG marquée, souvent fébrile, chez un patient parfois dyspnéique. Évolution souvent rapidement défavorable.</w:t>
      </w:r>
    </w:p>
    <w:p w14:paraId="0F3915F3" w14:textId="5E5C6524" w:rsidR="003208BA" w:rsidRDefault="003208BA" w:rsidP="00742634">
      <w:pPr>
        <w:spacing w:line="276" w:lineRule="auto"/>
      </w:pPr>
    </w:p>
    <w:p w14:paraId="1C0BB850" w14:textId="19A10C18" w:rsidR="003208BA" w:rsidRDefault="00742634" w:rsidP="00742634">
      <w:pPr>
        <w:spacing w:line="276" w:lineRule="auto"/>
        <w:rPr>
          <w:color w:val="0070C0"/>
        </w:rPr>
      </w:pPr>
      <w:r>
        <w:rPr>
          <w:noProof/>
        </w:rPr>
        <w:drawing>
          <wp:anchor distT="0" distB="0" distL="114300" distR="114300" simplePos="0" relativeHeight="251782144" behindDoc="0" locked="0" layoutInCell="1" hidden="0" allowOverlap="1" wp14:anchorId="4EF776A0" wp14:editId="5511F246">
            <wp:simplePos x="0" y="0"/>
            <wp:positionH relativeFrom="column">
              <wp:posOffset>-260985</wp:posOffset>
            </wp:positionH>
            <wp:positionV relativeFrom="paragraph">
              <wp:posOffset>-635</wp:posOffset>
            </wp:positionV>
            <wp:extent cx="153670" cy="137160"/>
            <wp:effectExtent l="0" t="0" r="0" b="0"/>
            <wp:wrapSquare wrapText="bothSides" distT="0" distB="0" distL="114300" distR="11430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3208BA">
        <w:rPr>
          <w:color w:val="0070C0"/>
        </w:rPr>
        <w:t>Radiographie thoracique : Pneumopathie interstitielle diffuse micronodulaire (petits «</w:t>
      </w:r>
      <w:r w:rsidR="003208BA">
        <w:rPr>
          <w:rFonts w:ascii="Arial" w:eastAsia="Arial" w:hAnsi="Arial" w:cs="Arial"/>
          <w:color w:val="0070C0"/>
        </w:rPr>
        <w:t> </w:t>
      </w:r>
      <w:r w:rsidR="003208BA">
        <w:rPr>
          <w:color w:val="0070C0"/>
        </w:rPr>
        <w:t>grains de mil</w:t>
      </w:r>
      <w:r w:rsidR="003208BA">
        <w:rPr>
          <w:rFonts w:ascii="Arial" w:eastAsia="Arial" w:hAnsi="Arial" w:cs="Arial"/>
          <w:color w:val="0070C0"/>
        </w:rPr>
        <w:t> </w:t>
      </w:r>
      <w:r w:rsidR="003208BA">
        <w:rPr>
          <w:color w:val="0070C0"/>
        </w:rPr>
        <w:t>») touchant l’ensemble des deux poumons (figure 5) avec parfois des lésions macro-nodulaires dans les formes évoluées.</w:t>
      </w:r>
    </w:p>
    <w:p w14:paraId="08AA8EE9" w14:textId="77777777" w:rsidR="003208BA" w:rsidRDefault="003208BA" w:rsidP="00742634">
      <w:pPr>
        <w:spacing w:line="276" w:lineRule="auto"/>
      </w:pPr>
    </w:p>
    <w:p w14:paraId="12393CD1" w14:textId="77777777" w:rsidR="003208BA" w:rsidRDefault="003208BA" w:rsidP="00742634">
      <w:pPr>
        <w:spacing w:line="276" w:lineRule="auto"/>
      </w:pPr>
      <w:r>
        <w:t>Penser à envoyer tout prélèvement réalisé au laboratoire de mycobactériologie (incluant urines, selles, LCR, biopsie d’organe, hémocultures spécifiques…).</w:t>
      </w:r>
    </w:p>
    <w:p w14:paraId="38DECBEF" w14:textId="77777777" w:rsidR="003208BA" w:rsidRDefault="003208BA" w:rsidP="00742634">
      <w:pPr>
        <w:spacing w:line="276" w:lineRule="auto"/>
      </w:pPr>
    </w:p>
    <w:p w14:paraId="56425788" w14:textId="77777777" w:rsidR="003208BA" w:rsidRDefault="003208BA" w:rsidP="003208BA">
      <w:pPr>
        <w:spacing w:line="240" w:lineRule="auto"/>
      </w:pPr>
    </w:p>
    <w:p w14:paraId="4A24CFBA" w14:textId="77777777" w:rsidR="003208BA" w:rsidRDefault="003208BA" w:rsidP="003208BA">
      <w:pPr>
        <w:spacing w:line="240" w:lineRule="auto"/>
      </w:pPr>
      <w:r>
        <w:br w:type="page"/>
      </w:r>
    </w:p>
    <w:p w14:paraId="0141EBD0" w14:textId="77777777" w:rsidR="003208BA" w:rsidRDefault="003208BA" w:rsidP="00742634">
      <w:pPr>
        <w:pStyle w:val="lgende"/>
      </w:pPr>
      <w:r>
        <w:lastRenderedPageBreak/>
        <w:t>Figure 5 : Miliaire tuberculeuse.</w:t>
      </w:r>
    </w:p>
    <w:p w14:paraId="59004ADA" w14:textId="77777777" w:rsidR="003208BA" w:rsidRDefault="003208BA" w:rsidP="003208BA">
      <w:pPr>
        <w:spacing w:line="240" w:lineRule="auto"/>
        <w:jc w:val="center"/>
      </w:pPr>
      <w:r>
        <w:rPr>
          <w:noProof/>
        </w:rPr>
        <w:drawing>
          <wp:inline distT="0" distB="0" distL="0" distR="0" wp14:anchorId="2E815D8C" wp14:editId="33EE85A6">
            <wp:extent cx="5132705" cy="3749675"/>
            <wp:effectExtent l="0" t="0" r="0" b="0"/>
            <wp:docPr id="31"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1"/>
                    <a:srcRect/>
                    <a:stretch>
                      <a:fillRect/>
                    </a:stretch>
                  </pic:blipFill>
                  <pic:spPr>
                    <a:xfrm>
                      <a:off x="0" y="0"/>
                      <a:ext cx="5132705" cy="3749675"/>
                    </a:xfrm>
                    <a:prstGeom prst="rect">
                      <a:avLst/>
                    </a:prstGeom>
                    <a:ln/>
                  </pic:spPr>
                </pic:pic>
              </a:graphicData>
            </a:graphic>
          </wp:inline>
        </w:drawing>
      </w:r>
    </w:p>
    <w:p w14:paraId="7B446130" w14:textId="77777777" w:rsidR="003208BA" w:rsidRDefault="003208BA" w:rsidP="003208BA">
      <w:pPr>
        <w:spacing w:line="240" w:lineRule="auto"/>
        <w:jc w:val="center"/>
      </w:pPr>
    </w:p>
    <w:p w14:paraId="09516B7F" w14:textId="77777777" w:rsidR="003208BA" w:rsidRDefault="003208BA" w:rsidP="00742634">
      <w:pPr>
        <w:pStyle w:val="Titre3"/>
      </w:pPr>
      <w:r>
        <w:t>Formes intrathoracique 3 : pleurésie tuberculeuse</w:t>
      </w:r>
      <w:r>
        <w:rPr>
          <w:noProof/>
        </w:rPr>
        <w:drawing>
          <wp:anchor distT="0" distB="0" distL="114300" distR="114300" simplePos="0" relativeHeight="251783168" behindDoc="0" locked="0" layoutInCell="1" hidden="0" allowOverlap="1" wp14:anchorId="6089F736" wp14:editId="27DDBE84">
            <wp:simplePos x="0" y="0"/>
            <wp:positionH relativeFrom="column">
              <wp:posOffset>-247649</wp:posOffset>
            </wp:positionH>
            <wp:positionV relativeFrom="paragraph">
              <wp:posOffset>285750</wp:posOffset>
            </wp:positionV>
            <wp:extent cx="153670" cy="137160"/>
            <wp:effectExtent l="0" t="0" r="0" b="0"/>
            <wp:wrapSquare wrapText="bothSides" distT="0" distB="0" distL="114300" distR="11430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395A0C2" w14:textId="77777777" w:rsidR="003208BA" w:rsidRDefault="003208BA" w:rsidP="00742634">
      <w:pPr>
        <w:spacing w:line="276" w:lineRule="auto"/>
        <w:rPr>
          <w:color w:val="0070C0"/>
        </w:rPr>
      </w:pPr>
      <w:r>
        <w:rPr>
          <w:color w:val="0070C0"/>
        </w:rPr>
        <w:t>- Secondaire à l’effraction d’un foyer parenchymateux sous-pleural souvent infra-radiologique.</w:t>
      </w:r>
    </w:p>
    <w:p w14:paraId="6E45001A" w14:textId="77777777" w:rsidR="003208BA" w:rsidRDefault="003208BA" w:rsidP="00742634">
      <w:pPr>
        <w:spacing w:line="276" w:lineRule="auto"/>
      </w:pPr>
      <w:r>
        <w:t>- Épanchement pleural liquidien en général unilatéral.</w:t>
      </w:r>
    </w:p>
    <w:p w14:paraId="6821C62D" w14:textId="77777777" w:rsidR="003208BA" w:rsidRDefault="003208BA" w:rsidP="00742634">
      <w:pPr>
        <w:spacing w:line="276" w:lineRule="auto"/>
      </w:pPr>
      <w:r>
        <w:t>- Pleurésie typiquement exsudative et lymphocytaire (cf. item 206).</w:t>
      </w:r>
    </w:p>
    <w:p w14:paraId="72BC995E" w14:textId="77777777" w:rsidR="003208BA" w:rsidRDefault="003208BA" w:rsidP="00742634">
      <w:pPr>
        <w:spacing w:line="276" w:lineRule="auto"/>
      </w:pPr>
    </w:p>
    <w:p w14:paraId="48549000" w14:textId="77777777" w:rsidR="003208BA" w:rsidRDefault="003208BA" w:rsidP="00742634">
      <w:pPr>
        <w:spacing w:line="276" w:lineRule="auto"/>
        <w:rPr>
          <w:b/>
          <w:bCs/>
        </w:rPr>
      </w:pPr>
      <w:r>
        <w:rPr>
          <w:b/>
          <w:bCs/>
        </w:rPr>
        <w:t>EXAMEN CLINIQUE ET RADIOLOGIQUE</w:t>
      </w:r>
    </w:p>
    <w:p w14:paraId="6F253CB8" w14:textId="77777777" w:rsidR="003208BA" w:rsidRDefault="003208BA" w:rsidP="00742634">
      <w:pPr>
        <w:spacing w:line="276" w:lineRule="auto"/>
      </w:pPr>
      <w:r>
        <w:t>Aspect clinique et radiologique non spécifique.</w:t>
      </w:r>
    </w:p>
    <w:p w14:paraId="02974E31" w14:textId="77777777" w:rsidR="003208BA" w:rsidRDefault="003208BA" w:rsidP="00742634">
      <w:pPr>
        <w:spacing w:line="276" w:lineRule="auto"/>
      </w:pPr>
      <w:r>
        <w:t>Diagnostic :</w:t>
      </w:r>
    </w:p>
    <w:p w14:paraId="019F5E49" w14:textId="77777777" w:rsidR="003208BA" w:rsidRDefault="003208BA" w:rsidP="00742634">
      <w:pPr>
        <w:spacing w:line="276" w:lineRule="auto"/>
      </w:pPr>
      <w:r>
        <w:t>- Bactériologie : examen direct positif dans moins de 10 % des cas, culture du liquide pleural ou d’une biopsie pleurale positives dans environ 30 %.</w:t>
      </w:r>
    </w:p>
    <w:p w14:paraId="59F0B7A4" w14:textId="77777777" w:rsidR="003208BA" w:rsidRDefault="003208BA" w:rsidP="00742634">
      <w:pPr>
        <w:spacing w:line="276" w:lineRule="auto"/>
      </w:pPr>
      <w:r>
        <w:t>- Anatomopathologie des biopsies pleurales, à l’aveugle, positive dans plus de 80 % des cas.</w:t>
      </w:r>
    </w:p>
    <w:p w14:paraId="02C1E3FF" w14:textId="77777777" w:rsidR="003208BA" w:rsidRDefault="003208BA" w:rsidP="00742634">
      <w:pPr>
        <w:spacing w:line="276" w:lineRule="auto"/>
      </w:pPr>
    </w:p>
    <w:p w14:paraId="635450B4" w14:textId="77777777" w:rsidR="003208BA" w:rsidRDefault="003208BA" w:rsidP="00742634">
      <w:pPr>
        <w:pStyle w:val="Titre3"/>
      </w:pPr>
      <w:r>
        <w:t>Formes intrathoracique 4 : pneumonie aiguë tuberculeuse</w:t>
      </w:r>
    </w:p>
    <w:p w14:paraId="34A8E388" w14:textId="77777777" w:rsidR="003208BA" w:rsidRDefault="003208BA" w:rsidP="00742634">
      <w:pPr>
        <w:spacing w:line="276" w:lineRule="auto"/>
      </w:pPr>
      <w:r>
        <w:t>Forme aiguë rare liée à l’ensemencement massif de MTBC dans le parenchyme pulmonaire sain à partir d’une lésion excavée, associée à une réaction inflammatoire intense.</w:t>
      </w:r>
    </w:p>
    <w:p w14:paraId="4E2DB697" w14:textId="77777777" w:rsidR="003208BA" w:rsidRDefault="003208BA" w:rsidP="00742634">
      <w:pPr>
        <w:spacing w:line="276" w:lineRule="auto"/>
      </w:pPr>
      <w:r>
        <w:t>Tableau radiologique comparable à celui d’une pneumopathie aiguë communautaire (figure 6) avec parfois présence de petites excavations au sein du foyer de condensation.</w:t>
      </w:r>
    </w:p>
    <w:p w14:paraId="4AC2A50F" w14:textId="77777777" w:rsidR="003208BA" w:rsidRDefault="003208BA" w:rsidP="00742634">
      <w:pPr>
        <w:spacing w:line="276" w:lineRule="auto"/>
      </w:pPr>
    </w:p>
    <w:p w14:paraId="05931F6B" w14:textId="77777777" w:rsidR="008E5074" w:rsidRDefault="008E5074">
      <w:pPr>
        <w:spacing w:after="160"/>
        <w:jc w:val="left"/>
        <w:rPr>
          <w:rFonts w:ascii="Arial" w:eastAsia="Arial" w:hAnsi="Arial" w:cs="Arial"/>
          <w:sz w:val="18"/>
          <w:szCs w:val="18"/>
        </w:rPr>
      </w:pPr>
      <w:r>
        <w:br w:type="page"/>
      </w:r>
    </w:p>
    <w:p w14:paraId="2D8A1A98" w14:textId="7828F9F3" w:rsidR="003208BA" w:rsidRDefault="003208BA" w:rsidP="008E5074">
      <w:pPr>
        <w:pStyle w:val="lgende"/>
      </w:pPr>
      <w:r>
        <w:lastRenderedPageBreak/>
        <w:t>Figure 6 : Pneumonie aiguë tuberculeuse (lingula).</w:t>
      </w:r>
    </w:p>
    <w:p w14:paraId="262AF889" w14:textId="77777777" w:rsidR="003208BA" w:rsidRDefault="003208BA" w:rsidP="003208BA">
      <w:pPr>
        <w:spacing w:line="240" w:lineRule="auto"/>
        <w:ind w:left="360"/>
        <w:jc w:val="center"/>
      </w:pPr>
      <w:r>
        <w:rPr>
          <w:noProof/>
        </w:rPr>
        <w:drawing>
          <wp:inline distT="0" distB="0" distL="0" distR="0" wp14:anchorId="00E29703" wp14:editId="0FC80564">
            <wp:extent cx="3726815" cy="3406720"/>
            <wp:effectExtent l="0" t="0" r="0" b="0"/>
            <wp:docPr id="33"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2"/>
                    <a:srcRect b="20402"/>
                    <a:stretch>
                      <a:fillRect/>
                    </a:stretch>
                  </pic:blipFill>
                  <pic:spPr>
                    <a:xfrm>
                      <a:off x="0" y="0"/>
                      <a:ext cx="3726815" cy="3406720"/>
                    </a:xfrm>
                    <a:prstGeom prst="rect">
                      <a:avLst/>
                    </a:prstGeom>
                    <a:ln/>
                  </pic:spPr>
                </pic:pic>
              </a:graphicData>
            </a:graphic>
          </wp:inline>
        </w:drawing>
      </w:r>
    </w:p>
    <w:p w14:paraId="598D65E7" w14:textId="77777777" w:rsidR="003208BA" w:rsidRDefault="003208BA" w:rsidP="003208BA">
      <w:pPr>
        <w:spacing w:line="240" w:lineRule="auto"/>
        <w:ind w:left="360"/>
        <w:jc w:val="center"/>
      </w:pPr>
    </w:p>
    <w:p w14:paraId="208B295C" w14:textId="20E12243" w:rsidR="003208BA" w:rsidRDefault="00742634" w:rsidP="00742634">
      <w:pPr>
        <w:pStyle w:val="Titre3"/>
      </w:pPr>
      <w:r>
        <w:rPr>
          <w:noProof/>
        </w:rPr>
        <w:drawing>
          <wp:anchor distT="0" distB="0" distL="114300" distR="114300" simplePos="0" relativeHeight="251784192" behindDoc="0" locked="0" layoutInCell="1" hidden="0" allowOverlap="1" wp14:anchorId="078382C2" wp14:editId="17A5D4FE">
            <wp:simplePos x="0" y="0"/>
            <wp:positionH relativeFrom="column">
              <wp:posOffset>-266396</wp:posOffset>
            </wp:positionH>
            <wp:positionV relativeFrom="paragraph">
              <wp:posOffset>311150</wp:posOffset>
            </wp:positionV>
            <wp:extent cx="153670" cy="137160"/>
            <wp:effectExtent l="0" t="0" r="0" b="0"/>
            <wp:wrapSquare wrapText="bothSides" distT="0" distB="0" distL="114300" distR="114300"/>
            <wp:docPr id="2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3208BA">
        <w:t>Formes intrathoracique 5 : séquelles des formes pulmonaires de la TM</w:t>
      </w:r>
    </w:p>
    <w:p w14:paraId="15BE6B1E" w14:textId="0467E5A2" w:rsidR="003208BA" w:rsidRDefault="003208BA" w:rsidP="00742634">
      <w:pPr>
        <w:spacing w:line="276" w:lineRule="auto"/>
        <w:rPr>
          <w:color w:val="0070C0"/>
        </w:rPr>
      </w:pPr>
      <w:r>
        <w:rPr>
          <w:color w:val="0070C0"/>
        </w:rPr>
        <w:t>À distance, possibilité de lésions séquellaires à type de :</w:t>
      </w:r>
    </w:p>
    <w:p w14:paraId="45201652" w14:textId="77777777" w:rsidR="003208BA" w:rsidRDefault="003208BA" w:rsidP="00742634">
      <w:pPr>
        <w:spacing w:line="276" w:lineRule="auto"/>
        <w:rPr>
          <w:color w:val="0070C0"/>
        </w:rPr>
      </w:pPr>
      <w:r>
        <w:rPr>
          <w:color w:val="0070C0"/>
        </w:rPr>
        <w:t>- Lésions fibreuses rétractiles.</w:t>
      </w:r>
    </w:p>
    <w:p w14:paraId="7B051902" w14:textId="77777777" w:rsidR="003208BA" w:rsidRDefault="003208BA" w:rsidP="00742634">
      <w:pPr>
        <w:spacing w:line="276" w:lineRule="auto"/>
        <w:rPr>
          <w:color w:val="0070C0"/>
        </w:rPr>
      </w:pPr>
      <w:r>
        <w:rPr>
          <w:color w:val="0070C0"/>
        </w:rPr>
        <w:t>- Dilatations des bronches, à haut risque d’hémoptysie compte tenu d’une hypervascularisation systémique.</w:t>
      </w:r>
    </w:p>
    <w:p w14:paraId="0D9D5E09" w14:textId="77777777" w:rsidR="003208BA" w:rsidRDefault="003208BA" w:rsidP="00742634">
      <w:pPr>
        <w:spacing w:line="276" w:lineRule="auto"/>
        <w:rPr>
          <w:color w:val="0070C0"/>
        </w:rPr>
      </w:pPr>
      <w:r>
        <w:rPr>
          <w:color w:val="0070C0"/>
        </w:rPr>
        <w:t xml:space="preserve">- </w:t>
      </w:r>
      <w:proofErr w:type="spellStart"/>
      <w:r>
        <w:rPr>
          <w:color w:val="0070C0"/>
        </w:rPr>
        <w:t>Aspergillisation</w:t>
      </w:r>
      <w:proofErr w:type="spellEnd"/>
      <w:r>
        <w:rPr>
          <w:color w:val="0070C0"/>
        </w:rPr>
        <w:t> : greffe d’aspergillus au sein d’une caverne résiduelle à risque d’hémoptysie souvent par lésion d’une branche de l’artère pulmonaire.</w:t>
      </w:r>
    </w:p>
    <w:p w14:paraId="692D3FEE" w14:textId="77777777" w:rsidR="003208BA" w:rsidRDefault="003208BA" w:rsidP="00742634">
      <w:pPr>
        <w:spacing w:line="276" w:lineRule="auto"/>
        <w:rPr>
          <w:color w:val="0070C0"/>
        </w:rPr>
      </w:pPr>
      <w:r>
        <w:rPr>
          <w:color w:val="0070C0"/>
        </w:rPr>
        <w:t>- Séquelles de la PIT : «</w:t>
      </w:r>
      <w:r>
        <w:rPr>
          <w:rFonts w:ascii="Arial" w:eastAsia="Arial" w:hAnsi="Arial" w:cs="Arial"/>
          <w:color w:val="0070C0"/>
        </w:rPr>
        <w:t> </w:t>
      </w:r>
      <w:r>
        <w:rPr>
          <w:color w:val="0070C0"/>
        </w:rPr>
        <w:t>chancre d’inoculation</w:t>
      </w:r>
      <w:r>
        <w:rPr>
          <w:rFonts w:ascii="Arial" w:eastAsia="Arial" w:hAnsi="Arial" w:cs="Arial"/>
          <w:color w:val="0070C0"/>
        </w:rPr>
        <w:t> </w:t>
      </w:r>
      <w:r>
        <w:rPr>
          <w:color w:val="0070C0"/>
        </w:rPr>
        <w:t>» calcifié (figure 7).</w:t>
      </w:r>
    </w:p>
    <w:p w14:paraId="07FA844D" w14:textId="77777777" w:rsidR="003208BA" w:rsidRDefault="003208BA" w:rsidP="00742634">
      <w:pPr>
        <w:spacing w:line="276" w:lineRule="auto"/>
        <w:rPr>
          <w:color w:val="0070C0"/>
        </w:rPr>
      </w:pPr>
      <w:r>
        <w:rPr>
          <w:color w:val="0070C0"/>
        </w:rPr>
        <w:t>- Parfois dilatations des bronches du lobe moyen par suite d’une compression bronchique par une adénopathie.</w:t>
      </w:r>
    </w:p>
    <w:p w14:paraId="30B23499" w14:textId="77777777" w:rsidR="003208BA" w:rsidRDefault="003208BA" w:rsidP="00742634">
      <w:pPr>
        <w:spacing w:line="276" w:lineRule="auto"/>
        <w:rPr>
          <w:color w:val="0070C0"/>
        </w:rPr>
      </w:pPr>
    </w:p>
    <w:p w14:paraId="3F989505" w14:textId="77777777" w:rsidR="003208BA" w:rsidRDefault="003208BA" w:rsidP="00742634">
      <w:pPr>
        <w:spacing w:line="276" w:lineRule="auto"/>
        <w:rPr>
          <w:color w:val="0070C0"/>
        </w:rPr>
      </w:pPr>
      <w:r>
        <w:rPr>
          <w:color w:val="0070C0"/>
        </w:rPr>
        <w:t>En cas de doute sur une lésion ou en cas d’hémoptysie, un scanner thoracique doit être réalisé.</w:t>
      </w:r>
    </w:p>
    <w:p w14:paraId="5B99A693" w14:textId="77777777" w:rsidR="003208BA" w:rsidRDefault="003208BA" w:rsidP="00742634">
      <w:pPr>
        <w:spacing w:line="276" w:lineRule="auto"/>
        <w:ind w:left="1077" w:hanging="1077"/>
        <w:rPr>
          <w:color w:val="0070C0"/>
        </w:rPr>
      </w:pPr>
    </w:p>
    <w:p w14:paraId="2F22F6C7" w14:textId="77777777" w:rsidR="008E5074" w:rsidRDefault="008E5074">
      <w:pPr>
        <w:spacing w:after="160"/>
        <w:jc w:val="left"/>
        <w:rPr>
          <w:rFonts w:ascii="Arial" w:eastAsia="Arial" w:hAnsi="Arial" w:cs="Arial"/>
          <w:color w:val="0070C0"/>
          <w:sz w:val="18"/>
          <w:szCs w:val="18"/>
        </w:rPr>
      </w:pPr>
      <w:r>
        <w:rPr>
          <w:color w:val="0070C0"/>
        </w:rPr>
        <w:br w:type="page"/>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8E5074" w14:paraId="4EC2E106" w14:textId="77777777" w:rsidTr="008E5074">
        <w:tc>
          <w:tcPr>
            <w:tcW w:w="9062" w:type="dxa"/>
          </w:tcPr>
          <w:p w14:paraId="27BD9060" w14:textId="4120D537" w:rsidR="008E5074" w:rsidRDefault="008E5074" w:rsidP="008E5074">
            <w:pPr>
              <w:pStyle w:val="lgende"/>
              <w:rPr>
                <w:color w:val="0070C0"/>
              </w:rPr>
            </w:pPr>
            <w:r>
              <w:rPr>
                <w:noProof/>
              </w:rPr>
              <w:lastRenderedPageBreak/>
              <w:drawing>
                <wp:anchor distT="0" distB="0" distL="114300" distR="114300" simplePos="0" relativeHeight="251803648" behindDoc="0" locked="0" layoutInCell="1" hidden="0" allowOverlap="1" wp14:anchorId="3CF4A633" wp14:editId="4A2A932B">
                  <wp:simplePos x="0" y="0"/>
                  <wp:positionH relativeFrom="margin">
                    <wp:align>right</wp:align>
                  </wp:positionH>
                  <wp:positionV relativeFrom="paragraph">
                    <wp:posOffset>327439</wp:posOffset>
                  </wp:positionV>
                  <wp:extent cx="2736000" cy="1656000"/>
                  <wp:effectExtent l="0" t="0" r="7620" b="1905"/>
                  <wp:wrapSquare wrapText="bothSides" distT="0" distB="0" distL="114300" distR="11430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3"/>
                          <a:srcRect t="47479"/>
                          <a:stretch>
                            <a:fillRect/>
                          </a:stretch>
                        </pic:blipFill>
                        <pic:spPr>
                          <a:xfrm>
                            <a:off x="0" y="0"/>
                            <a:ext cx="2736000" cy="1656000"/>
                          </a:xfrm>
                          <a:prstGeom prst="rect">
                            <a:avLst/>
                          </a:prstGeom>
                          <a:ln/>
                        </pic:spPr>
                      </pic:pic>
                    </a:graphicData>
                  </a:graphic>
                  <wp14:sizeRelH relativeFrom="margin">
                    <wp14:pctWidth>0</wp14:pctWidth>
                  </wp14:sizeRelH>
                  <wp14:sizeRelV relativeFrom="margin">
                    <wp14:pctHeight>0</wp14:pctHeight>
                  </wp14:sizeRelV>
                </wp:anchor>
              </w:drawing>
            </w:r>
            <w:r w:rsidRPr="00742634">
              <w:rPr>
                <w:color w:val="0070C0"/>
              </w:rPr>
              <w:t>Figure 7 : Séquelles asymptomatiques : adénopathie calcifiée (</w:t>
            </w:r>
            <w:r w:rsidR="00E811C2">
              <w:rPr>
                <w:color w:val="0070C0"/>
              </w:rPr>
              <w:t>à gauche</w:t>
            </w:r>
            <w:r w:rsidRPr="00742634">
              <w:rPr>
                <w:color w:val="0070C0"/>
              </w:rPr>
              <w:t>) satellite du chancre d’inoculation (foyer primaire), ici sous-pleural (</w:t>
            </w:r>
            <w:r w:rsidR="00E811C2">
              <w:rPr>
                <w:color w:val="0070C0"/>
              </w:rPr>
              <w:t>à droite</w:t>
            </w:r>
            <w:r w:rsidRPr="00742634">
              <w:rPr>
                <w:color w:val="0070C0"/>
              </w:rPr>
              <w:t>).</w:t>
            </w:r>
          </w:p>
          <w:p w14:paraId="1F2AF9EE" w14:textId="2CD5F8FB" w:rsidR="008E5074" w:rsidRDefault="008E5074" w:rsidP="008E5074">
            <w:pPr>
              <w:pStyle w:val="lgende"/>
              <w:rPr>
                <w:color w:val="0070C0"/>
              </w:rPr>
            </w:pPr>
            <w:r>
              <w:rPr>
                <w:noProof/>
              </w:rPr>
              <w:drawing>
                <wp:anchor distT="0" distB="0" distL="114300" distR="114300" simplePos="0" relativeHeight="251802624" behindDoc="0" locked="0" layoutInCell="1" hidden="0" allowOverlap="1" wp14:anchorId="4FF0AED0" wp14:editId="0BAF60B2">
                  <wp:simplePos x="0" y="0"/>
                  <wp:positionH relativeFrom="margin">
                    <wp:align>left</wp:align>
                  </wp:positionH>
                  <wp:positionV relativeFrom="paragraph">
                    <wp:posOffset>46493</wp:posOffset>
                  </wp:positionV>
                  <wp:extent cx="2736000" cy="1656000"/>
                  <wp:effectExtent l="0" t="0" r="7620" b="1905"/>
                  <wp:wrapSquare wrapText="bothSides" distT="0" distB="0" distL="114300" distR="114300"/>
                  <wp:docPr id="2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3"/>
                          <a:srcRect b="53023"/>
                          <a:stretch>
                            <a:fillRect/>
                          </a:stretch>
                        </pic:blipFill>
                        <pic:spPr>
                          <a:xfrm>
                            <a:off x="0" y="0"/>
                            <a:ext cx="2736000" cy="1656000"/>
                          </a:xfrm>
                          <a:prstGeom prst="rect">
                            <a:avLst/>
                          </a:prstGeom>
                          <a:ln/>
                        </pic:spPr>
                      </pic:pic>
                    </a:graphicData>
                  </a:graphic>
                  <wp14:sizeRelH relativeFrom="margin">
                    <wp14:pctWidth>0</wp14:pctWidth>
                  </wp14:sizeRelH>
                  <wp14:sizeRelV relativeFrom="margin">
                    <wp14:pctHeight>0</wp14:pctHeight>
                  </wp14:sizeRelV>
                </wp:anchor>
              </w:drawing>
            </w:r>
          </w:p>
        </w:tc>
      </w:tr>
    </w:tbl>
    <w:p w14:paraId="7E952A89" w14:textId="77777777" w:rsidR="003208BA" w:rsidRDefault="003208BA" w:rsidP="008E5074">
      <w:pPr>
        <w:spacing w:line="240" w:lineRule="auto"/>
        <w:rPr>
          <w:b/>
          <w:bCs/>
        </w:rPr>
      </w:pPr>
    </w:p>
    <w:p w14:paraId="5C8927CB" w14:textId="77777777" w:rsidR="00742634" w:rsidRPr="00742634" w:rsidRDefault="00742634">
      <w:pPr>
        <w:pStyle w:val="Paragraphedeliste"/>
        <w:numPr>
          <w:ilvl w:val="0"/>
          <w:numId w:val="34"/>
        </w:numPr>
        <w:spacing w:after="240"/>
        <w:rPr>
          <w:b/>
          <w:bCs/>
          <w:vanish/>
        </w:rPr>
      </w:pPr>
    </w:p>
    <w:p w14:paraId="3B8DD2F7" w14:textId="7E534BA0" w:rsidR="003208BA" w:rsidRPr="00742634" w:rsidRDefault="003208BA">
      <w:pPr>
        <w:pStyle w:val="1titre"/>
        <w:numPr>
          <w:ilvl w:val="0"/>
          <w:numId w:val="34"/>
        </w:numPr>
        <w:rPr>
          <w:i/>
          <w:iCs/>
        </w:rPr>
      </w:pPr>
      <w:r>
        <w:t xml:space="preserve">Formes extra-thoraciques de la tuberculose maladie </w:t>
      </w:r>
      <w:r>
        <w:rPr>
          <w:noProof/>
        </w:rPr>
        <w:drawing>
          <wp:anchor distT="0" distB="0" distL="114300" distR="114300" simplePos="0" relativeHeight="251787264" behindDoc="0" locked="0" layoutInCell="1" hidden="0" allowOverlap="1" wp14:anchorId="7E6DA67C" wp14:editId="4F98ED97">
            <wp:simplePos x="0" y="0"/>
            <wp:positionH relativeFrom="column">
              <wp:posOffset>-248919</wp:posOffset>
            </wp:positionH>
            <wp:positionV relativeFrom="paragraph">
              <wp:posOffset>304165</wp:posOffset>
            </wp:positionV>
            <wp:extent cx="153670" cy="137160"/>
            <wp:effectExtent l="0" t="0" r="0" b="0"/>
            <wp:wrapSquare wrapText="bothSides" distT="0" distB="0" distL="114300" distR="11430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4AE317AF" w14:textId="77777777" w:rsidR="003208BA" w:rsidRDefault="003208BA" w:rsidP="00742634">
      <w:pPr>
        <w:spacing w:line="276" w:lineRule="auto"/>
        <w:rPr>
          <w:color w:val="0070C0"/>
        </w:rPr>
      </w:pPr>
      <w:r>
        <w:rPr>
          <w:color w:val="0070C0"/>
        </w:rPr>
        <w:t>Moins fréquentes que les formes pulmonaires.</w:t>
      </w:r>
    </w:p>
    <w:p w14:paraId="05107922" w14:textId="77777777" w:rsidR="003208BA" w:rsidRDefault="003208BA" w:rsidP="00742634">
      <w:pPr>
        <w:spacing w:line="276" w:lineRule="auto"/>
        <w:rPr>
          <w:color w:val="0070C0"/>
        </w:rPr>
      </w:pPr>
      <w:r>
        <w:rPr>
          <w:color w:val="0070C0"/>
        </w:rPr>
        <w:t>Peuvent toucher tous les organes et en particulier :</w:t>
      </w:r>
    </w:p>
    <w:p w14:paraId="6403B7AF" w14:textId="77777777" w:rsidR="003208BA" w:rsidRDefault="003208BA" w:rsidP="00742634">
      <w:pPr>
        <w:spacing w:line="276" w:lineRule="auto"/>
        <w:rPr>
          <w:color w:val="0070C0"/>
        </w:rPr>
      </w:pPr>
      <w:r>
        <w:rPr>
          <w:color w:val="0070C0"/>
        </w:rPr>
        <w:t>- Tuberculose ganglionnaire (50 % des localisations extra-pulmonaires) essentiellement cervicale et médiastinale (sujet VIH +, ou non VIH, souvent d’Afrique subsaharienne ou d’Asie).</w:t>
      </w:r>
    </w:p>
    <w:p w14:paraId="7DAAA676" w14:textId="77777777" w:rsidR="003208BA" w:rsidRDefault="003208BA" w:rsidP="00742634">
      <w:pPr>
        <w:spacing w:line="276" w:lineRule="auto"/>
        <w:rPr>
          <w:color w:val="0070C0"/>
        </w:rPr>
      </w:pPr>
      <w:r>
        <w:rPr>
          <w:color w:val="0070C0"/>
        </w:rPr>
        <w:t>- Tuberculose ostéo-articulaire, essentiellement spondylodiscite tuberculeuse (mal de Pott).</w:t>
      </w:r>
    </w:p>
    <w:p w14:paraId="16C100AB" w14:textId="77777777" w:rsidR="003208BA" w:rsidRPr="006A19C8" w:rsidRDefault="003208BA" w:rsidP="00742634">
      <w:pPr>
        <w:spacing w:line="276" w:lineRule="auto"/>
        <w:rPr>
          <w:color w:val="0070C0"/>
          <w:lang w:val="pt-PT"/>
        </w:rPr>
      </w:pPr>
      <w:r w:rsidRPr="006A19C8">
        <w:rPr>
          <w:color w:val="0070C0"/>
          <w:lang w:val="pt-PT"/>
        </w:rPr>
        <w:t>- Tuberculose génito-</w:t>
      </w:r>
      <w:proofErr w:type="spellStart"/>
      <w:r w:rsidRPr="006A19C8">
        <w:rPr>
          <w:color w:val="0070C0"/>
          <w:lang w:val="pt-PT"/>
        </w:rPr>
        <w:t>urinaire</w:t>
      </w:r>
      <w:proofErr w:type="spellEnd"/>
      <w:r w:rsidRPr="006A19C8">
        <w:rPr>
          <w:color w:val="0070C0"/>
          <w:lang w:val="pt-PT"/>
        </w:rPr>
        <w:t>.</w:t>
      </w:r>
    </w:p>
    <w:p w14:paraId="05436715" w14:textId="77777777" w:rsidR="003208BA" w:rsidRPr="006A19C8" w:rsidRDefault="003208BA" w:rsidP="00742634">
      <w:pPr>
        <w:spacing w:line="276" w:lineRule="auto"/>
        <w:rPr>
          <w:color w:val="0070C0"/>
          <w:lang w:val="pt-PT"/>
        </w:rPr>
      </w:pPr>
      <w:r w:rsidRPr="006A19C8">
        <w:rPr>
          <w:color w:val="0070C0"/>
          <w:lang w:val="pt-PT"/>
        </w:rPr>
        <w:t>- Tuberculose neuro-</w:t>
      </w:r>
      <w:proofErr w:type="spellStart"/>
      <w:r w:rsidRPr="006A19C8">
        <w:rPr>
          <w:color w:val="0070C0"/>
          <w:lang w:val="pt-PT"/>
        </w:rPr>
        <w:t>méningée</w:t>
      </w:r>
      <w:proofErr w:type="spellEnd"/>
      <w:r w:rsidRPr="006A19C8">
        <w:rPr>
          <w:color w:val="0070C0"/>
          <w:lang w:val="pt-PT"/>
        </w:rPr>
        <w:t>.</w:t>
      </w:r>
    </w:p>
    <w:p w14:paraId="05D644A2" w14:textId="77777777" w:rsidR="003208BA" w:rsidRPr="006A19C8" w:rsidRDefault="003208BA" w:rsidP="003208BA">
      <w:pPr>
        <w:spacing w:line="240" w:lineRule="auto"/>
        <w:rPr>
          <w:color w:val="0070C0"/>
          <w:lang w:val="pt-PT"/>
        </w:rPr>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3208BA" w14:paraId="7669DA4E" w14:textId="77777777" w:rsidTr="00D17E4C">
        <w:trPr>
          <w:trHeight w:val="1050"/>
        </w:trPr>
        <w:tc>
          <w:tcPr>
            <w:tcW w:w="9067" w:type="dxa"/>
            <w:vAlign w:val="center"/>
          </w:tcPr>
          <w:p w14:paraId="0813B094" w14:textId="77777777" w:rsidR="003208BA" w:rsidRDefault="003208BA" w:rsidP="00324888">
            <w:r>
              <w:t xml:space="preserve">L’atteinte ganglionnaire médiastinale de la tuberculose ne peut pas être confondue avec des ganglions médiastinaux d’une sarcoïdose : sujets jeunes, ganglions médiastinaux asymétriques, aspects nécrotiques, parfois fistulisation dans la bronche avec atteinte bronchique et pulmonaire et souvent AEG et fièvre.  </w:t>
            </w:r>
            <w:r>
              <w:rPr>
                <w:noProof/>
              </w:rPr>
              <w:drawing>
                <wp:anchor distT="0" distB="0" distL="114300" distR="114300" simplePos="0" relativeHeight="251788288" behindDoc="0" locked="0" layoutInCell="1" hidden="0" allowOverlap="1" wp14:anchorId="38DF8E27" wp14:editId="735D2EE7">
                  <wp:simplePos x="0" y="0"/>
                  <wp:positionH relativeFrom="column">
                    <wp:posOffset>47626</wp:posOffset>
                  </wp:positionH>
                  <wp:positionV relativeFrom="paragraph">
                    <wp:posOffset>0</wp:posOffset>
                  </wp:positionV>
                  <wp:extent cx="638175" cy="621839"/>
                  <wp:effectExtent l="0" t="0" r="0" b="0"/>
                  <wp:wrapSquare wrapText="bothSides" distT="0" distB="0" distL="114300" distR="11430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4"/>
                          <a:srcRect/>
                          <a:stretch>
                            <a:fillRect/>
                          </a:stretch>
                        </pic:blipFill>
                        <pic:spPr>
                          <a:xfrm>
                            <a:off x="0" y="0"/>
                            <a:ext cx="638175" cy="621839"/>
                          </a:xfrm>
                          <a:prstGeom prst="rect">
                            <a:avLst/>
                          </a:prstGeom>
                          <a:ln/>
                        </pic:spPr>
                      </pic:pic>
                    </a:graphicData>
                  </a:graphic>
                </wp:anchor>
              </w:drawing>
            </w:r>
          </w:p>
        </w:tc>
      </w:tr>
    </w:tbl>
    <w:p w14:paraId="55E8D98C" w14:textId="77777777" w:rsidR="003208BA" w:rsidRDefault="003208BA" w:rsidP="003208BA">
      <w:pPr>
        <w:spacing w:line="240" w:lineRule="auto"/>
        <w:ind w:left="709" w:hanging="709"/>
        <w:rPr>
          <w:rFonts w:ascii="Arial" w:eastAsia="Arial" w:hAnsi="Arial" w:cs="Arial"/>
          <w:sz w:val="22"/>
          <w:szCs w:val="22"/>
        </w:rPr>
      </w:pPr>
    </w:p>
    <w:p w14:paraId="3EE58A38" w14:textId="47FD5A75" w:rsidR="003208BA" w:rsidRDefault="00742634" w:rsidP="00742634">
      <w:pPr>
        <w:pStyle w:val="titredesous-partie"/>
      </w:pPr>
      <w:r w:rsidRPr="00742634">
        <w:t xml:space="preserve">EXAMENS COMPLÉMENTAIRES </w:t>
      </w:r>
      <w:r w:rsidRPr="00742634">
        <w:rPr>
          <w:sz w:val="20"/>
          <w:szCs w:val="20"/>
        </w:rPr>
        <w:t>(EN PLUS DE LA RADIOGRAPHIE DÉJÀ SUS CITÉE)</w:t>
      </w:r>
    </w:p>
    <w:p w14:paraId="06F449DC" w14:textId="77777777" w:rsidR="003208BA" w:rsidRDefault="003208BA" w:rsidP="003208BA">
      <w:pPr>
        <w:shd w:val="clear" w:color="auto" w:fill="E6E6E6"/>
        <w:spacing w:line="276" w:lineRule="auto"/>
        <w:jc w:val="center"/>
        <w:rPr>
          <w:i/>
          <w:iCs/>
        </w:rPr>
      </w:pPr>
      <w:r>
        <w:rPr>
          <w:b/>
          <w:bCs/>
        </w:rPr>
        <w:t xml:space="preserve">Diagnostic de tuberculose = mise en évidence de </w:t>
      </w:r>
      <w:r>
        <w:rPr>
          <w:i/>
          <w:iCs/>
        </w:rPr>
        <w:t xml:space="preserve">Mycobacterium </w:t>
      </w:r>
      <w:proofErr w:type="spellStart"/>
      <w:r>
        <w:rPr>
          <w:i/>
          <w:iCs/>
        </w:rPr>
        <w:t>tuberculosis</w:t>
      </w:r>
      <w:proofErr w:type="spellEnd"/>
      <w:r>
        <w:t xml:space="preserve"> </w:t>
      </w:r>
      <w:proofErr w:type="spellStart"/>
      <w:r>
        <w:rPr>
          <w:i/>
          <w:iCs/>
        </w:rPr>
        <w:t>complex</w:t>
      </w:r>
      <w:proofErr w:type="spellEnd"/>
    </w:p>
    <w:p w14:paraId="64C22349" w14:textId="77777777" w:rsidR="003208BA" w:rsidRDefault="003208BA" w:rsidP="003208BA"/>
    <w:p w14:paraId="06D0815D" w14:textId="77777777" w:rsidR="003208BA" w:rsidRDefault="003208BA">
      <w:pPr>
        <w:pStyle w:val="1titre"/>
        <w:numPr>
          <w:ilvl w:val="0"/>
          <w:numId w:val="35"/>
        </w:numPr>
      </w:pPr>
      <w:r>
        <w:t>Prélèvements</w:t>
      </w:r>
    </w:p>
    <w:p w14:paraId="07FF7819" w14:textId="77777777" w:rsidR="003208BA" w:rsidRDefault="003208BA" w:rsidP="00742634">
      <w:pPr>
        <w:spacing w:line="276" w:lineRule="auto"/>
      </w:pPr>
      <w:r>
        <w:t xml:space="preserve">Toujours </w:t>
      </w:r>
      <w:r>
        <w:rPr>
          <w:b/>
          <w:bCs/>
        </w:rPr>
        <w:t xml:space="preserve">MULTIPLES : répétés et ciblés selon les atteintes suspectées. Les prélèvements respiratoires sont systématiques. </w:t>
      </w:r>
    </w:p>
    <w:p w14:paraId="6EAF0A1B" w14:textId="77777777" w:rsidR="003208BA" w:rsidRDefault="003208BA" w:rsidP="00742634">
      <w:pPr>
        <w:spacing w:line="276" w:lineRule="auto"/>
      </w:pPr>
    </w:p>
    <w:p w14:paraId="4C23A266" w14:textId="77777777" w:rsidR="003208BA" w:rsidRDefault="003208BA" w:rsidP="00742634">
      <w:pPr>
        <w:spacing w:line="276" w:lineRule="auto"/>
      </w:pPr>
      <w:r>
        <w:t xml:space="preserve">En première intention, 2 à 3 prélèvements (désormais pas forcément 3 jours de suite, mais plutôt en 24 heures) : </w:t>
      </w:r>
    </w:p>
    <w:p w14:paraId="0E19EED0" w14:textId="77777777" w:rsidR="003208BA" w:rsidRDefault="003208BA" w:rsidP="00742634">
      <w:pPr>
        <w:spacing w:line="276" w:lineRule="auto"/>
      </w:pPr>
      <w:r>
        <w:t>- Si le patient crache :</w:t>
      </w:r>
    </w:p>
    <w:p w14:paraId="13EB472E" w14:textId="77777777" w:rsidR="003208BA" w:rsidRDefault="003208BA">
      <w:pPr>
        <w:numPr>
          <w:ilvl w:val="0"/>
          <w:numId w:val="4"/>
        </w:numPr>
        <w:spacing w:line="276" w:lineRule="auto"/>
        <w:ind w:left="284" w:hanging="142"/>
      </w:pPr>
      <w:r>
        <w:t>Examen cytobactériologique des crachats (ECBC) adressé en mycobactériologie à la recherche de bacilles acido-alcoolo-résistants (BAAR).</w:t>
      </w:r>
    </w:p>
    <w:p w14:paraId="44166A3B" w14:textId="77777777" w:rsidR="003208BA" w:rsidRDefault="003208BA">
      <w:pPr>
        <w:numPr>
          <w:ilvl w:val="0"/>
          <w:numId w:val="4"/>
        </w:numPr>
        <w:spacing w:line="276" w:lineRule="auto"/>
        <w:ind w:left="284" w:hanging="142"/>
      </w:pPr>
      <w:r>
        <w:t>Attention +++ : sur un ECBC «</w:t>
      </w:r>
      <w:r>
        <w:rPr>
          <w:rFonts w:ascii="Arial" w:eastAsia="Arial" w:hAnsi="Arial" w:cs="Arial"/>
        </w:rPr>
        <w:t> </w:t>
      </w:r>
      <w:r>
        <w:t>standard</w:t>
      </w:r>
      <w:r>
        <w:rPr>
          <w:rFonts w:ascii="Arial" w:eastAsia="Arial" w:hAnsi="Arial" w:cs="Arial"/>
        </w:rPr>
        <w:t> </w:t>
      </w:r>
      <w:r>
        <w:t>», on ne fait pas de recherche de BAAR</w:t>
      </w:r>
      <w:r>
        <w:rPr>
          <w:rFonts w:ascii="Arial" w:eastAsia="Arial" w:hAnsi="Arial" w:cs="Arial"/>
        </w:rPr>
        <w:t> </w:t>
      </w:r>
      <w:r>
        <w:t>!</w:t>
      </w:r>
    </w:p>
    <w:p w14:paraId="2AF62DF4" w14:textId="77777777" w:rsidR="003208BA" w:rsidRDefault="003208BA">
      <w:pPr>
        <w:numPr>
          <w:ilvl w:val="0"/>
          <w:numId w:val="4"/>
        </w:numPr>
        <w:spacing w:line="276" w:lineRule="auto"/>
        <w:ind w:left="284" w:hanging="142"/>
      </w:pPr>
      <w:r>
        <w:t>En cas de suspicion de TM pulmonaire chez un patient symptomatique, les examens de crachats seront réalisés en hospitalisation en chambre seule avec mise en place de mesures d’isolement d’air préventives (car risque élevé de prélèvement à examen direct positif).</w:t>
      </w:r>
    </w:p>
    <w:p w14:paraId="414DBF49" w14:textId="77777777" w:rsidR="003208BA" w:rsidRDefault="003208BA" w:rsidP="00742634">
      <w:pPr>
        <w:spacing w:line="276" w:lineRule="auto"/>
      </w:pPr>
      <w:r>
        <w:lastRenderedPageBreak/>
        <w:t>- Si le patient ne crache pas :</w:t>
      </w:r>
    </w:p>
    <w:p w14:paraId="5EB01E99" w14:textId="77777777" w:rsidR="003208BA" w:rsidRDefault="003208BA">
      <w:pPr>
        <w:numPr>
          <w:ilvl w:val="0"/>
          <w:numId w:val="5"/>
        </w:numPr>
        <w:pBdr>
          <w:top w:val="nil"/>
          <w:left w:val="nil"/>
          <w:bottom w:val="nil"/>
          <w:right w:val="nil"/>
          <w:between w:val="nil"/>
        </w:pBdr>
        <w:spacing w:line="276" w:lineRule="auto"/>
        <w:ind w:left="284" w:hanging="142"/>
      </w:pPr>
      <w:r>
        <w:t>En l’absence d’expectorations spontanées, nous recommandons, en fonction de l’expertise du centre et/ou de la disponibilité des examens :</w:t>
      </w:r>
    </w:p>
    <w:p w14:paraId="2592AD93" w14:textId="77777777" w:rsidR="003208BA" w:rsidRDefault="003208BA">
      <w:pPr>
        <w:numPr>
          <w:ilvl w:val="1"/>
          <w:numId w:val="5"/>
        </w:numPr>
        <w:pBdr>
          <w:top w:val="nil"/>
          <w:left w:val="nil"/>
          <w:bottom w:val="nil"/>
          <w:right w:val="nil"/>
          <w:between w:val="nil"/>
        </w:pBdr>
        <w:spacing w:line="276" w:lineRule="auto"/>
        <w:ind w:left="567" w:hanging="283"/>
      </w:pPr>
      <w:r>
        <w:t xml:space="preserve">De privilégier la réalisation d’une fibroscopie bronchique avec aspiration bronchique (préférable au LBA) suivie d’un BK crachat post fibroscopie, en salle d’endoscopie de préférence. Un TAG sur aspiration bronchique est recommandé en cas de négativité de l’examen microscopique pour les fortes suspicions de tuberculose. </w:t>
      </w:r>
    </w:p>
    <w:p w14:paraId="071999A7" w14:textId="77777777" w:rsidR="003208BA" w:rsidRDefault="003208BA">
      <w:pPr>
        <w:numPr>
          <w:ilvl w:val="1"/>
          <w:numId w:val="5"/>
        </w:numPr>
        <w:pBdr>
          <w:top w:val="nil"/>
          <w:left w:val="nil"/>
          <w:bottom w:val="nil"/>
          <w:right w:val="nil"/>
          <w:between w:val="nil"/>
        </w:pBdr>
        <w:spacing w:line="276" w:lineRule="auto"/>
        <w:ind w:left="567" w:hanging="283"/>
      </w:pPr>
      <w:r>
        <w:t>De réaliser en 2</w:t>
      </w:r>
      <w:r>
        <w:rPr>
          <w:vertAlign w:val="superscript"/>
        </w:rPr>
        <w:t>e</w:t>
      </w:r>
      <w:r>
        <w:t xml:space="preserve"> intention : des expectorations recueillies à l’aide d’un kinésithérapeute, des expectorations induites par un aérosol de sérum salé hypertonique à 3 % ou des tubages gastriques en dernier recours. Les expectorations induites par aérosol de sérum physiologique isotonique 0,9 % sont mieux tolérées que le sérum salé hypertonique, mais encore mal évaluées. </w:t>
      </w:r>
    </w:p>
    <w:p w14:paraId="7C284673" w14:textId="77777777" w:rsidR="003208BA" w:rsidRDefault="003208BA" w:rsidP="00742634">
      <w:pPr>
        <w:spacing w:line="276" w:lineRule="auto"/>
      </w:pPr>
      <w:r>
        <w:t>- En cas d’échec (2 à 3 prélèvements négatifs à l’examen direct) ou en cas de suspicion de miliaire tuberculeuse :</w:t>
      </w:r>
    </w:p>
    <w:p w14:paraId="30239F1E" w14:textId="77777777" w:rsidR="003208BA" w:rsidRDefault="003208BA">
      <w:pPr>
        <w:numPr>
          <w:ilvl w:val="0"/>
          <w:numId w:val="6"/>
        </w:numPr>
        <w:spacing w:line="276" w:lineRule="auto"/>
        <w:ind w:left="284" w:hanging="142"/>
      </w:pPr>
      <w:r>
        <w:t>Fibroscopie bronchique avec aspiration dirigée, pouvant être suivie d’un lavage broncho-alvéolaire, dans un territoire segmentaire potentiellement atteint d’après l’imagerie.</w:t>
      </w:r>
    </w:p>
    <w:p w14:paraId="619C06C1" w14:textId="77777777" w:rsidR="003208BA" w:rsidRDefault="003208BA" w:rsidP="00742634">
      <w:pPr>
        <w:spacing w:line="276" w:lineRule="auto"/>
      </w:pPr>
      <w:r>
        <w:t>- En cas de miliaire tuberculeuse :</w:t>
      </w:r>
    </w:p>
    <w:p w14:paraId="39BC178B" w14:textId="77777777" w:rsidR="003208BA" w:rsidRDefault="003208BA">
      <w:pPr>
        <w:numPr>
          <w:ilvl w:val="0"/>
          <w:numId w:val="7"/>
        </w:numPr>
        <w:pBdr>
          <w:top w:val="nil"/>
          <w:left w:val="nil"/>
          <w:bottom w:val="nil"/>
          <w:right w:val="nil"/>
          <w:between w:val="nil"/>
        </w:pBdr>
        <w:spacing w:line="276" w:lineRule="auto"/>
        <w:ind w:left="284" w:hanging="142"/>
      </w:pPr>
      <w:r>
        <w:t xml:space="preserve">Nécessité en plus des prélèvements respiratoires, d’hémocultures sur milieu </w:t>
      </w:r>
      <w:proofErr w:type="spellStart"/>
      <w:r>
        <w:t>isolator</w:t>
      </w:r>
      <w:proofErr w:type="spellEnd"/>
      <w:r>
        <w:t xml:space="preserve"> (milieu spécifique de culture des mycobactéries), d’ECBU adressé en mycobactériologie et éventuellement d’une </w:t>
      </w:r>
      <w:proofErr w:type="spellStart"/>
      <w:r>
        <w:t>myéloculture</w:t>
      </w:r>
      <w:proofErr w:type="spellEnd"/>
      <w:r>
        <w:t xml:space="preserve"> en cas de leuco-neutropénie. Les autres prélèvements dépendront des points d’appel.</w:t>
      </w:r>
    </w:p>
    <w:p w14:paraId="7FE00BE1" w14:textId="77777777" w:rsidR="003208BA" w:rsidRDefault="003208BA" w:rsidP="00742634">
      <w:pPr>
        <w:spacing w:line="276" w:lineRule="auto"/>
        <w:rPr>
          <w:color w:val="0070C0"/>
        </w:rPr>
      </w:pPr>
      <w:r>
        <w:rPr>
          <w:color w:val="0070C0"/>
        </w:rPr>
        <w:t>- En cas de tuberculose extra-pulmonaire :</w:t>
      </w:r>
      <w:r>
        <w:rPr>
          <w:noProof/>
        </w:rPr>
        <w:drawing>
          <wp:anchor distT="0" distB="0" distL="114300" distR="114300" simplePos="0" relativeHeight="251789312" behindDoc="0" locked="0" layoutInCell="1" hidden="0" allowOverlap="1" wp14:anchorId="58DD51B9" wp14:editId="3D94FF26">
            <wp:simplePos x="0" y="0"/>
            <wp:positionH relativeFrom="column">
              <wp:posOffset>-240501</wp:posOffset>
            </wp:positionH>
            <wp:positionV relativeFrom="paragraph">
              <wp:posOffset>17145</wp:posOffset>
            </wp:positionV>
            <wp:extent cx="153670" cy="137160"/>
            <wp:effectExtent l="0" t="0" r="0" b="0"/>
            <wp:wrapSquare wrapText="bothSides" distT="0" distB="0" distL="114300" distR="11430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5134B584" w14:textId="77777777" w:rsidR="003208BA" w:rsidRDefault="003208BA">
      <w:pPr>
        <w:numPr>
          <w:ilvl w:val="0"/>
          <w:numId w:val="8"/>
        </w:numPr>
        <w:pBdr>
          <w:top w:val="nil"/>
          <w:left w:val="nil"/>
          <w:bottom w:val="nil"/>
          <w:right w:val="nil"/>
          <w:between w:val="nil"/>
        </w:pBdr>
        <w:spacing w:line="276" w:lineRule="auto"/>
        <w:ind w:left="284" w:hanging="142"/>
        <w:rPr>
          <w:color w:val="0070C0"/>
        </w:rPr>
      </w:pPr>
      <w:r>
        <w:rPr>
          <w:color w:val="0070C0"/>
        </w:rPr>
        <w:t>Ganglionnaire : ponction ou biopsie-exérèse d’une adénopathie accessible (avec risques importants de fistules).</w:t>
      </w:r>
    </w:p>
    <w:p w14:paraId="6E246FAD" w14:textId="77777777" w:rsidR="003208BA" w:rsidRDefault="003208BA">
      <w:pPr>
        <w:numPr>
          <w:ilvl w:val="0"/>
          <w:numId w:val="8"/>
        </w:numPr>
        <w:pBdr>
          <w:top w:val="nil"/>
          <w:left w:val="nil"/>
          <w:bottom w:val="nil"/>
          <w:right w:val="nil"/>
          <w:between w:val="nil"/>
        </w:pBdr>
        <w:spacing w:line="276" w:lineRule="auto"/>
        <w:ind w:left="284" w:hanging="142"/>
        <w:rPr>
          <w:color w:val="0070C0"/>
        </w:rPr>
      </w:pPr>
      <w:r>
        <w:rPr>
          <w:color w:val="0070C0"/>
        </w:rPr>
        <w:t>Neuro-méningée : ponction lombaire.</w:t>
      </w:r>
    </w:p>
    <w:p w14:paraId="06DD412D" w14:textId="77777777" w:rsidR="003208BA" w:rsidRDefault="003208BA">
      <w:pPr>
        <w:numPr>
          <w:ilvl w:val="0"/>
          <w:numId w:val="8"/>
        </w:numPr>
        <w:pBdr>
          <w:top w:val="nil"/>
          <w:left w:val="nil"/>
          <w:bottom w:val="nil"/>
          <w:right w:val="nil"/>
          <w:between w:val="nil"/>
        </w:pBdr>
        <w:spacing w:line="276" w:lineRule="auto"/>
        <w:ind w:left="284" w:hanging="142"/>
        <w:rPr>
          <w:i/>
          <w:iCs/>
          <w:color w:val="0070C0"/>
        </w:rPr>
      </w:pPr>
      <w:r>
        <w:rPr>
          <w:color w:val="0070C0"/>
        </w:rPr>
        <w:t>Génito-urinaire : prélèvements des urines 3 jours de suite.</w:t>
      </w:r>
    </w:p>
    <w:p w14:paraId="711A229A" w14:textId="77777777" w:rsidR="003208BA" w:rsidRDefault="003208BA" w:rsidP="00742634">
      <w:pPr>
        <w:spacing w:line="276" w:lineRule="auto"/>
        <w:rPr>
          <w:i/>
          <w:iCs/>
        </w:rPr>
      </w:pPr>
    </w:p>
    <w:p w14:paraId="12AE642F" w14:textId="77777777" w:rsidR="003208BA" w:rsidRDefault="003208BA" w:rsidP="00742634">
      <w:pPr>
        <w:pStyle w:val="Titre2"/>
      </w:pPr>
      <w:r>
        <w:t xml:space="preserve">Bactériologie </w:t>
      </w:r>
    </w:p>
    <w:p w14:paraId="47462AD4" w14:textId="77777777" w:rsidR="003208BA" w:rsidRDefault="003208BA" w:rsidP="00742634">
      <w:pPr>
        <w:spacing w:line="276" w:lineRule="auto"/>
        <w:rPr>
          <w:b/>
          <w:bCs/>
          <w:u w:val="single"/>
        </w:rPr>
      </w:pPr>
      <w:r>
        <w:rPr>
          <w:b/>
          <w:bCs/>
          <w:u w:val="single"/>
        </w:rPr>
        <w:t>1</w:t>
      </w:r>
      <w:r>
        <w:rPr>
          <w:b/>
          <w:bCs/>
          <w:u w:val="single"/>
          <w:vertAlign w:val="superscript"/>
        </w:rPr>
        <w:t>re</w:t>
      </w:r>
      <w:r>
        <w:rPr>
          <w:b/>
          <w:bCs/>
          <w:u w:val="single"/>
        </w:rPr>
        <w:t xml:space="preserve"> étape : examen direct</w:t>
      </w:r>
    </w:p>
    <w:p w14:paraId="69E5D2FE" w14:textId="77777777" w:rsidR="003208BA" w:rsidRDefault="003208BA" w:rsidP="00742634">
      <w:pPr>
        <w:spacing w:line="276" w:lineRule="auto"/>
      </w:pPr>
      <w:r>
        <w:t xml:space="preserve">- Recherche de BAAR par la coloration </w:t>
      </w:r>
      <w:proofErr w:type="spellStart"/>
      <w:r>
        <w:t>Auramine</w:t>
      </w:r>
      <w:proofErr w:type="spellEnd"/>
      <w:r>
        <w:t xml:space="preserve"> ou de Ziehl-</w:t>
      </w:r>
      <w:proofErr w:type="spellStart"/>
      <w:r>
        <w:t>Neelsen</w:t>
      </w:r>
      <w:proofErr w:type="spellEnd"/>
      <w:r>
        <w:t xml:space="preserve"> (obtenu en quelques heures) (figure 8).</w:t>
      </w:r>
    </w:p>
    <w:p w14:paraId="30DC3B28" w14:textId="77777777" w:rsidR="003208BA" w:rsidRDefault="003208BA" w:rsidP="00742634">
      <w:pPr>
        <w:spacing w:line="276" w:lineRule="auto"/>
      </w:pPr>
      <w:r>
        <w:t>- Cette recherche n’est positive que pour des concentrations bacillaires supérieures à 10</w:t>
      </w:r>
      <w:r>
        <w:rPr>
          <w:vertAlign w:val="superscript"/>
        </w:rPr>
        <w:t>3-4</w:t>
      </w:r>
      <w:r>
        <w:t xml:space="preserve"> bacilles/</w:t>
      </w:r>
      <w:proofErr w:type="spellStart"/>
      <w:r>
        <w:t>mL</w:t>
      </w:r>
      <w:proofErr w:type="spellEnd"/>
      <w:r>
        <w:t>.</w:t>
      </w:r>
    </w:p>
    <w:p w14:paraId="0BD6420E" w14:textId="77777777" w:rsidR="003208BA" w:rsidRDefault="003208BA" w:rsidP="00742634">
      <w:pPr>
        <w:spacing w:line="276" w:lineRule="auto"/>
      </w:pPr>
      <w:r>
        <w:t>—&gt; La négativité de l’examen direct n’élimine pas le diagnostic. Répéter les prélèvements.</w:t>
      </w:r>
    </w:p>
    <w:p w14:paraId="35B0C25E" w14:textId="77777777" w:rsidR="003208BA" w:rsidRDefault="003208BA" w:rsidP="00742634">
      <w:pPr>
        <w:spacing w:line="276" w:lineRule="auto"/>
      </w:pPr>
      <w:r>
        <w:t>- Un test d’amplification génique (PCR) permet d’identifier MTBC directement sur prélèvement et d’identifier les marqueurs de résistance à l’INH et la RIF. Il est proposé de façon systématique sur tout nouveau prélèvement BAAR+ et peut être proposé sur un prélèvement BAAR- en cas de forte suspicion de tuberculose (forte probabilité clinique pré-test) et/ou à partir d’une prélèvement «</w:t>
      </w:r>
      <w:r>
        <w:rPr>
          <w:rFonts w:ascii="Arial" w:eastAsia="Arial" w:hAnsi="Arial" w:cs="Arial"/>
        </w:rPr>
        <w:t> </w:t>
      </w:r>
      <w:r>
        <w:t>stérile</w:t>
      </w:r>
      <w:r>
        <w:rPr>
          <w:rFonts w:ascii="Arial" w:eastAsia="Arial" w:hAnsi="Arial" w:cs="Arial"/>
        </w:rPr>
        <w:t> </w:t>
      </w:r>
      <w:r>
        <w:t>» (plèvre, méninge…).</w:t>
      </w:r>
    </w:p>
    <w:p w14:paraId="591D5B3A" w14:textId="77777777" w:rsidR="003208BA" w:rsidRDefault="003208BA" w:rsidP="00742634">
      <w:pPr>
        <w:spacing w:line="276" w:lineRule="auto"/>
      </w:pPr>
    </w:p>
    <w:p w14:paraId="56419A0F" w14:textId="77777777" w:rsidR="003208BA" w:rsidRDefault="003208BA" w:rsidP="00742634">
      <w:pPr>
        <w:spacing w:line="276" w:lineRule="auto"/>
        <w:rPr>
          <w:b/>
          <w:bCs/>
          <w:u w:val="single"/>
        </w:rPr>
      </w:pPr>
      <w:r>
        <w:rPr>
          <w:b/>
          <w:bCs/>
          <w:u w:val="single"/>
        </w:rPr>
        <w:t>2</w:t>
      </w:r>
      <w:r>
        <w:rPr>
          <w:b/>
          <w:bCs/>
          <w:u w:val="single"/>
          <w:vertAlign w:val="superscript"/>
        </w:rPr>
        <w:t>e</w:t>
      </w:r>
      <w:r>
        <w:rPr>
          <w:b/>
          <w:bCs/>
          <w:u w:val="single"/>
        </w:rPr>
        <w:t xml:space="preserve"> étape : culture sur milieux enrichis</w:t>
      </w:r>
    </w:p>
    <w:p w14:paraId="2DC0110F" w14:textId="77777777" w:rsidR="003208BA" w:rsidRDefault="003208BA" w:rsidP="00742634">
      <w:pPr>
        <w:spacing w:line="276" w:lineRule="auto"/>
      </w:pPr>
      <w:r>
        <w:t>- Soit sur milieu solide (milieu de Löwenstein-Jensen, 3 à 4 semaines, figure 9).</w:t>
      </w:r>
    </w:p>
    <w:p w14:paraId="3C5B3D99" w14:textId="77777777" w:rsidR="003208BA" w:rsidRDefault="003208BA" w:rsidP="00742634">
      <w:pPr>
        <w:spacing w:line="276" w:lineRule="auto"/>
      </w:pPr>
      <w:r>
        <w:t>- Soit sur milieu liquide 10 à 15 jours environ.</w:t>
      </w:r>
    </w:p>
    <w:p w14:paraId="1356E58F" w14:textId="77777777" w:rsidR="003208BA" w:rsidRDefault="003208BA" w:rsidP="00742634">
      <w:pPr>
        <w:spacing w:line="276" w:lineRule="auto"/>
        <w:rPr>
          <w:b/>
          <w:bCs/>
        </w:rPr>
      </w:pPr>
    </w:p>
    <w:p w14:paraId="07B163AA" w14:textId="77777777" w:rsidR="003208BA" w:rsidRDefault="003208BA" w:rsidP="00742634">
      <w:pPr>
        <w:spacing w:line="276" w:lineRule="auto"/>
        <w:rPr>
          <w:b/>
          <w:bCs/>
        </w:rPr>
      </w:pPr>
      <w:r>
        <w:rPr>
          <w:b/>
          <w:bCs/>
          <w:u w:val="single"/>
        </w:rPr>
        <w:t>3</w:t>
      </w:r>
      <w:r>
        <w:rPr>
          <w:b/>
          <w:bCs/>
          <w:u w:val="single"/>
          <w:vertAlign w:val="superscript"/>
        </w:rPr>
        <w:t>e</w:t>
      </w:r>
      <w:r>
        <w:rPr>
          <w:b/>
          <w:bCs/>
          <w:u w:val="single"/>
        </w:rPr>
        <w:t xml:space="preserve"> étape : identification</w:t>
      </w:r>
      <w:r>
        <w:rPr>
          <w:b/>
          <w:bCs/>
        </w:rPr>
        <w:t xml:space="preserve"> </w:t>
      </w:r>
    </w:p>
    <w:p w14:paraId="3B491386" w14:textId="77777777" w:rsidR="003208BA" w:rsidRDefault="003208BA" w:rsidP="00742634">
      <w:pPr>
        <w:spacing w:line="276" w:lineRule="auto"/>
      </w:pPr>
      <w:r>
        <w:lastRenderedPageBreak/>
        <w:t xml:space="preserve">- Lorsque la présence d’un bacille est confirmée, il est essentiel de distinguer les mycobactéries du complexe </w:t>
      </w:r>
      <w:proofErr w:type="spellStart"/>
      <w:r>
        <w:rPr>
          <w:i/>
          <w:iCs/>
        </w:rPr>
        <w:t>tuberculosis</w:t>
      </w:r>
      <w:proofErr w:type="spellEnd"/>
      <w:r>
        <w:t xml:space="preserve"> des mycobactéries non tuberculeuses (anciennement appelées «</w:t>
      </w:r>
      <w:r>
        <w:rPr>
          <w:rFonts w:ascii="Arial" w:eastAsia="Arial" w:hAnsi="Arial" w:cs="Arial"/>
        </w:rPr>
        <w:t> </w:t>
      </w:r>
      <w:r>
        <w:t>atypiques</w:t>
      </w:r>
      <w:r>
        <w:rPr>
          <w:rFonts w:ascii="Arial" w:eastAsia="Arial" w:hAnsi="Arial" w:cs="Arial"/>
        </w:rPr>
        <w:t> </w:t>
      </w:r>
      <w:r>
        <w:t>»).</w:t>
      </w:r>
    </w:p>
    <w:p w14:paraId="7D7EE04E" w14:textId="77777777" w:rsidR="003208BA" w:rsidRDefault="003208BA">
      <w:pPr>
        <w:numPr>
          <w:ilvl w:val="0"/>
          <w:numId w:val="9"/>
        </w:numPr>
        <w:pBdr>
          <w:top w:val="nil"/>
          <w:left w:val="nil"/>
          <w:bottom w:val="nil"/>
          <w:right w:val="nil"/>
          <w:between w:val="nil"/>
        </w:pBdr>
        <w:spacing w:line="276" w:lineRule="auto"/>
        <w:ind w:left="284" w:hanging="142"/>
      </w:pPr>
      <w:r>
        <w:t>Par identification de l’antigène MPT64.</w:t>
      </w:r>
    </w:p>
    <w:p w14:paraId="07700E5E" w14:textId="77777777" w:rsidR="003208BA" w:rsidRDefault="003208BA" w:rsidP="00742634">
      <w:pPr>
        <w:spacing w:line="276" w:lineRule="auto"/>
      </w:pPr>
    </w:p>
    <w:p w14:paraId="70E3F3B4" w14:textId="77777777" w:rsidR="003208BA" w:rsidRDefault="003208BA" w:rsidP="00742634">
      <w:pPr>
        <w:spacing w:line="276" w:lineRule="auto"/>
        <w:rPr>
          <w:b/>
          <w:bCs/>
        </w:rPr>
      </w:pPr>
      <w:r>
        <w:rPr>
          <w:b/>
          <w:bCs/>
          <w:u w:val="single"/>
        </w:rPr>
        <w:t>4</w:t>
      </w:r>
      <w:r>
        <w:rPr>
          <w:b/>
          <w:bCs/>
          <w:u w:val="single"/>
          <w:vertAlign w:val="superscript"/>
        </w:rPr>
        <w:t>e</w:t>
      </w:r>
      <w:r>
        <w:rPr>
          <w:b/>
          <w:bCs/>
          <w:u w:val="single"/>
        </w:rPr>
        <w:t xml:space="preserve"> étape : antibiogramme</w:t>
      </w:r>
      <w:r>
        <w:rPr>
          <w:b/>
          <w:bCs/>
        </w:rPr>
        <w:t xml:space="preserve"> (obligatoire) </w:t>
      </w:r>
    </w:p>
    <w:p w14:paraId="74092C22" w14:textId="77777777" w:rsidR="003208BA" w:rsidRDefault="003208BA" w:rsidP="00742634">
      <w:pPr>
        <w:spacing w:line="276" w:lineRule="auto"/>
      </w:pPr>
      <w:r>
        <w:t>- Consiste à mettre en culture, sur des milieux contenant différentes concentrations d’antibiotiques, les bacilles isolés.</w:t>
      </w:r>
    </w:p>
    <w:p w14:paraId="1EEF1C59" w14:textId="77777777" w:rsidR="003208BA" w:rsidRDefault="003208BA" w:rsidP="00742634">
      <w:pPr>
        <w:spacing w:line="276" w:lineRule="auto"/>
      </w:pPr>
      <w:r>
        <w:t>- Une recherche rapide de résistance est possible en biologie moléculaire : mise en évidence de mutations sur les gènes qui confèrent la résistance à l’antibiotique (</w:t>
      </w:r>
      <w:proofErr w:type="spellStart"/>
      <w:r>
        <w:rPr>
          <w:i/>
          <w:iCs/>
        </w:rPr>
        <w:t>rpoB</w:t>
      </w:r>
      <w:proofErr w:type="spellEnd"/>
      <w:r>
        <w:t xml:space="preserve"> pour RIFAMPICINE </w:t>
      </w:r>
      <w:r>
        <w:rPr>
          <w:color w:val="0070C0"/>
        </w:rPr>
        <w:t xml:space="preserve">et </w:t>
      </w:r>
      <w:proofErr w:type="spellStart"/>
      <w:r>
        <w:rPr>
          <w:i/>
          <w:iCs/>
          <w:color w:val="0070C0"/>
        </w:rPr>
        <w:t>katG</w:t>
      </w:r>
      <w:proofErr w:type="spellEnd"/>
      <w:r>
        <w:rPr>
          <w:color w:val="0070C0"/>
        </w:rPr>
        <w:t xml:space="preserve"> et </w:t>
      </w:r>
      <w:proofErr w:type="spellStart"/>
      <w:r>
        <w:rPr>
          <w:i/>
          <w:iCs/>
          <w:color w:val="0070C0"/>
        </w:rPr>
        <w:t>inhA</w:t>
      </w:r>
      <w:proofErr w:type="spellEnd"/>
      <w:r>
        <w:rPr>
          <w:color w:val="0070C0"/>
        </w:rPr>
        <w:t xml:space="preserve"> pour ISONIAZIDE).</w:t>
      </w:r>
    </w:p>
    <w:p w14:paraId="561F4FE2" w14:textId="77777777" w:rsidR="003208BA" w:rsidRDefault="003208BA" w:rsidP="00742634">
      <w:pPr>
        <w:spacing w:line="276" w:lineRule="auto"/>
      </w:pPr>
    </w:p>
    <w:p w14:paraId="0A486ADF" w14:textId="77777777" w:rsidR="003208BA" w:rsidRDefault="003208BA" w:rsidP="00742634">
      <w:pPr>
        <w:pStyle w:val="Titre2"/>
      </w:pPr>
      <w:r>
        <w:t>Anatomopathologie</w:t>
      </w:r>
    </w:p>
    <w:p w14:paraId="1738915B" w14:textId="77777777" w:rsidR="003208BA" w:rsidRDefault="003208BA" w:rsidP="00742634">
      <w:pPr>
        <w:spacing w:line="276" w:lineRule="auto"/>
      </w:pPr>
      <w:r>
        <w:t>Mise en évidence de granulomes épithélioïdes giganto-cellulaires avec nécrose caséeuse (fortement évocateur, mais non pathognomonique de la tuberculose), coloration spécifique de Ziehl-</w:t>
      </w:r>
      <w:proofErr w:type="spellStart"/>
      <w:r>
        <w:t>Neelsen</w:t>
      </w:r>
      <w:proofErr w:type="spellEnd"/>
      <w:r>
        <w:t xml:space="preserve"> pour rechercher les BAAR dans le tissu.</w:t>
      </w:r>
    </w:p>
    <w:p w14:paraId="702D0734" w14:textId="77777777" w:rsidR="003208BA" w:rsidRDefault="003208BA" w:rsidP="00742634">
      <w:pPr>
        <w:spacing w:line="276" w:lineRule="auto"/>
      </w:pPr>
    </w:p>
    <w:p w14:paraId="0A7A4A1C" w14:textId="77777777" w:rsidR="003208BA" w:rsidRDefault="003208BA" w:rsidP="00742634">
      <w:pPr>
        <w:spacing w:line="276" w:lineRule="auto"/>
        <w:rPr>
          <w:i/>
          <w:iCs/>
        </w:rPr>
      </w:pPr>
      <w:r>
        <w:t>Attention à mettre en culture la biopsie, en particulier dans les tuberculoses pleurales.</w:t>
      </w:r>
    </w:p>
    <w:p w14:paraId="1079BD29" w14:textId="73A201F9" w:rsidR="003208BA" w:rsidRDefault="003208BA" w:rsidP="00742634">
      <w:pPr>
        <w:spacing w:line="276" w:lineRule="auto"/>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64"/>
      </w:tblGrid>
      <w:tr w:rsidR="00D03506" w14:paraId="71B5DD9E" w14:textId="77777777" w:rsidTr="00D03506">
        <w:trPr>
          <w:trHeight w:val="3559"/>
        </w:trPr>
        <w:tc>
          <w:tcPr>
            <w:tcW w:w="4105" w:type="dxa"/>
          </w:tcPr>
          <w:p w14:paraId="4D636D48" w14:textId="511CA27E" w:rsidR="00D03506" w:rsidRDefault="00D03506" w:rsidP="00D03506">
            <w:pPr>
              <w:pStyle w:val="lgende"/>
              <w:jc w:val="center"/>
            </w:pPr>
            <w:r>
              <w:rPr>
                <w:b/>
                <w:bCs/>
                <w:smallCaps/>
                <w:noProof/>
              </w:rPr>
              <w:drawing>
                <wp:anchor distT="0" distB="0" distL="114300" distR="114300" simplePos="0" relativeHeight="251805696" behindDoc="0" locked="0" layoutInCell="1" hidden="0" allowOverlap="1" wp14:anchorId="4A549550" wp14:editId="48B52B97">
                  <wp:simplePos x="0" y="0"/>
                  <wp:positionH relativeFrom="margin">
                    <wp:posOffset>-44091</wp:posOffset>
                  </wp:positionH>
                  <wp:positionV relativeFrom="paragraph">
                    <wp:posOffset>333954</wp:posOffset>
                  </wp:positionV>
                  <wp:extent cx="2726690" cy="2108200"/>
                  <wp:effectExtent l="0" t="0" r="0" b="6350"/>
                  <wp:wrapTopAndBottom/>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5"/>
                          <a:srcRect/>
                          <a:stretch>
                            <a:fillRect/>
                          </a:stretch>
                        </pic:blipFill>
                        <pic:spPr>
                          <a:xfrm>
                            <a:off x="0" y="0"/>
                            <a:ext cx="2726690" cy="2108200"/>
                          </a:xfrm>
                          <a:prstGeom prst="rect">
                            <a:avLst/>
                          </a:prstGeom>
                          <a:ln/>
                        </pic:spPr>
                      </pic:pic>
                    </a:graphicData>
                  </a:graphic>
                  <wp14:sizeRelH relativeFrom="margin">
                    <wp14:pctWidth>0</wp14:pctWidth>
                  </wp14:sizeRelH>
                  <wp14:sizeRelV relativeFrom="margin">
                    <wp14:pctHeight>0</wp14:pctHeight>
                  </wp14:sizeRelV>
                </wp:anchor>
              </w:drawing>
            </w:r>
            <w:r>
              <w:t>Figure 8 : Examen direct avec coloration de Ziehl-N</w:t>
            </w:r>
            <w:r w:rsidR="00E811C2">
              <w:t>ee</w:t>
            </w:r>
            <w:r>
              <w:t>lsen : mise en évidence de BAAR.</w:t>
            </w:r>
          </w:p>
        </w:tc>
        <w:tc>
          <w:tcPr>
            <w:tcW w:w="4678" w:type="dxa"/>
          </w:tcPr>
          <w:p w14:paraId="7A643799" w14:textId="7A0CADE9" w:rsidR="00D03506" w:rsidRDefault="00D03506" w:rsidP="00D03506">
            <w:pPr>
              <w:pStyle w:val="lgende"/>
              <w:jc w:val="center"/>
            </w:pPr>
            <w:r>
              <w:rPr>
                <w:noProof/>
              </w:rPr>
              <w:drawing>
                <wp:anchor distT="0" distB="0" distL="114300" distR="114300" simplePos="0" relativeHeight="251807744" behindDoc="0" locked="0" layoutInCell="1" hidden="0" allowOverlap="1" wp14:anchorId="53F7138B" wp14:editId="583B2A37">
                  <wp:simplePos x="0" y="0"/>
                  <wp:positionH relativeFrom="margin">
                    <wp:posOffset>11099</wp:posOffset>
                  </wp:positionH>
                  <wp:positionV relativeFrom="paragraph">
                    <wp:posOffset>401347</wp:posOffset>
                  </wp:positionV>
                  <wp:extent cx="2754494" cy="1192171"/>
                  <wp:effectExtent l="0" t="0" r="8255" b="8255"/>
                  <wp:wrapTopAndBottom distT="0" distB="0"/>
                  <wp:docPr id="1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6"/>
                          <a:srcRect t="18432" b="23851"/>
                          <a:stretch>
                            <a:fillRect/>
                          </a:stretch>
                        </pic:blipFill>
                        <pic:spPr>
                          <a:xfrm>
                            <a:off x="0" y="0"/>
                            <a:ext cx="2754494" cy="1192171"/>
                          </a:xfrm>
                          <a:prstGeom prst="rect">
                            <a:avLst/>
                          </a:prstGeom>
                          <a:ln/>
                        </pic:spPr>
                      </pic:pic>
                    </a:graphicData>
                  </a:graphic>
                  <wp14:sizeRelH relativeFrom="margin">
                    <wp14:pctWidth>0</wp14:pctWidth>
                  </wp14:sizeRelH>
                  <wp14:sizeRelV relativeFrom="margin">
                    <wp14:pctHeight>0</wp14:pctHeight>
                  </wp14:sizeRelV>
                </wp:anchor>
              </w:drawing>
            </w:r>
            <w:r>
              <w:t>Figure 9 : Culture sur milieu de Löwenstein-Jensen : colonies de mycobactéries.</w:t>
            </w:r>
          </w:p>
        </w:tc>
      </w:tr>
    </w:tbl>
    <w:p w14:paraId="19EC69A6" w14:textId="77777777" w:rsidR="00D03506" w:rsidRDefault="00D03506" w:rsidP="00742634">
      <w:pPr>
        <w:spacing w:line="276" w:lineRule="auto"/>
      </w:pPr>
    </w:p>
    <w:p w14:paraId="39490314" w14:textId="77777777" w:rsidR="00E811C2" w:rsidRDefault="00E811C2" w:rsidP="00742634">
      <w:pPr>
        <w:spacing w:line="276" w:lineRule="auto"/>
      </w:pPr>
    </w:p>
    <w:p w14:paraId="673A1CFF" w14:textId="77777777" w:rsidR="00E811C2" w:rsidRDefault="00E811C2" w:rsidP="00742634">
      <w:pPr>
        <w:spacing w:line="276" w:lineRule="auto"/>
      </w:pPr>
    </w:p>
    <w:p w14:paraId="6D656BCB" w14:textId="77777777" w:rsidR="00E811C2" w:rsidRDefault="00E811C2" w:rsidP="00742634">
      <w:pPr>
        <w:spacing w:line="276" w:lineRule="auto"/>
      </w:pPr>
    </w:p>
    <w:p w14:paraId="0373B54F" w14:textId="77777777" w:rsidR="00E811C2" w:rsidRDefault="00E811C2" w:rsidP="00742634">
      <w:pPr>
        <w:spacing w:line="276" w:lineRule="auto"/>
      </w:pPr>
    </w:p>
    <w:p w14:paraId="421C8FBD" w14:textId="77777777" w:rsidR="00E811C2" w:rsidRDefault="00E811C2" w:rsidP="00742634">
      <w:pPr>
        <w:spacing w:line="276" w:lineRule="auto"/>
      </w:pPr>
    </w:p>
    <w:p w14:paraId="4590982E" w14:textId="77777777" w:rsidR="00E811C2" w:rsidRDefault="00E811C2" w:rsidP="00742634">
      <w:pPr>
        <w:spacing w:line="276" w:lineRule="auto"/>
      </w:pPr>
    </w:p>
    <w:p w14:paraId="256F7A56" w14:textId="77777777" w:rsidR="00E811C2" w:rsidRDefault="00E811C2" w:rsidP="00742634">
      <w:pPr>
        <w:spacing w:line="276" w:lineRule="auto"/>
      </w:pPr>
    </w:p>
    <w:p w14:paraId="7C16558C" w14:textId="77777777" w:rsidR="00E811C2" w:rsidRDefault="00E811C2" w:rsidP="00742634">
      <w:pPr>
        <w:spacing w:line="276" w:lineRule="auto"/>
      </w:pPr>
    </w:p>
    <w:p w14:paraId="58DEAD5E" w14:textId="77777777" w:rsidR="00E811C2" w:rsidRDefault="00E811C2" w:rsidP="00742634">
      <w:pPr>
        <w:spacing w:line="276" w:lineRule="auto"/>
      </w:pPr>
    </w:p>
    <w:p w14:paraId="36967A75" w14:textId="77777777" w:rsidR="00E811C2" w:rsidRDefault="00E811C2" w:rsidP="00742634">
      <w:pPr>
        <w:spacing w:line="276" w:lineRule="auto"/>
      </w:pPr>
    </w:p>
    <w:p w14:paraId="70EA7105" w14:textId="77777777" w:rsidR="00E811C2" w:rsidRDefault="00E811C2" w:rsidP="00742634">
      <w:pPr>
        <w:spacing w:line="276" w:lineRule="auto"/>
      </w:pPr>
    </w:p>
    <w:p w14:paraId="4D9F1AC8" w14:textId="77777777" w:rsidR="003208BA" w:rsidRDefault="003208BA" w:rsidP="00BD3BA0">
      <w:pPr>
        <w:pStyle w:val="titredepartie"/>
      </w:pPr>
      <w:r>
        <w:lastRenderedPageBreak/>
        <w:t>TRAITEMENTS ET PRISE EN CHARGE</w:t>
      </w:r>
    </w:p>
    <w:p w14:paraId="6BD351D5" w14:textId="05078E74" w:rsidR="003208BA" w:rsidRDefault="00E811C2">
      <w:pPr>
        <w:pStyle w:val="titredesous-partie"/>
        <w:numPr>
          <w:ilvl w:val="0"/>
          <w:numId w:val="36"/>
        </w:numPr>
      </w:pPr>
      <w:r>
        <w:rPr>
          <w:noProof/>
          <w:shd w:val="clear" w:color="auto" w:fill="auto"/>
          <w14:ligatures w14:val="standardContextual"/>
        </w:rPr>
        <mc:AlternateContent>
          <mc:Choice Requires="wps">
            <w:drawing>
              <wp:anchor distT="0" distB="0" distL="114300" distR="114300" simplePos="0" relativeHeight="251816960" behindDoc="0" locked="0" layoutInCell="1" allowOverlap="1" wp14:anchorId="0DF0AF5E" wp14:editId="3C9A83E7">
                <wp:simplePos x="0" y="0"/>
                <wp:positionH relativeFrom="column">
                  <wp:posOffset>-119797</wp:posOffset>
                </wp:positionH>
                <wp:positionV relativeFrom="paragraph">
                  <wp:posOffset>220001</wp:posOffset>
                </wp:positionV>
                <wp:extent cx="6065753" cy="1758998"/>
                <wp:effectExtent l="0" t="0" r="17780" b="19050"/>
                <wp:wrapNone/>
                <wp:docPr id="1636101210" name="Rectangle 16"/>
                <wp:cNvGraphicFramePr/>
                <a:graphic xmlns:a="http://schemas.openxmlformats.org/drawingml/2006/main">
                  <a:graphicData uri="http://schemas.microsoft.com/office/word/2010/wordprocessingShape">
                    <wps:wsp>
                      <wps:cNvSpPr/>
                      <wps:spPr>
                        <a:xfrm>
                          <a:off x="0" y="0"/>
                          <a:ext cx="6065753" cy="1758998"/>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4700F5" id="Rectangle 16" o:spid="_x0000_s1026" style="position:absolute;margin-left:-9.45pt;margin-top:17.3pt;width:477.6pt;height:138.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" filled="f" strokecolor="black [3213]" strokeweight="1pt"/>
            </w:pict>
          </mc:Fallback>
        </mc:AlternateContent>
      </w:r>
      <w:r w:rsidR="003208BA">
        <w:t>de la Tuberculose-Maladie</w:t>
      </w:r>
    </w:p>
    <w:p w14:paraId="392DC4C2" w14:textId="2CBF4738" w:rsidR="00E811C2" w:rsidRPr="002572B4" w:rsidRDefault="00E811C2" w:rsidP="00E811C2">
      <w:pPr>
        <w:pBdr>
          <w:top w:val="nil"/>
          <w:left w:val="nil"/>
          <w:bottom w:val="nil"/>
          <w:right w:val="nil"/>
          <w:between w:val="nil"/>
        </w:pBdr>
        <w:rPr>
          <w:color w:val="000000" w:themeColor="text1"/>
        </w:rPr>
      </w:pPr>
      <w:r w:rsidRPr="002572B4">
        <w:rPr>
          <w:color w:val="000000" w:themeColor="text1"/>
        </w:rPr>
        <w:t>Le traitement de la tuberculose est un excellent sujet d’ECOS de relation de soins car c’est un traitement difficile à suivre pour un malade. Il associe plusieurs difficultés :</w:t>
      </w:r>
    </w:p>
    <w:p w14:paraId="2BE20F9C" w14:textId="77777777" w:rsidR="00E811C2" w:rsidRPr="002572B4" w:rsidRDefault="00E811C2" w:rsidP="00E811C2">
      <w:pPr>
        <w:numPr>
          <w:ilvl w:val="0"/>
          <w:numId w:val="41"/>
        </w:numPr>
        <w:pBdr>
          <w:top w:val="nil"/>
          <w:left w:val="nil"/>
          <w:bottom w:val="nil"/>
          <w:right w:val="nil"/>
          <w:between w:val="nil"/>
        </w:pBdr>
        <w:spacing w:line="240" w:lineRule="auto"/>
        <w:ind w:left="1158" w:firstLine="0"/>
        <w:rPr>
          <w:color w:val="000000" w:themeColor="text1"/>
        </w:rPr>
      </w:pPr>
      <w:r w:rsidRPr="002572B4">
        <w:rPr>
          <w:noProof/>
        </w:rPr>
        <w:drawing>
          <wp:anchor distT="0" distB="0" distL="114300" distR="114300" simplePos="0" relativeHeight="251815936" behindDoc="0" locked="0" layoutInCell="1" hidden="0" allowOverlap="1" wp14:anchorId="4E2B9DC9" wp14:editId="7A511111">
            <wp:simplePos x="0" y="0"/>
            <wp:positionH relativeFrom="column">
              <wp:posOffset>-5536</wp:posOffset>
            </wp:positionH>
            <wp:positionV relativeFrom="paragraph">
              <wp:posOffset>53047</wp:posOffset>
            </wp:positionV>
            <wp:extent cx="638175" cy="621839"/>
            <wp:effectExtent l="0" t="0" r="0" b="0"/>
            <wp:wrapSquare wrapText="bothSides" distT="0" distB="0" distL="114300" distR="114300"/>
            <wp:docPr id="74593975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4"/>
                    <a:srcRect/>
                    <a:stretch>
                      <a:fillRect/>
                    </a:stretch>
                  </pic:blipFill>
                  <pic:spPr>
                    <a:xfrm>
                      <a:off x="0" y="0"/>
                      <a:ext cx="638175" cy="621839"/>
                    </a:xfrm>
                    <a:prstGeom prst="rect">
                      <a:avLst/>
                    </a:prstGeom>
                    <a:ln/>
                  </pic:spPr>
                </pic:pic>
              </a:graphicData>
            </a:graphic>
          </wp:anchor>
        </w:drawing>
      </w:r>
      <w:r w:rsidRPr="002572B4">
        <w:rPr>
          <w:color w:val="000000" w:themeColor="text1"/>
        </w:rPr>
        <w:t xml:space="preserve"> De nombreux médicaments à prendre le matin (voir figure 10), tous les jours, à jeun. </w:t>
      </w:r>
    </w:p>
    <w:p w14:paraId="1A7D91F1" w14:textId="6D7817B8" w:rsidR="00E811C2" w:rsidRPr="002572B4" w:rsidRDefault="00E811C2" w:rsidP="00E811C2">
      <w:pPr>
        <w:numPr>
          <w:ilvl w:val="0"/>
          <w:numId w:val="41"/>
        </w:numPr>
        <w:pBdr>
          <w:top w:val="nil"/>
          <w:left w:val="nil"/>
          <w:bottom w:val="nil"/>
          <w:right w:val="nil"/>
          <w:between w:val="nil"/>
        </w:pBdr>
        <w:spacing w:line="240" w:lineRule="auto"/>
        <w:ind w:left="1158" w:firstLine="0"/>
        <w:rPr>
          <w:color w:val="000000" w:themeColor="text1"/>
        </w:rPr>
      </w:pPr>
      <w:r w:rsidRPr="002572B4">
        <w:rPr>
          <w:color w:val="000000" w:themeColor="text1"/>
        </w:rPr>
        <w:t>La compréhension qu’il faut les prendre tous ensemble pour ne pas créer des problèmes de résistance.</w:t>
      </w:r>
    </w:p>
    <w:p w14:paraId="5E547BDA" w14:textId="77777777" w:rsidR="00E811C2" w:rsidRPr="002572B4" w:rsidRDefault="00E811C2" w:rsidP="00E811C2">
      <w:pPr>
        <w:numPr>
          <w:ilvl w:val="0"/>
          <w:numId w:val="41"/>
        </w:numPr>
        <w:pBdr>
          <w:top w:val="nil"/>
          <w:left w:val="nil"/>
          <w:bottom w:val="nil"/>
          <w:right w:val="nil"/>
          <w:between w:val="nil"/>
        </w:pBdr>
        <w:spacing w:line="240" w:lineRule="auto"/>
        <w:ind w:left="1158" w:firstLine="0"/>
        <w:rPr>
          <w:color w:val="000000" w:themeColor="text1"/>
        </w:rPr>
      </w:pPr>
      <w:r w:rsidRPr="002572B4">
        <w:rPr>
          <w:color w:val="000000" w:themeColor="text1"/>
        </w:rPr>
        <w:t>La compréhension qu’il faut les prendre plusieurs mois.</w:t>
      </w:r>
    </w:p>
    <w:p w14:paraId="6A2047F7" w14:textId="64643644" w:rsidR="00E811C2" w:rsidRPr="002572B4" w:rsidRDefault="00E811C2" w:rsidP="00E811C2">
      <w:pPr>
        <w:numPr>
          <w:ilvl w:val="0"/>
          <w:numId w:val="41"/>
        </w:numPr>
        <w:pBdr>
          <w:top w:val="nil"/>
          <w:left w:val="nil"/>
          <w:bottom w:val="nil"/>
          <w:right w:val="nil"/>
          <w:between w:val="nil"/>
        </w:pBdr>
        <w:spacing w:line="240" w:lineRule="auto"/>
        <w:ind w:left="1158" w:firstLine="0"/>
        <w:rPr>
          <w:color w:val="000000" w:themeColor="text1"/>
        </w:rPr>
      </w:pPr>
      <w:r w:rsidRPr="002572B4">
        <w:rPr>
          <w:color w:val="000000" w:themeColor="text1"/>
        </w:rPr>
        <w:t>La compréhension qu’il faut attendre les résultats cliniques seulement au bout de quelques semaines.</w:t>
      </w:r>
    </w:p>
    <w:p w14:paraId="7375AC8A" w14:textId="1768B108" w:rsidR="00E811C2" w:rsidRPr="002572B4" w:rsidRDefault="00E811C2" w:rsidP="00E811C2">
      <w:pPr>
        <w:numPr>
          <w:ilvl w:val="0"/>
          <w:numId w:val="41"/>
        </w:numPr>
        <w:pBdr>
          <w:top w:val="nil"/>
          <w:left w:val="nil"/>
          <w:bottom w:val="nil"/>
          <w:right w:val="nil"/>
          <w:between w:val="nil"/>
        </w:pBdr>
        <w:spacing w:line="240" w:lineRule="auto"/>
        <w:ind w:left="1158" w:firstLine="0"/>
        <w:rPr>
          <w:color w:val="000000" w:themeColor="text1"/>
        </w:rPr>
      </w:pPr>
      <w:r w:rsidRPr="002572B4">
        <w:rPr>
          <w:color w:val="000000" w:themeColor="text1"/>
        </w:rPr>
        <w:t>La compréhension qu’il faut continuer à les prendre même si on se sent mieux.</w:t>
      </w:r>
    </w:p>
    <w:p w14:paraId="046913DC" w14:textId="330FE6FC" w:rsidR="00E811C2" w:rsidRPr="002572B4" w:rsidRDefault="00E811C2" w:rsidP="00E811C2">
      <w:pPr>
        <w:numPr>
          <w:ilvl w:val="0"/>
          <w:numId w:val="41"/>
        </w:numPr>
        <w:pBdr>
          <w:top w:val="nil"/>
          <w:left w:val="nil"/>
          <w:bottom w:val="nil"/>
          <w:right w:val="nil"/>
          <w:between w:val="nil"/>
        </w:pBdr>
        <w:ind w:left="1158"/>
        <w:rPr>
          <w:color w:val="000000" w:themeColor="text1"/>
        </w:rPr>
      </w:pPr>
      <w:r w:rsidRPr="002572B4">
        <w:rPr>
          <w:color w:val="000000" w:themeColor="text1"/>
        </w:rPr>
        <w:t>Le problème de la barrière de la langue pour les malades non francophones.</w:t>
      </w:r>
    </w:p>
    <w:p w14:paraId="79EA9371" w14:textId="39891019" w:rsidR="00E811C2" w:rsidRDefault="00E811C2" w:rsidP="00BD3BA0">
      <w:pPr>
        <w:pBdr>
          <w:top w:val="nil"/>
          <w:left w:val="nil"/>
          <w:bottom w:val="nil"/>
          <w:right w:val="nil"/>
          <w:between w:val="nil"/>
        </w:pBdr>
        <w:spacing w:line="276" w:lineRule="auto"/>
        <w:rPr>
          <w:b/>
          <w:bCs/>
          <w:color w:val="0070C0"/>
        </w:rPr>
      </w:pPr>
      <w:r w:rsidRPr="00BD3BA0">
        <w:rPr>
          <w:noProof/>
          <w:color w:val="0070C0"/>
        </w:rPr>
        <w:drawing>
          <wp:anchor distT="0" distB="0" distL="114300" distR="114300" simplePos="0" relativeHeight="251792384" behindDoc="0" locked="0" layoutInCell="1" hidden="0" allowOverlap="1" wp14:anchorId="7BB2AD3C" wp14:editId="200F8468">
            <wp:simplePos x="0" y="0"/>
            <wp:positionH relativeFrom="column">
              <wp:posOffset>-160199</wp:posOffset>
            </wp:positionH>
            <wp:positionV relativeFrom="paragraph">
              <wp:posOffset>194650</wp:posOffset>
            </wp:positionV>
            <wp:extent cx="153670" cy="137160"/>
            <wp:effectExtent l="0" t="0" r="0" b="0"/>
            <wp:wrapSquare wrapText="bothSides" distT="0" distB="0" distL="114300" distR="114300"/>
            <wp:docPr id="2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24F736CA" w14:textId="6761603C" w:rsidR="003208BA" w:rsidRPr="00BD3BA0" w:rsidRDefault="003208BA" w:rsidP="00BD3BA0">
      <w:pPr>
        <w:pBdr>
          <w:top w:val="nil"/>
          <w:left w:val="nil"/>
          <w:bottom w:val="nil"/>
          <w:right w:val="nil"/>
          <w:between w:val="nil"/>
        </w:pBdr>
        <w:spacing w:line="276" w:lineRule="auto"/>
        <w:rPr>
          <w:b/>
          <w:bCs/>
          <w:color w:val="0070C0"/>
        </w:rPr>
      </w:pPr>
      <w:r w:rsidRPr="00BD3BA0">
        <w:rPr>
          <w:b/>
          <w:bCs/>
          <w:color w:val="0070C0"/>
        </w:rPr>
        <w:t>Trois populations de bacilles selon leur sensibilité aux antibiotiques.</w:t>
      </w:r>
    </w:p>
    <w:p w14:paraId="13B513EA" w14:textId="77777777" w:rsidR="00BD3BA0" w:rsidRPr="00BD3BA0" w:rsidRDefault="00BD3BA0" w:rsidP="00BD3BA0">
      <w:pPr>
        <w:spacing w:line="276" w:lineRule="auto"/>
        <w:rPr>
          <w:color w:val="0070C0"/>
        </w:rPr>
      </w:pPr>
      <w:r w:rsidRPr="00BD3BA0">
        <w:rPr>
          <w:color w:val="0070C0"/>
        </w:rPr>
        <w:t xml:space="preserve">Les bacilles </w:t>
      </w:r>
      <w:r w:rsidRPr="00BD3BA0">
        <w:rPr>
          <w:color w:val="0070C0"/>
          <w:u w:val="single"/>
        </w:rPr>
        <w:t>extra-cellulaires</w:t>
      </w:r>
      <w:r w:rsidRPr="00BD3BA0">
        <w:rPr>
          <w:color w:val="0070C0"/>
        </w:rPr>
        <w:t xml:space="preserve"> (95 % des bacilles) :</w:t>
      </w:r>
    </w:p>
    <w:p w14:paraId="24C9AC03" w14:textId="77777777" w:rsidR="00BD3BA0" w:rsidRPr="00BD3BA0" w:rsidRDefault="00BD3BA0" w:rsidP="00BD3BA0">
      <w:pPr>
        <w:spacing w:line="276" w:lineRule="auto"/>
        <w:rPr>
          <w:color w:val="0070C0"/>
        </w:rPr>
      </w:pPr>
      <w:r w:rsidRPr="00BD3BA0">
        <w:rPr>
          <w:color w:val="0070C0"/>
        </w:rPr>
        <w:t xml:space="preserve">- Responsables de la contagiosité et de la symptomatologie </w:t>
      </w:r>
      <w:r w:rsidRPr="00BD3BA0">
        <w:rPr>
          <w:rFonts w:ascii="Arial" w:hAnsi="Arial" w:cs="Arial"/>
          <w:color w:val="0070C0"/>
        </w:rPr>
        <w:t>→</w:t>
      </w:r>
      <w:r w:rsidRPr="00BD3BA0">
        <w:rPr>
          <w:color w:val="0070C0"/>
        </w:rPr>
        <w:t xml:space="preserve"> isoniazide, rifampicine et </w:t>
      </w:r>
      <w:proofErr w:type="spellStart"/>
      <w:r w:rsidRPr="00BD3BA0">
        <w:rPr>
          <w:color w:val="0070C0"/>
        </w:rPr>
        <w:t>éthambutol</w:t>
      </w:r>
      <w:proofErr w:type="spellEnd"/>
      <w:r w:rsidRPr="00BD3BA0">
        <w:rPr>
          <w:color w:val="0070C0"/>
        </w:rPr>
        <w:t>.</w:t>
      </w:r>
    </w:p>
    <w:p w14:paraId="67D8BBD0" w14:textId="77777777" w:rsidR="00BD3BA0" w:rsidRPr="00BD3BA0" w:rsidRDefault="00BD3BA0" w:rsidP="00BD3BA0">
      <w:pPr>
        <w:spacing w:line="276" w:lineRule="auto"/>
        <w:rPr>
          <w:color w:val="0070C0"/>
        </w:rPr>
      </w:pPr>
      <w:r w:rsidRPr="00BD3BA0">
        <w:rPr>
          <w:color w:val="0070C0"/>
        </w:rPr>
        <w:t xml:space="preserve">Les bacilles </w:t>
      </w:r>
      <w:r w:rsidRPr="00BD3BA0">
        <w:rPr>
          <w:color w:val="0070C0"/>
          <w:u w:val="single"/>
        </w:rPr>
        <w:t>intracellulaires quiescents</w:t>
      </w:r>
      <w:r w:rsidRPr="00BD3BA0">
        <w:rPr>
          <w:color w:val="0070C0"/>
        </w:rPr>
        <w:t xml:space="preserve"> :</w:t>
      </w:r>
    </w:p>
    <w:p w14:paraId="00AA1AC5" w14:textId="77777777" w:rsidR="00BD3BA0" w:rsidRPr="00BD3BA0" w:rsidRDefault="00BD3BA0" w:rsidP="00BD3BA0">
      <w:pPr>
        <w:spacing w:line="276" w:lineRule="auto"/>
        <w:rPr>
          <w:color w:val="0070C0"/>
        </w:rPr>
      </w:pPr>
      <w:r w:rsidRPr="00BD3BA0">
        <w:rPr>
          <w:color w:val="0070C0"/>
        </w:rPr>
        <w:t xml:space="preserve">- Dans les macrophages </w:t>
      </w:r>
      <w:r w:rsidRPr="00BD3BA0">
        <w:rPr>
          <w:rFonts w:ascii="Arial" w:hAnsi="Arial" w:cs="Arial"/>
          <w:color w:val="0070C0"/>
        </w:rPr>
        <w:t>→</w:t>
      </w:r>
      <w:r w:rsidRPr="00BD3BA0">
        <w:rPr>
          <w:color w:val="0070C0"/>
        </w:rPr>
        <w:t xml:space="preserve"> </w:t>
      </w:r>
      <w:proofErr w:type="spellStart"/>
      <w:r w:rsidRPr="00BD3BA0">
        <w:rPr>
          <w:color w:val="0070C0"/>
        </w:rPr>
        <w:t>pyrazinamide</w:t>
      </w:r>
      <w:proofErr w:type="spellEnd"/>
      <w:r w:rsidRPr="00BD3BA0">
        <w:rPr>
          <w:color w:val="0070C0"/>
        </w:rPr>
        <w:t xml:space="preserve"> et rifampicine.</w:t>
      </w:r>
    </w:p>
    <w:p w14:paraId="18D1A2E1" w14:textId="77777777" w:rsidR="00BD3BA0" w:rsidRPr="00BD3BA0" w:rsidRDefault="00BD3BA0" w:rsidP="00BD3BA0">
      <w:pPr>
        <w:spacing w:line="276" w:lineRule="auto"/>
        <w:rPr>
          <w:color w:val="0070C0"/>
        </w:rPr>
      </w:pPr>
      <w:r w:rsidRPr="00BD3BA0">
        <w:rPr>
          <w:color w:val="0070C0"/>
        </w:rPr>
        <w:t xml:space="preserve">Les bacilles </w:t>
      </w:r>
      <w:r w:rsidRPr="00BD3BA0">
        <w:rPr>
          <w:color w:val="0070C0"/>
          <w:u w:val="single"/>
        </w:rPr>
        <w:t>extracellulaires au sein du caséum</w:t>
      </w:r>
      <w:r w:rsidRPr="00BD3BA0">
        <w:rPr>
          <w:color w:val="0070C0"/>
        </w:rPr>
        <w:t xml:space="preserve"> :</w:t>
      </w:r>
    </w:p>
    <w:p w14:paraId="2175A82F" w14:textId="3D6244C4" w:rsidR="003208BA" w:rsidRDefault="00BD3BA0" w:rsidP="00BD3BA0">
      <w:pPr>
        <w:spacing w:line="276" w:lineRule="auto"/>
        <w:rPr>
          <w:color w:val="0070C0"/>
        </w:rPr>
      </w:pPr>
      <w:r w:rsidRPr="00BD3BA0">
        <w:rPr>
          <w:color w:val="0070C0"/>
        </w:rPr>
        <w:t xml:space="preserve">- Responsables du risque de rechute à distance </w:t>
      </w:r>
      <w:r w:rsidRPr="00BD3BA0">
        <w:rPr>
          <w:rFonts w:ascii="Arial" w:hAnsi="Arial" w:cs="Arial"/>
          <w:color w:val="0070C0"/>
        </w:rPr>
        <w:t>→</w:t>
      </w:r>
      <w:r w:rsidRPr="00BD3BA0">
        <w:rPr>
          <w:color w:val="0070C0"/>
        </w:rPr>
        <w:t xml:space="preserve"> rifampicine.</w:t>
      </w:r>
    </w:p>
    <w:p w14:paraId="383240D3" w14:textId="77777777" w:rsidR="00BD3BA0" w:rsidRDefault="00BD3BA0" w:rsidP="00BD3BA0">
      <w:pPr>
        <w:spacing w:line="276" w:lineRule="auto"/>
        <w:rPr>
          <w:color w:val="0070C0"/>
        </w:rPr>
      </w:pPr>
    </w:p>
    <w:p w14:paraId="39C1C534" w14:textId="77777777" w:rsidR="003208BA" w:rsidRDefault="003208BA">
      <w:pPr>
        <w:pStyle w:val="1titre"/>
        <w:numPr>
          <w:ilvl w:val="0"/>
          <w:numId w:val="37"/>
        </w:numPr>
      </w:pPr>
      <w:r>
        <w:t>Les antituberculeux</w:t>
      </w:r>
    </w:p>
    <w:p w14:paraId="59B72339" w14:textId="77777777" w:rsidR="003208BA" w:rsidRDefault="003208BA">
      <w:pPr>
        <w:pStyle w:val="Titre3"/>
        <w:numPr>
          <w:ilvl w:val="1"/>
          <w:numId w:val="38"/>
        </w:numPr>
      </w:pPr>
      <w:r>
        <w:t>Molécules de première ligne (tableau 1)</w:t>
      </w:r>
    </w:p>
    <w:p w14:paraId="61CF188C" w14:textId="77777777" w:rsidR="003208BA" w:rsidRDefault="003208BA" w:rsidP="00742634">
      <w:pPr>
        <w:spacing w:line="276" w:lineRule="auto"/>
      </w:pPr>
      <w:r>
        <w:t>Isoniazide (</w:t>
      </w:r>
      <w:proofErr w:type="spellStart"/>
      <w:r>
        <w:t>Rimifon</w:t>
      </w:r>
      <w:proofErr w:type="spellEnd"/>
      <w:r>
        <w:rPr>
          <w:vertAlign w:val="superscript"/>
        </w:rPr>
        <w:t>®</w:t>
      </w:r>
      <w:r>
        <w:t>), abréviation classique INH :</w:t>
      </w:r>
    </w:p>
    <w:p w14:paraId="60EDA0B4" w14:textId="77777777" w:rsidR="003208BA" w:rsidRDefault="003208BA" w:rsidP="00742634">
      <w:pPr>
        <w:spacing w:line="276" w:lineRule="auto"/>
      </w:pPr>
      <w:r>
        <w:t>- Disponible par voie orale (comprimé à 50 et 150 mg) et par voie injectable.</w:t>
      </w:r>
    </w:p>
    <w:p w14:paraId="173AFE2C" w14:textId="77777777" w:rsidR="003208BA" w:rsidRDefault="003208BA" w:rsidP="00742634">
      <w:pPr>
        <w:spacing w:line="276" w:lineRule="auto"/>
      </w:pPr>
      <w:r>
        <w:t>- Posologie : 3 à 5 mg/kg/jour.</w:t>
      </w:r>
    </w:p>
    <w:p w14:paraId="4D359D39" w14:textId="77777777" w:rsidR="003208BA" w:rsidRDefault="003208BA" w:rsidP="00742634">
      <w:pPr>
        <w:spacing w:line="276" w:lineRule="auto"/>
      </w:pPr>
      <w:r>
        <w:t>- Effets secondaires :</w:t>
      </w:r>
    </w:p>
    <w:p w14:paraId="1CDD793D" w14:textId="77777777" w:rsidR="003208BA" w:rsidRDefault="003208BA">
      <w:pPr>
        <w:numPr>
          <w:ilvl w:val="0"/>
          <w:numId w:val="10"/>
        </w:numPr>
        <w:spacing w:line="276" w:lineRule="auto"/>
        <w:ind w:left="284" w:hanging="142"/>
      </w:pPr>
      <w:r>
        <w:t>Troubles digestifs (nausées).</w:t>
      </w:r>
    </w:p>
    <w:p w14:paraId="7780D15A" w14:textId="69FB853E" w:rsidR="003208BA" w:rsidRDefault="003208BA">
      <w:pPr>
        <w:numPr>
          <w:ilvl w:val="0"/>
          <w:numId w:val="10"/>
        </w:numPr>
        <w:spacing w:line="276" w:lineRule="auto"/>
        <w:ind w:left="284" w:hanging="142"/>
      </w:pPr>
      <w:r>
        <w:t xml:space="preserve">Hépatite (de la simple élévation des transaminases à l’hépatite médicamenteuse sévère pouvant nécessiter l’arrêt du traitement) </w:t>
      </w:r>
      <w:r w:rsidR="00BD3BA0">
        <w:sym w:font="Wingdings" w:char="F0E0"/>
      </w:r>
      <w:r w:rsidR="00BD3BA0">
        <w:t xml:space="preserve"> </w:t>
      </w:r>
      <w:r>
        <w:t>surveillance des transaminases.</w:t>
      </w:r>
    </w:p>
    <w:p w14:paraId="23EC72BE" w14:textId="77777777" w:rsidR="003208BA" w:rsidRDefault="003208BA">
      <w:pPr>
        <w:numPr>
          <w:ilvl w:val="0"/>
          <w:numId w:val="10"/>
        </w:numPr>
        <w:spacing w:line="276" w:lineRule="auto"/>
        <w:ind w:left="284" w:hanging="142"/>
      </w:pPr>
      <w:r>
        <w:t>Polynévrites sensitivo-motrices en cas de carence associée en vitamine B6.</w:t>
      </w:r>
    </w:p>
    <w:p w14:paraId="40FA9F0B" w14:textId="77777777" w:rsidR="003208BA" w:rsidRDefault="003208BA">
      <w:pPr>
        <w:numPr>
          <w:ilvl w:val="0"/>
          <w:numId w:val="10"/>
        </w:numPr>
        <w:spacing w:line="276" w:lineRule="auto"/>
        <w:ind w:left="284" w:hanging="142"/>
      </w:pPr>
      <w:r>
        <w:t>Rarement troubles neuropsychiatriques, réactions cutanées ou algodystrophies (syndrome épaule-main).</w:t>
      </w:r>
    </w:p>
    <w:p w14:paraId="69B42F6D" w14:textId="77777777" w:rsidR="003208BA" w:rsidRDefault="003208BA">
      <w:pPr>
        <w:numPr>
          <w:ilvl w:val="0"/>
          <w:numId w:val="10"/>
        </w:numPr>
        <w:spacing w:line="276" w:lineRule="auto"/>
        <w:ind w:left="284" w:hanging="142"/>
      </w:pPr>
      <w:r>
        <w:t>Surveillance = bilan hépatique (transaminases).</w:t>
      </w:r>
    </w:p>
    <w:p w14:paraId="408C5EE9" w14:textId="77777777" w:rsidR="003208BA" w:rsidRDefault="003208BA" w:rsidP="00742634">
      <w:pPr>
        <w:spacing w:line="276" w:lineRule="auto"/>
        <w:ind w:left="708"/>
      </w:pPr>
    </w:p>
    <w:p w14:paraId="6421E337" w14:textId="77777777" w:rsidR="003208BA" w:rsidRDefault="003208BA" w:rsidP="00742634">
      <w:pPr>
        <w:spacing w:line="276" w:lineRule="auto"/>
      </w:pPr>
      <w:r>
        <w:t>Rifampicine (</w:t>
      </w:r>
      <w:proofErr w:type="spellStart"/>
      <w:r>
        <w:t>Rimactan</w:t>
      </w:r>
      <w:proofErr w:type="spellEnd"/>
      <w:r>
        <w:rPr>
          <w:vertAlign w:val="superscript"/>
        </w:rPr>
        <w:t>®</w:t>
      </w:r>
      <w:r>
        <w:t xml:space="preserve">, </w:t>
      </w:r>
      <w:proofErr w:type="spellStart"/>
      <w:r>
        <w:t>Rifadine</w:t>
      </w:r>
      <w:proofErr w:type="spellEnd"/>
      <w:r>
        <w:rPr>
          <w:vertAlign w:val="superscript"/>
        </w:rPr>
        <w:t>®</w:t>
      </w:r>
      <w:r>
        <w:t>), abréviation classique RMP :</w:t>
      </w:r>
    </w:p>
    <w:p w14:paraId="03169544" w14:textId="77777777" w:rsidR="003208BA" w:rsidRDefault="003208BA" w:rsidP="00742634">
      <w:pPr>
        <w:spacing w:line="276" w:lineRule="auto"/>
      </w:pPr>
      <w:r>
        <w:t>- Disponible par voie orale (gélule à 300 mg, sirop) et parentérale.</w:t>
      </w:r>
    </w:p>
    <w:p w14:paraId="146914D8" w14:textId="77777777" w:rsidR="003208BA" w:rsidRDefault="003208BA" w:rsidP="00742634">
      <w:pPr>
        <w:spacing w:line="276" w:lineRule="auto"/>
      </w:pPr>
      <w:r>
        <w:t>- Posologie : 10 mg/kg/jour.</w:t>
      </w:r>
    </w:p>
    <w:p w14:paraId="1E514C5C" w14:textId="11F508B0" w:rsidR="003208BA" w:rsidRDefault="003208BA" w:rsidP="00742634">
      <w:pPr>
        <w:spacing w:line="276" w:lineRule="auto"/>
      </w:pPr>
      <w:r>
        <w:t>- Puissant inducteur enzymatique : Attention aux interactions médicamenteuses, en particulier avec les anticoagulants oraux (</w:t>
      </w:r>
      <w:r w:rsidR="00605916">
        <w:sym w:font="Wingdings" w:char="F0E0"/>
      </w:r>
      <w:r>
        <w:t xml:space="preserve"> surveillance INR), la pilule œstroprogestative (</w:t>
      </w:r>
      <w:r w:rsidR="00605916">
        <w:sym w:font="Wingdings" w:char="F0E0"/>
      </w:r>
      <w:r>
        <w:t xml:space="preserve"> changer de mode de contraception), certains antirétroviraux (inhibiteurs de protéases), les corticoïdes, les digitaliques… effets secondaires :</w:t>
      </w:r>
    </w:p>
    <w:p w14:paraId="2FEB1E25" w14:textId="77777777" w:rsidR="003208BA" w:rsidRDefault="003208BA">
      <w:pPr>
        <w:numPr>
          <w:ilvl w:val="0"/>
          <w:numId w:val="11"/>
        </w:numPr>
        <w:spacing w:line="276" w:lineRule="auto"/>
        <w:ind w:left="284" w:hanging="142"/>
      </w:pPr>
      <w:r>
        <w:lastRenderedPageBreak/>
        <w:t>Phénomènes immuno-allergiques (thrombopénie, hémolyse, insuffisance rénale aiguë…), troubles digestifs (nausées).</w:t>
      </w:r>
    </w:p>
    <w:p w14:paraId="69F0382C" w14:textId="56994024" w:rsidR="003208BA" w:rsidRDefault="003208BA">
      <w:pPr>
        <w:numPr>
          <w:ilvl w:val="0"/>
          <w:numId w:val="11"/>
        </w:numPr>
        <w:spacing w:line="276" w:lineRule="auto"/>
        <w:ind w:left="284" w:hanging="142"/>
      </w:pPr>
      <w:r>
        <w:t>Attention : coloration en orange des larmes, du sperme, des urines… (</w:t>
      </w:r>
      <w:r w:rsidR="00605916">
        <w:sym w:font="Wingdings" w:char="F0E0"/>
      </w:r>
      <w:r>
        <w:t xml:space="preserve"> prévenir le patient : il ne s’agit pas d’un effet secondaire, mais d’un phénomène normal).</w:t>
      </w:r>
    </w:p>
    <w:p w14:paraId="3FA7DBCE" w14:textId="77777777" w:rsidR="003208BA" w:rsidRDefault="003208BA" w:rsidP="00742634">
      <w:pPr>
        <w:spacing w:line="276" w:lineRule="auto"/>
        <w:ind w:left="708"/>
      </w:pPr>
    </w:p>
    <w:p w14:paraId="25A8564A" w14:textId="77777777" w:rsidR="003208BA" w:rsidRDefault="003208BA" w:rsidP="00742634">
      <w:pPr>
        <w:spacing w:line="276" w:lineRule="auto"/>
      </w:pPr>
      <w:proofErr w:type="spellStart"/>
      <w:r>
        <w:t>Ethambutol</w:t>
      </w:r>
      <w:proofErr w:type="spellEnd"/>
      <w:r>
        <w:t xml:space="preserve"> (</w:t>
      </w:r>
      <w:proofErr w:type="spellStart"/>
      <w:r>
        <w:t>Myambutol</w:t>
      </w:r>
      <w:proofErr w:type="spellEnd"/>
      <w:r>
        <w:rPr>
          <w:vertAlign w:val="superscript"/>
        </w:rPr>
        <w:t>®</w:t>
      </w:r>
      <w:r>
        <w:t xml:space="preserve">, </w:t>
      </w:r>
      <w:proofErr w:type="spellStart"/>
      <w:r>
        <w:t>Dexambutol</w:t>
      </w:r>
      <w:proofErr w:type="spellEnd"/>
      <w:r>
        <w:rPr>
          <w:vertAlign w:val="superscript"/>
        </w:rPr>
        <w:t>®</w:t>
      </w:r>
      <w:r>
        <w:t>), abréviation classique EMB :</w:t>
      </w:r>
    </w:p>
    <w:p w14:paraId="4603104D" w14:textId="77777777" w:rsidR="003208BA" w:rsidRDefault="003208BA" w:rsidP="00742634">
      <w:pPr>
        <w:spacing w:line="276" w:lineRule="auto"/>
      </w:pPr>
      <w:r>
        <w:t>- Disponible par voie orale et injectable.</w:t>
      </w:r>
    </w:p>
    <w:p w14:paraId="7E953562" w14:textId="77777777" w:rsidR="003208BA" w:rsidRDefault="003208BA" w:rsidP="00742634">
      <w:pPr>
        <w:spacing w:line="276" w:lineRule="auto"/>
      </w:pPr>
      <w:r>
        <w:t>- Posologie : 20 mg/kg/jour (15 mg/kg/j en cas d’insuffisance rénale modérée).</w:t>
      </w:r>
    </w:p>
    <w:p w14:paraId="3D2DE185" w14:textId="77777777" w:rsidR="003208BA" w:rsidRDefault="003208BA" w:rsidP="00742634">
      <w:pPr>
        <w:spacing w:line="276" w:lineRule="auto"/>
      </w:pPr>
      <w:r>
        <w:t>- Principal effet secondaire :</w:t>
      </w:r>
    </w:p>
    <w:p w14:paraId="24317AF8" w14:textId="7D6E5D28" w:rsidR="003208BA" w:rsidRDefault="003208BA">
      <w:pPr>
        <w:numPr>
          <w:ilvl w:val="0"/>
          <w:numId w:val="29"/>
        </w:numPr>
        <w:spacing w:line="276" w:lineRule="auto"/>
        <w:ind w:left="284" w:hanging="142"/>
      </w:pPr>
      <w:r>
        <w:t>Névrite optique rétrobulbaire, surtout en cas de posologie élevée administrée longtemps, d’éthylisme chronique ou d’insuffisance rénal</w:t>
      </w:r>
      <w:r w:rsidR="00605916">
        <w:t xml:space="preserve">e </w:t>
      </w:r>
      <w:r w:rsidR="00605916">
        <w:sym w:font="Wingdings" w:char="F0E0"/>
      </w:r>
      <w:r>
        <w:t xml:space="preserve"> nécessite théoriquement une consultation ophtalmologique avant de débuter le traitement (rarement faite en pratique, car il est urgent de commencer le traitement de la TM</w:t>
      </w:r>
      <w:r>
        <w:rPr>
          <w:rFonts w:ascii="Arial" w:eastAsia="Arial" w:hAnsi="Arial" w:cs="Arial"/>
        </w:rPr>
        <w:t> </w:t>
      </w:r>
      <w:r>
        <w:t>!) puis tous les mois pendant la durée du traitement (vision des couleurs, acuité visuelle, champ visuel).</w:t>
      </w:r>
    </w:p>
    <w:p w14:paraId="194732CB" w14:textId="77777777" w:rsidR="003208BA" w:rsidRDefault="003208BA" w:rsidP="00742634">
      <w:pPr>
        <w:spacing w:line="276" w:lineRule="auto"/>
        <w:ind w:left="708"/>
      </w:pPr>
    </w:p>
    <w:p w14:paraId="5B746026" w14:textId="77777777" w:rsidR="003208BA" w:rsidRDefault="003208BA" w:rsidP="00742634">
      <w:pPr>
        <w:spacing w:line="276" w:lineRule="auto"/>
      </w:pPr>
      <w:proofErr w:type="spellStart"/>
      <w:r>
        <w:t>Pyrazinamide</w:t>
      </w:r>
      <w:proofErr w:type="spellEnd"/>
      <w:r>
        <w:t xml:space="preserve"> (</w:t>
      </w:r>
      <w:proofErr w:type="spellStart"/>
      <w:r>
        <w:t>Pirilène</w:t>
      </w:r>
      <w:proofErr w:type="spellEnd"/>
      <w:r>
        <w:rPr>
          <w:vertAlign w:val="superscript"/>
        </w:rPr>
        <w:t>®</w:t>
      </w:r>
      <w:r>
        <w:t>), abréviation classique PZA :</w:t>
      </w:r>
    </w:p>
    <w:p w14:paraId="1A9979CF" w14:textId="77777777" w:rsidR="003208BA" w:rsidRDefault="003208BA" w:rsidP="00742634">
      <w:pPr>
        <w:spacing w:line="276" w:lineRule="auto"/>
      </w:pPr>
      <w:r>
        <w:t>- Disponible uniquement par voie orale (comprimé à 500 mg).</w:t>
      </w:r>
    </w:p>
    <w:p w14:paraId="0CE2B22D" w14:textId="77777777" w:rsidR="003208BA" w:rsidRDefault="003208BA" w:rsidP="00742634">
      <w:pPr>
        <w:spacing w:line="276" w:lineRule="auto"/>
      </w:pPr>
      <w:r>
        <w:t>- Posologie 25 à 30 mg/kg/j.</w:t>
      </w:r>
    </w:p>
    <w:p w14:paraId="6FDA0FC2" w14:textId="77777777" w:rsidR="003208BA" w:rsidRDefault="003208BA" w:rsidP="00742634">
      <w:pPr>
        <w:spacing w:line="276" w:lineRule="auto"/>
      </w:pPr>
      <w:r>
        <w:t>- Contre-indiqué en cas d’insuffisance hépatocellulaire et d’insuffisance rénale.</w:t>
      </w:r>
    </w:p>
    <w:p w14:paraId="1B9B7426" w14:textId="77777777" w:rsidR="003208BA" w:rsidRDefault="003208BA" w:rsidP="00742634">
      <w:pPr>
        <w:spacing w:line="276" w:lineRule="auto"/>
      </w:pPr>
      <w:r>
        <w:t>- Effets secondaires :</w:t>
      </w:r>
    </w:p>
    <w:p w14:paraId="35C39439" w14:textId="55A2BB4D" w:rsidR="003208BA" w:rsidRDefault="003208BA">
      <w:pPr>
        <w:numPr>
          <w:ilvl w:val="0"/>
          <w:numId w:val="29"/>
        </w:numPr>
        <w:spacing w:line="276" w:lineRule="auto"/>
        <w:ind w:left="284" w:hanging="142"/>
      </w:pPr>
      <w:r>
        <w:t>Cytolyse hépatique (plus tardif que l’IN</w:t>
      </w:r>
      <w:r w:rsidR="00605916">
        <w:t xml:space="preserve">H </w:t>
      </w:r>
      <w:r w:rsidR="00605916">
        <w:sym w:font="Wingdings" w:char="F0E0"/>
      </w:r>
      <w:r>
        <w:t xml:space="preserve"> surveillance transaminases).</w:t>
      </w:r>
    </w:p>
    <w:p w14:paraId="2B1A0DF3" w14:textId="77777777" w:rsidR="003208BA" w:rsidRDefault="003208BA">
      <w:pPr>
        <w:numPr>
          <w:ilvl w:val="0"/>
          <w:numId w:val="29"/>
        </w:numPr>
        <w:spacing w:line="276" w:lineRule="auto"/>
        <w:ind w:left="284" w:hanging="142"/>
      </w:pPr>
      <w:r>
        <w:t>Hyperuricémie (généralement asymptomatique, elle témoigne plutôt d’une bonne observance médicamenteuse).</w:t>
      </w:r>
    </w:p>
    <w:p w14:paraId="2195E272" w14:textId="77777777" w:rsidR="003208BA" w:rsidRDefault="003208BA">
      <w:pPr>
        <w:numPr>
          <w:ilvl w:val="0"/>
          <w:numId w:val="29"/>
        </w:numPr>
        <w:spacing w:line="276" w:lineRule="auto"/>
        <w:ind w:left="284" w:hanging="142"/>
      </w:pPr>
      <w:r>
        <w:t>Rash vasomoteur, troubles digestifs…</w:t>
      </w:r>
    </w:p>
    <w:p w14:paraId="0E1CE79D" w14:textId="77777777" w:rsidR="003208BA" w:rsidRDefault="003208BA" w:rsidP="00742634">
      <w:pPr>
        <w:spacing w:line="276" w:lineRule="auto"/>
        <w:ind w:left="708"/>
      </w:pPr>
    </w:p>
    <w:p w14:paraId="05EE2E5B" w14:textId="77777777" w:rsidR="003208BA" w:rsidRDefault="003208BA" w:rsidP="00605916">
      <w:pPr>
        <w:pStyle w:val="Titre3"/>
      </w:pPr>
      <w:r>
        <w:t>Autres antibiotiques actifs sur MTBC</w:t>
      </w:r>
    </w:p>
    <w:p w14:paraId="1D751501" w14:textId="77777777" w:rsidR="003208BA" w:rsidRDefault="003208BA" w:rsidP="00742634">
      <w:pPr>
        <w:spacing w:line="276" w:lineRule="auto"/>
        <w:rPr>
          <w:color w:val="0070C0"/>
        </w:rPr>
      </w:pPr>
      <w:r>
        <w:rPr>
          <w:color w:val="0070C0"/>
        </w:rPr>
        <w:t xml:space="preserve">Fluoroquinolones : </w:t>
      </w:r>
      <w:r>
        <w:rPr>
          <w:noProof/>
        </w:rPr>
        <w:drawing>
          <wp:anchor distT="0" distB="0" distL="114300" distR="114300" simplePos="0" relativeHeight="251793408" behindDoc="0" locked="0" layoutInCell="1" hidden="0" allowOverlap="1" wp14:anchorId="4F70C763" wp14:editId="349E0645">
            <wp:simplePos x="0" y="0"/>
            <wp:positionH relativeFrom="column">
              <wp:posOffset>-241299</wp:posOffset>
            </wp:positionH>
            <wp:positionV relativeFrom="paragraph">
              <wp:posOffset>7951</wp:posOffset>
            </wp:positionV>
            <wp:extent cx="153670" cy="13716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2FB386D4" w14:textId="77777777" w:rsidR="003208BA" w:rsidRDefault="003208BA" w:rsidP="00742634">
      <w:pPr>
        <w:spacing w:line="276" w:lineRule="auto"/>
        <w:rPr>
          <w:color w:val="0070C0"/>
        </w:rPr>
      </w:pPr>
      <w:r>
        <w:rPr>
          <w:color w:val="0070C0"/>
        </w:rPr>
        <w:t>- Bactéricides sur les bacilles intra et extracellulaires.</w:t>
      </w:r>
    </w:p>
    <w:p w14:paraId="15484717" w14:textId="77777777" w:rsidR="003208BA" w:rsidRDefault="003208BA" w:rsidP="00742634">
      <w:pPr>
        <w:spacing w:line="276" w:lineRule="auto"/>
        <w:rPr>
          <w:color w:val="0070C0"/>
        </w:rPr>
      </w:pPr>
      <w:r>
        <w:rPr>
          <w:color w:val="0070C0"/>
        </w:rPr>
        <w:t xml:space="preserve">- </w:t>
      </w:r>
      <w:proofErr w:type="spellStart"/>
      <w:r>
        <w:rPr>
          <w:color w:val="0070C0"/>
        </w:rPr>
        <w:t>Moxifloxacine</w:t>
      </w:r>
      <w:proofErr w:type="spellEnd"/>
      <w:r>
        <w:rPr>
          <w:color w:val="0070C0"/>
        </w:rPr>
        <w:t xml:space="preserve"> (</w:t>
      </w:r>
      <w:proofErr w:type="spellStart"/>
      <w:r>
        <w:rPr>
          <w:color w:val="0070C0"/>
        </w:rPr>
        <w:t>Izilox</w:t>
      </w:r>
      <w:proofErr w:type="spellEnd"/>
      <w:r>
        <w:rPr>
          <w:color w:val="0070C0"/>
          <w:vertAlign w:val="superscript"/>
        </w:rPr>
        <w:t>®</w:t>
      </w:r>
      <w:r>
        <w:rPr>
          <w:color w:val="0070C0"/>
        </w:rPr>
        <w:t xml:space="preserve">) ou </w:t>
      </w:r>
      <w:proofErr w:type="spellStart"/>
      <w:r>
        <w:rPr>
          <w:color w:val="0070C0"/>
        </w:rPr>
        <w:t>lévofloxacine</w:t>
      </w:r>
      <w:proofErr w:type="spellEnd"/>
      <w:r>
        <w:rPr>
          <w:color w:val="0070C0"/>
        </w:rPr>
        <w:t xml:space="preserve"> (</w:t>
      </w:r>
      <w:proofErr w:type="spellStart"/>
      <w:r>
        <w:rPr>
          <w:color w:val="0070C0"/>
        </w:rPr>
        <w:t>Tavanic</w:t>
      </w:r>
      <w:proofErr w:type="spellEnd"/>
      <w:r>
        <w:rPr>
          <w:color w:val="0070C0"/>
        </w:rPr>
        <w:t>®).</w:t>
      </w:r>
    </w:p>
    <w:p w14:paraId="10DBE931" w14:textId="77777777" w:rsidR="003208BA" w:rsidRDefault="003208BA" w:rsidP="00742634">
      <w:pPr>
        <w:spacing w:line="276" w:lineRule="auto"/>
        <w:rPr>
          <w:color w:val="0070C0"/>
        </w:rPr>
      </w:pPr>
      <w:r>
        <w:rPr>
          <w:color w:val="0070C0"/>
        </w:rPr>
        <w:t>- Éviter de traiter une infection pulmonaire avec des fluoroquinolones en cas de suspicion de tuberculose (risque de négativer les prélèvements).</w:t>
      </w:r>
    </w:p>
    <w:p w14:paraId="5F8DBA3E" w14:textId="77777777" w:rsidR="003208BA" w:rsidRDefault="003208BA" w:rsidP="00742634">
      <w:pPr>
        <w:spacing w:line="276" w:lineRule="auto"/>
        <w:rPr>
          <w:color w:val="0070C0"/>
        </w:rPr>
      </w:pPr>
      <w:r>
        <w:rPr>
          <w:color w:val="0070C0"/>
        </w:rPr>
        <w:t>- À utiliser en cas de tuberculose résistante documentée.</w:t>
      </w:r>
    </w:p>
    <w:p w14:paraId="5B2EB443" w14:textId="77777777" w:rsidR="003208BA" w:rsidRDefault="003208BA" w:rsidP="00742634">
      <w:pPr>
        <w:spacing w:line="276" w:lineRule="auto"/>
        <w:rPr>
          <w:color w:val="0070C0"/>
        </w:rPr>
      </w:pPr>
      <w:proofErr w:type="spellStart"/>
      <w:r>
        <w:rPr>
          <w:color w:val="0070C0"/>
        </w:rPr>
        <w:t>Bédaquiline</w:t>
      </w:r>
      <w:proofErr w:type="spellEnd"/>
      <w:r>
        <w:rPr>
          <w:color w:val="0070C0"/>
        </w:rPr>
        <w:t xml:space="preserve">, </w:t>
      </w:r>
      <w:proofErr w:type="spellStart"/>
      <w:r>
        <w:rPr>
          <w:color w:val="0070C0"/>
        </w:rPr>
        <w:t>délamanide</w:t>
      </w:r>
      <w:proofErr w:type="spellEnd"/>
      <w:r>
        <w:rPr>
          <w:color w:val="0070C0"/>
        </w:rPr>
        <w:t xml:space="preserve">, </w:t>
      </w:r>
      <w:proofErr w:type="spellStart"/>
      <w:r>
        <w:rPr>
          <w:color w:val="0070C0"/>
        </w:rPr>
        <w:t>prétomanide</w:t>
      </w:r>
      <w:proofErr w:type="spellEnd"/>
      <w:r>
        <w:rPr>
          <w:color w:val="0070C0"/>
        </w:rPr>
        <w:t xml:space="preserve">, </w:t>
      </w:r>
      <w:proofErr w:type="spellStart"/>
      <w:r>
        <w:rPr>
          <w:color w:val="0070C0"/>
        </w:rPr>
        <w:t>linézolide</w:t>
      </w:r>
      <w:proofErr w:type="spellEnd"/>
      <w:r>
        <w:rPr>
          <w:color w:val="0070C0"/>
        </w:rPr>
        <w:t> : uniquement pour les formes résistantes documentées, après avis d’expert et discussion en réunion de concertation pluridisciplinaire.</w:t>
      </w:r>
    </w:p>
    <w:p w14:paraId="29C66314" w14:textId="77777777" w:rsidR="003208BA" w:rsidRDefault="003208BA" w:rsidP="00742634">
      <w:pPr>
        <w:spacing w:line="276" w:lineRule="auto"/>
        <w:ind w:left="360"/>
      </w:pPr>
      <w:r>
        <w:t xml:space="preserve"> </w:t>
      </w:r>
    </w:p>
    <w:p w14:paraId="3AD3CFF5" w14:textId="77777777" w:rsidR="003208BA" w:rsidRDefault="003208BA" w:rsidP="00605916">
      <w:pPr>
        <w:pStyle w:val="Titre3"/>
      </w:pPr>
      <w:r>
        <w:t>Associations fixes d’antituberculeux de première ligne (tableau 2)</w:t>
      </w:r>
    </w:p>
    <w:p w14:paraId="6ADDADBD" w14:textId="77777777" w:rsidR="003208BA" w:rsidRDefault="003208BA" w:rsidP="00742634">
      <w:pPr>
        <w:spacing w:line="276" w:lineRule="auto"/>
      </w:pPr>
      <w:r>
        <w:t xml:space="preserve"> - </w:t>
      </w:r>
      <w:proofErr w:type="spellStart"/>
      <w:r>
        <w:t>Rifater</w:t>
      </w:r>
      <w:proofErr w:type="spellEnd"/>
      <w:r>
        <w:rPr>
          <w:vertAlign w:val="superscript"/>
        </w:rPr>
        <w:t>®</w:t>
      </w:r>
      <w:r>
        <w:t> : dans le même comprimé 50 mg d’INH, 120 mg de RMP et 300 mg de PZA</w:t>
      </w:r>
      <w:r>
        <w:rPr>
          <w:vertAlign w:val="superscript"/>
        </w:rPr>
        <w:footnoteReference w:id="1"/>
      </w:r>
    </w:p>
    <w:p w14:paraId="555F0D4A" w14:textId="77777777" w:rsidR="003208BA" w:rsidRDefault="003208BA" w:rsidP="00742634">
      <w:pPr>
        <w:spacing w:line="276" w:lineRule="auto"/>
      </w:pPr>
      <w:r>
        <w:t xml:space="preserve">- </w:t>
      </w:r>
      <w:proofErr w:type="spellStart"/>
      <w:r>
        <w:t>Rifinah</w:t>
      </w:r>
      <w:proofErr w:type="spellEnd"/>
      <w:r>
        <w:rPr>
          <w:vertAlign w:val="superscript"/>
        </w:rPr>
        <w:t>®</w:t>
      </w:r>
      <w:r>
        <w:t> : dans le même comprimé 150 mg d’INH et 300 mg de RMP</w:t>
      </w:r>
      <w:r>
        <w:rPr>
          <w:vertAlign w:val="superscript"/>
        </w:rPr>
        <w:footnoteReference w:id="2"/>
      </w:r>
    </w:p>
    <w:p w14:paraId="3A8DC3CC" w14:textId="77777777" w:rsidR="003208BA" w:rsidRDefault="003208BA" w:rsidP="00742634">
      <w:pPr>
        <w:spacing w:line="276" w:lineRule="auto"/>
        <w:ind w:left="360"/>
      </w:pPr>
    </w:p>
    <w:p w14:paraId="6B9D42DF" w14:textId="6BC42D62" w:rsidR="003208BA" w:rsidRDefault="003208BA" w:rsidP="00605916">
      <w:pPr>
        <w:pStyle w:val="lgende"/>
      </w:pPr>
      <w:r>
        <w:t>Tableau 1 : Traitement antituberculeux de première ligne : médicaments disponibles sous formes orales séparées en France (les posologies ne sont pas exigées pour l’E</w:t>
      </w:r>
      <w:r w:rsidR="00E811C2">
        <w:t>D</w:t>
      </w:r>
      <w:r>
        <w:t>N et sont données à titre indicatif).</w:t>
      </w:r>
    </w:p>
    <w:tbl>
      <w:tblPr>
        <w:tblW w:w="9061"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1413"/>
        <w:gridCol w:w="1701"/>
        <w:gridCol w:w="4394"/>
        <w:gridCol w:w="1553"/>
      </w:tblGrid>
      <w:tr w:rsidR="003208BA" w14:paraId="6A2D7143" w14:textId="77777777" w:rsidTr="00D17E4C">
        <w:trPr>
          <w:trHeight w:val="223"/>
        </w:trPr>
        <w:tc>
          <w:tcPr>
            <w:tcW w:w="1413" w:type="dxa"/>
            <w:shd w:val="clear" w:color="auto" w:fill="D1D1D1" w:themeFill="background2" w:themeFillShade="E6"/>
            <w:tcMar>
              <w:top w:w="72" w:type="dxa"/>
              <w:left w:w="144" w:type="dxa"/>
              <w:bottom w:w="72" w:type="dxa"/>
              <w:right w:w="144" w:type="dxa"/>
            </w:tcMar>
          </w:tcPr>
          <w:p w14:paraId="0B1B5615" w14:textId="77777777" w:rsidR="003208BA" w:rsidRPr="00605916" w:rsidRDefault="003208BA" w:rsidP="00742634">
            <w:pPr>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lastRenderedPageBreak/>
              <w:t>Molécule</w:t>
            </w:r>
          </w:p>
        </w:tc>
        <w:tc>
          <w:tcPr>
            <w:tcW w:w="1701" w:type="dxa"/>
            <w:shd w:val="clear" w:color="auto" w:fill="D1D1D1" w:themeFill="background2" w:themeFillShade="E6"/>
            <w:tcMar>
              <w:top w:w="72" w:type="dxa"/>
              <w:left w:w="144" w:type="dxa"/>
              <w:bottom w:w="72" w:type="dxa"/>
              <w:right w:w="144" w:type="dxa"/>
            </w:tcMar>
          </w:tcPr>
          <w:p w14:paraId="32C21ADA" w14:textId="77777777" w:rsidR="003208BA" w:rsidRPr="00605916" w:rsidRDefault="003208BA" w:rsidP="00605916">
            <w:pPr>
              <w:spacing w:line="276" w:lineRule="auto"/>
              <w:ind w:left="-146" w:right="-139"/>
              <w:jc w:val="center"/>
              <w:rPr>
                <w:rFonts w:ascii="Calibri" w:eastAsia="Calibri" w:hAnsi="Calibri" w:cs="Calibri"/>
                <w:b/>
                <w:bCs/>
                <w:color w:val="000000" w:themeColor="text1"/>
              </w:rPr>
            </w:pPr>
            <w:r w:rsidRPr="00605916">
              <w:rPr>
                <w:rFonts w:ascii="Calibri" w:eastAsia="Calibri" w:hAnsi="Calibri" w:cs="Calibri"/>
                <w:b/>
                <w:bCs/>
                <w:color w:val="000000" w:themeColor="text1"/>
              </w:rPr>
              <w:t>Nom commercial</w:t>
            </w:r>
          </w:p>
        </w:tc>
        <w:tc>
          <w:tcPr>
            <w:tcW w:w="4394" w:type="dxa"/>
            <w:shd w:val="clear" w:color="auto" w:fill="D1D1D1" w:themeFill="background2" w:themeFillShade="E6"/>
            <w:tcMar>
              <w:top w:w="72" w:type="dxa"/>
              <w:left w:w="144" w:type="dxa"/>
              <w:bottom w:w="72" w:type="dxa"/>
              <w:right w:w="144" w:type="dxa"/>
            </w:tcMar>
          </w:tcPr>
          <w:p w14:paraId="5B8CF203" w14:textId="77777777" w:rsidR="003208BA" w:rsidRPr="00605916" w:rsidRDefault="003208BA" w:rsidP="00742634">
            <w:pPr>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Présentation</w:t>
            </w:r>
          </w:p>
        </w:tc>
        <w:tc>
          <w:tcPr>
            <w:tcW w:w="1553" w:type="dxa"/>
            <w:shd w:val="clear" w:color="auto" w:fill="D1D1D1" w:themeFill="background2" w:themeFillShade="E6"/>
            <w:tcMar>
              <w:top w:w="72" w:type="dxa"/>
              <w:left w:w="144" w:type="dxa"/>
              <w:bottom w:w="72" w:type="dxa"/>
              <w:right w:w="144" w:type="dxa"/>
            </w:tcMar>
          </w:tcPr>
          <w:p w14:paraId="492D4E9B" w14:textId="77777777" w:rsidR="003208BA" w:rsidRPr="00605916" w:rsidRDefault="003208BA" w:rsidP="00742634">
            <w:pPr>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Posologie</w:t>
            </w:r>
          </w:p>
        </w:tc>
      </w:tr>
      <w:tr w:rsidR="003208BA" w14:paraId="0AF294B5" w14:textId="77777777" w:rsidTr="00D17E4C">
        <w:trPr>
          <w:trHeight w:val="16"/>
        </w:trPr>
        <w:tc>
          <w:tcPr>
            <w:tcW w:w="1413" w:type="dxa"/>
            <w:tcMar>
              <w:top w:w="72" w:type="dxa"/>
              <w:left w:w="144" w:type="dxa"/>
              <w:bottom w:w="72" w:type="dxa"/>
              <w:right w:w="144" w:type="dxa"/>
            </w:tcMar>
            <w:vAlign w:val="center"/>
          </w:tcPr>
          <w:p w14:paraId="6C5F1930"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Isoniazide</w:t>
            </w:r>
          </w:p>
        </w:tc>
        <w:tc>
          <w:tcPr>
            <w:tcW w:w="1701" w:type="dxa"/>
            <w:tcMar>
              <w:top w:w="72" w:type="dxa"/>
              <w:left w:w="144" w:type="dxa"/>
              <w:bottom w:w="72" w:type="dxa"/>
              <w:right w:w="144" w:type="dxa"/>
            </w:tcMar>
            <w:vAlign w:val="center"/>
          </w:tcPr>
          <w:p w14:paraId="17563E53"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RIMIFON</w:t>
            </w:r>
            <w:r>
              <w:rPr>
                <w:rFonts w:ascii="Calibri" w:eastAsia="Calibri" w:hAnsi="Calibri" w:cs="Calibri"/>
                <w:vertAlign w:val="superscript"/>
              </w:rPr>
              <w:t>®</w:t>
            </w:r>
          </w:p>
        </w:tc>
        <w:tc>
          <w:tcPr>
            <w:tcW w:w="4394" w:type="dxa"/>
            <w:tcMar>
              <w:top w:w="72" w:type="dxa"/>
              <w:left w:w="144" w:type="dxa"/>
              <w:bottom w:w="72" w:type="dxa"/>
              <w:right w:w="144" w:type="dxa"/>
            </w:tcMar>
            <w:vAlign w:val="center"/>
          </w:tcPr>
          <w:p w14:paraId="62A1C19A" w14:textId="77777777" w:rsidR="003208BA" w:rsidRDefault="003208BA" w:rsidP="00742634">
            <w:pPr>
              <w:spacing w:line="276"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cp</w:t>
            </w:r>
            <w:proofErr w:type="spellEnd"/>
            <w:r>
              <w:rPr>
                <w:rFonts w:ascii="Calibri" w:eastAsia="Calibri" w:hAnsi="Calibri" w:cs="Calibri"/>
              </w:rPr>
              <w:t xml:space="preserve"> 150 mg (blanc)</w:t>
            </w:r>
          </w:p>
          <w:p w14:paraId="728D2DC6" w14:textId="77777777" w:rsidR="003208BA" w:rsidRDefault="003208BA" w:rsidP="00742634">
            <w:pPr>
              <w:spacing w:line="276"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cp</w:t>
            </w:r>
            <w:proofErr w:type="spellEnd"/>
            <w:r>
              <w:rPr>
                <w:rFonts w:ascii="Calibri" w:eastAsia="Calibri" w:hAnsi="Calibri" w:cs="Calibri"/>
              </w:rPr>
              <w:t xml:space="preserve"> 50 mg (blanc)</w:t>
            </w:r>
          </w:p>
        </w:tc>
        <w:tc>
          <w:tcPr>
            <w:tcW w:w="1553" w:type="dxa"/>
            <w:tcMar>
              <w:top w:w="72" w:type="dxa"/>
              <w:left w:w="144" w:type="dxa"/>
              <w:bottom w:w="72" w:type="dxa"/>
              <w:right w:w="144" w:type="dxa"/>
            </w:tcMar>
            <w:vAlign w:val="center"/>
          </w:tcPr>
          <w:p w14:paraId="2D21F64C"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3-5 mg/kg/j</w:t>
            </w:r>
          </w:p>
        </w:tc>
      </w:tr>
      <w:tr w:rsidR="003208BA" w14:paraId="7F6FDF9D" w14:textId="77777777" w:rsidTr="00D17E4C">
        <w:trPr>
          <w:trHeight w:val="20"/>
        </w:trPr>
        <w:tc>
          <w:tcPr>
            <w:tcW w:w="1413" w:type="dxa"/>
            <w:vMerge w:val="restart"/>
            <w:tcMar>
              <w:top w:w="72" w:type="dxa"/>
              <w:left w:w="144" w:type="dxa"/>
              <w:bottom w:w="72" w:type="dxa"/>
              <w:right w:w="144" w:type="dxa"/>
            </w:tcMar>
            <w:vAlign w:val="center"/>
          </w:tcPr>
          <w:p w14:paraId="173FA817"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Rifampicine</w:t>
            </w:r>
          </w:p>
        </w:tc>
        <w:tc>
          <w:tcPr>
            <w:tcW w:w="1701" w:type="dxa"/>
            <w:tcMar>
              <w:top w:w="72" w:type="dxa"/>
              <w:left w:w="144" w:type="dxa"/>
              <w:bottom w:w="72" w:type="dxa"/>
              <w:right w:w="144" w:type="dxa"/>
            </w:tcMar>
            <w:vAlign w:val="center"/>
          </w:tcPr>
          <w:p w14:paraId="00204703"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RIFADINE</w:t>
            </w:r>
            <w:r>
              <w:rPr>
                <w:rFonts w:ascii="Calibri" w:eastAsia="Calibri" w:hAnsi="Calibri" w:cs="Calibri"/>
                <w:vertAlign w:val="superscript"/>
              </w:rPr>
              <w:t>®</w:t>
            </w:r>
          </w:p>
        </w:tc>
        <w:tc>
          <w:tcPr>
            <w:tcW w:w="4394" w:type="dxa"/>
            <w:tcMar>
              <w:top w:w="72" w:type="dxa"/>
              <w:left w:w="144" w:type="dxa"/>
              <w:bottom w:w="72" w:type="dxa"/>
              <w:right w:w="144" w:type="dxa"/>
            </w:tcMar>
            <w:vAlign w:val="center"/>
          </w:tcPr>
          <w:p w14:paraId="7150EA98" w14:textId="77777777" w:rsidR="003208BA" w:rsidRDefault="003208BA" w:rsidP="00742634">
            <w:pPr>
              <w:spacing w:line="276"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gél</w:t>
            </w:r>
            <w:proofErr w:type="spellEnd"/>
            <w:r>
              <w:rPr>
                <w:rFonts w:ascii="Calibri" w:eastAsia="Calibri" w:hAnsi="Calibri" w:cs="Calibri"/>
              </w:rPr>
              <w:t>. 300 mg (rouge)</w:t>
            </w:r>
          </w:p>
          <w:p w14:paraId="4844C560" w14:textId="77777777" w:rsidR="003208BA" w:rsidRDefault="003208BA" w:rsidP="00605916">
            <w:pPr>
              <w:spacing w:line="276" w:lineRule="auto"/>
              <w:ind w:right="-8"/>
              <w:rPr>
                <w:rFonts w:ascii="Calibri" w:eastAsia="Calibri" w:hAnsi="Calibri" w:cs="Calibri"/>
              </w:rPr>
            </w:pPr>
            <w:r>
              <w:rPr>
                <w:rFonts w:ascii="Calibri" w:eastAsia="Calibri" w:hAnsi="Calibri" w:cs="Calibri"/>
              </w:rPr>
              <w:t xml:space="preserve">- susp. </w:t>
            </w:r>
            <w:proofErr w:type="spellStart"/>
            <w:proofErr w:type="gramStart"/>
            <w:r>
              <w:rPr>
                <w:rFonts w:ascii="Calibri" w:eastAsia="Calibri" w:hAnsi="Calibri" w:cs="Calibri"/>
              </w:rPr>
              <w:t>buv</w:t>
            </w:r>
            <w:proofErr w:type="spellEnd"/>
            <w:proofErr w:type="gramEnd"/>
            <w:r>
              <w:rPr>
                <w:rFonts w:ascii="Calibri" w:eastAsia="Calibri" w:hAnsi="Calibri" w:cs="Calibri"/>
              </w:rPr>
              <w:t>. 2 % (arôme framboise) : 5 </w:t>
            </w:r>
            <w:proofErr w:type="spellStart"/>
            <w:r>
              <w:rPr>
                <w:rFonts w:ascii="Calibri" w:eastAsia="Calibri" w:hAnsi="Calibri" w:cs="Calibri"/>
              </w:rPr>
              <w:t>mL</w:t>
            </w:r>
            <w:proofErr w:type="spellEnd"/>
            <w:r>
              <w:rPr>
                <w:rFonts w:ascii="Calibri" w:eastAsia="Calibri" w:hAnsi="Calibri" w:cs="Calibri"/>
              </w:rPr>
              <w:t xml:space="preserve"> = 100 mg</w:t>
            </w:r>
          </w:p>
        </w:tc>
        <w:tc>
          <w:tcPr>
            <w:tcW w:w="1553" w:type="dxa"/>
            <w:tcMar>
              <w:top w:w="72" w:type="dxa"/>
              <w:left w:w="144" w:type="dxa"/>
              <w:bottom w:w="72" w:type="dxa"/>
              <w:right w:w="144" w:type="dxa"/>
            </w:tcMar>
            <w:vAlign w:val="center"/>
          </w:tcPr>
          <w:p w14:paraId="1154DB5B"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10 mg/kg/j</w:t>
            </w:r>
          </w:p>
        </w:tc>
      </w:tr>
      <w:tr w:rsidR="003208BA" w14:paraId="7FD233B9" w14:textId="77777777" w:rsidTr="00D17E4C">
        <w:trPr>
          <w:trHeight w:val="20"/>
        </w:trPr>
        <w:tc>
          <w:tcPr>
            <w:tcW w:w="1413" w:type="dxa"/>
            <w:vMerge/>
            <w:tcMar>
              <w:top w:w="72" w:type="dxa"/>
              <w:left w:w="144" w:type="dxa"/>
              <w:bottom w:w="72" w:type="dxa"/>
              <w:right w:w="144" w:type="dxa"/>
            </w:tcMar>
            <w:vAlign w:val="center"/>
          </w:tcPr>
          <w:p w14:paraId="01E274AA" w14:textId="77777777" w:rsidR="003208BA" w:rsidRDefault="003208BA" w:rsidP="00742634">
            <w:pPr>
              <w:widowControl w:val="0"/>
              <w:pBdr>
                <w:top w:val="nil"/>
                <w:left w:val="nil"/>
                <w:bottom w:val="nil"/>
                <w:right w:val="nil"/>
                <w:between w:val="nil"/>
              </w:pBdr>
              <w:spacing w:line="276" w:lineRule="auto"/>
              <w:jc w:val="left"/>
              <w:rPr>
                <w:rFonts w:ascii="Calibri" w:eastAsia="Calibri" w:hAnsi="Calibri" w:cs="Calibri"/>
              </w:rPr>
            </w:pPr>
          </w:p>
        </w:tc>
        <w:tc>
          <w:tcPr>
            <w:tcW w:w="1701" w:type="dxa"/>
            <w:tcMar>
              <w:top w:w="72" w:type="dxa"/>
              <w:left w:w="144" w:type="dxa"/>
              <w:bottom w:w="72" w:type="dxa"/>
              <w:right w:w="144" w:type="dxa"/>
            </w:tcMar>
            <w:vAlign w:val="center"/>
          </w:tcPr>
          <w:p w14:paraId="67A23D27"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RIMACTAN</w:t>
            </w:r>
            <w:r>
              <w:rPr>
                <w:rFonts w:ascii="Calibri" w:eastAsia="Calibri" w:hAnsi="Calibri" w:cs="Calibri"/>
                <w:vertAlign w:val="superscript"/>
              </w:rPr>
              <w:t>®</w:t>
            </w:r>
          </w:p>
        </w:tc>
        <w:tc>
          <w:tcPr>
            <w:tcW w:w="4394" w:type="dxa"/>
            <w:tcMar>
              <w:top w:w="72" w:type="dxa"/>
              <w:left w:w="144" w:type="dxa"/>
              <w:bottom w:w="72" w:type="dxa"/>
              <w:right w:w="144" w:type="dxa"/>
            </w:tcMar>
            <w:vAlign w:val="center"/>
          </w:tcPr>
          <w:p w14:paraId="5610DF21" w14:textId="77777777" w:rsidR="003208BA" w:rsidRDefault="003208BA" w:rsidP="00742634">
            <w:pPr>
              <w:spacing w:line="276"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gél</w:t>
            </w:r>
            <w:proofErr w:type="spellEnd"/>
            <w:r>
              <w:rPr>
                <w:rFonts w:ascii="Calibri" w:eastAsia="Calibri" w:hAnsi="Calibri" w:cs="Calibri"/>
              </w:rPr>
              <w:t>. 300 mg (brun et rouge)</w:t>
            </w:r>
          </w:p>
        </w:tc>
        <w:tc>
          <w:tcPr>
            <w:tcW w:w="1553" w:type="dxa"/>
            <w:tcMar>
              <w:top w:w="72" w:type="dxa"/>
              <w:left w:w="144" w:type="dxa"/>
              <w:bottom w:w="72" w:type="dxa"/>
              <w:right w:w="144" w:type="dxa"/>
            </w:tcMar>
            <w:vAlign w:val="center"/>
          </w:tcPr>
          <w:p w14:paraId="604CDD49"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10 mg/kg/j</w:t>
            </w:r>
          </w:p>
        </w:tc>
      </w:tr>
      <w:tr w:rsidR="003208BA" w14:paraId="30C0F92A" w14:textId="77777777" w:rsidTr="00D17E4C">
        <w:trPr>
          <w:trHeight w:val="20"/>
        </w:trPr>
        <w:tc>
          <w:tcPr>
            <w:tcW w:w="1413" w:type="dxa"/>
            <w:vMerge w:val="restart"/>
            <w:tcMar>
              <w:top w:w="72" w:type="dxa"/>
              <w:left w:w="144" w:type="dxa"/>
              <w:bottom w:w="72" w:type="dxa"/>
              <w:right w:w="144" w:type="dxa"/>
            </w:tcMar>
            <w:vAlign w:val="center"/>
          </w:tcPr>
          <w:p w14:paraId="3E174A3A" w14:textId="77777777" w:rsidR="003208BA" w:rsidRDefault="003208BA" w:rsidP="00742634">
            <w:pPr>
              <w:spacing w:line="276" w:lineRule="auto"/>
              <w:jc w:val="center"/>
              <w:rPr>
                <w:rFonts w:ascii="Calibri" w:eastAsia="Calibri" w:hAnsi="Calibri" w:cs="Calibri"/>
              </w:rPr>
            </w:pPr>
            <w:proofErr w:type="spellStart"/>
            <w:r>
              <w:rPr>
                <w:rFonts w:ascii="Calibri" w:eastAsia="Calibri" w:hAnsi="Calibri" w:cs="Calibri"/>
              </w:rPr>
              <w:t>Ethambutol</w:t>
            </w:r>
            <w:proofErr w:type="spellEnd"/>
          </w:p>
        </w:tc>
        <w:tc>
          <w:tcPr>
            <w:tcW w:w="1701" w:type="dxa"/>
            <w:tcMar>
              <w:top w:w="72" w:type="dxa"/>
              <w:left w:w="144" w:type="dxa"/>
              <w:bottom w:w="72" w:type="dxa"/>
              <w:right w:w="144" w:type="dxa"/>
            </w:tcMar>
            <w:vAlign w:val="center"/>
          </w:tcPr>
          <w:p w14:paraId="1E875D07"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MYAMBUTOL</w:t>
            </w:r>
            <w:r>
              <w:rPr>
                <w:rFonts w:ascii="Calibri" w:eastAsia="Calibri" w:hAnsi="Calibri" w:cs="Calibri"/>
                <w:vertAlign w:val="superscript"/>
              </w:rPr>
              <w:t>®</w:t>
            </w:r>
          </w:p>
        </w:tc>
        <w:tc>
          <w:tcPr>
            <w:tcW w:w="4394" w:type="dxa"/>
            <w:tcMar>
              <w:top w:w="72" w:type="dxa"/>
              <w:left w:w="144" w:type="dxa"/>
              <w:bottom w:w="72" w:type="dxa"/>
              <w:right w:w="144" w:type="dxa"/>
            </w:tcMar>
            <w:vAlign w:val="center"/>
          </w:tcPr>
          <w:p w14:paraId="4A0893BC" w14:textId="77777777" w:rsidR="003208BA" w:rsidRDefault="003208BA" w:rsidP="00742634">
            <w:pPr>
              <w:spacing w:line="276"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cp</w:t>
            </w:r>
            <w:proofErr w:type="spellEnd"/>
            <w:r>
              <w:rPr>
                <w:rFonts w:ascii="Calibri" w:eastAsia="Calibri" w:hAnsi="Calibri" w:cs="Calibri"/>
              </w:rPr>
              <w:t xml:space="preserve"> 400 mg (jaune)</w:t>
            </w:r>
          </w:p>
        </w:tc>
        <w:tc>
          <w:tcPr>
            <w:tcW w:w="1553" w:type="dxa"/>
            <w:tcMar>
              <w:top w:w="72" w:type="dxa"/>
              <w:left w:w="144" w:type="dxa"/>
              <w:bottom w:w="72" w:type="dxa"/>
              <w:right w:w="144" w:type="dxa"/>
            </w:tcMar>
            <w:vAlign w:val="center"/>
          </w:tcPr>
          <w:p w14:paraId="461863FF"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15-20 mg/kg/j</w:t>
            </w:r>
          </w:p>
        </w:tc>
      </w:tr>
      <w:tr w:rsidR="003208BA" w14:paraId="28BA619A" w14:textId="77777777" w:rsidTr="00D17E4C">
        <w:trPr>
          <w:trHeight w:val="20"/>
        </w:trPr>
        <w:tc>
          <w:tcPr>
            <w:tcW w:w="1413" w:type="dxa"/>
            <w:vMerge/>
            <w:tcMar>
              <w:top w:w="72" w:type="dxa"/>
              <w:left w:w="144" w:type="dxa"/>
              <w:bottom w:w="72" w:type="dxa"/>
              <w:right w:w="144" w:type="dxa"/>
            </w:tcMar>
            <w:vAlign w:val="center"/>
          </w:tcPr>
          <w:p w14:paraId="76239DB1" w14:textId="77777777" w:rsidR="003208BA" w:rsidRDefault="003208BA" w:rsidP="00742634">
            <w:pPr>
              <w:widowControl w:val="0"/>
              <w:pBdr>
                <w:top w:val="nil"/>
                <w:left w:val="nil"/>
                <w:bottom w:val="nil"/>
                <w:right w:val="nil"/>
                <w:between w:val="nil"/>
              </w:pBdr>
              <w:spacing w:line="276" w:lineRule="auto"/>
              <w:jc w:val="left"/>
              <w:rPr>
                <w:rFonts w:ascii="Calibri" w:eastAsia="Calibri" w:hAnsi="Calibri" w:cs="Calibri"/>
              </w:rPr>
            </w:pPr>
          </w:p>
        </w:tc>
        <w:tc>
          <w:tcPr>
            <w:tcW w:w="1701" w:type="dxa"/>
            <w:tcMar>
              <w:top w:w="72" w:type="dxa"/>
              <w:left w:w="144" w:type="dxa"/>
              <w:bottom w:w="72" w:type="dxa"/>
              <w:right w:w="144" w:type="dxa"/>
            </w:tcMar>
            <w:vAlign w:val="center"/>
          </w:tcPr>
          <w:p w14:paraId="4F657C8C"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DEXAMBUTOL</w:t>
            </w:r>
            <w:r>
              <w:rPr>
                <w:rFonts w:ascii="Calibri" w:eastAsia="Calibri" w:hAnsi="Calibri" w:cs="Calibri"/>
                <w:vertAlign w:val="superscript"/>
              </w:rPr>
              <w:t>®</w:t>
            </w:r>
          </w:p>
        </w:tc>
        <w:tc>
          <w:tcPr>
            <w:tcW w:w="4394" w:type="dxa"/>
            <w:tcMar>
              <w:top w:w="72" w:type="dxa"/>
              <w:left w:w="144" w:type="dxa"/>
              <w:bottom w:w="72" w:type="dxa"/>
              <w:right w:w="144" w:type="dxa"/>
            </w:tcMar>
            <w:vAlign w:val="center"/>
          </w:tcPr>
          <w:p w14:paraId="0367DA69" w14:textId="77777777" w:rsidR="003208BA" w:rsidRDefault="003208BA" w:rsidP="00742634">
            <w:pPr>
              <w:spacing w:line="276"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cp</w:t>
            </w:r>
            <w:proofErr w:type="spellEnd"/>
            <w:r>
              <w:rPr>
                <w:rFonts w:ascii="Calibri" w:eastAsia="Calibri" w:hAnsi="Calibri" w:cs="Calibri"/>
              </w:rPr>
              <w:t xml:space="preserve"> 500 mg (bleu)</w:t>
            </w:r>
          </w:p>
        </w:tc>
        <w:tc>
          <w:tcPr>
            <w:tcW w:w="1553" w:type="dxa"/>
            <w:tcMar>
              <w:top w:w="72" w:type="dxa"/>
              <w:left w:w="144" w:type="dxa"/>
              <w:bottom w:w="72" w:type="dxa"/>
              <w:right w:w="144" w:type="dxa"/>
            </w:tcMar>
            <w:vAlign w:val="center"/>
          </w:tcPr>
          <w:p w14:paraId="42328F90"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15-20 mg/kg/j</w:t>
            </w:r>
          </w:p>
        </w:tc>
      </w:tr>
      <w:tr w:rsidR="003208BA" w14:paraId="13281B8D" w14:textId="77777777" w:rsidTr="00D17E4C">
        <w:trPr>
          <w:trHeight w:val="16"/>
        </w:trPr>
        <w:tc>
          <w:tcPr>
            <w:tcW w:w="1413" w:type="dxa"/>
            <w:tcMar>
              <w:top w:w="72" w:type="dxa"/>
              <w:left w:w="144" w:type="dxa"/>
              <w:bottom w:w="72" w:type="dxa"/>
              <w:right w:w="144" w:type="dxa"/>
            </w:tcMar>
            <w:vAlign w:val="center"/>
          </w:tcPr>
          <w:p w14:paraId="113F2611" w14:textId="77777777" w:rsidR="003208BA" w:rsidRDefault="003208BA" w:rsidP="00742634">
            <w:pPr>
              <w:spacing w:line="276" w:lineRule="auto"/>
              <w:jc w:val="center"/>
              <w:rPr>
                <w:rFonts w:ascii="Calibri" w:eastAsia="Calibri" w:hAnsi="Calibri" w:cs="Calibri"/>
              </w:rPr>
            </w:pPr>
            <w:proofErr w:type="spellStart"/>
            <w:r>
              <w:rPr>
                <w:rFonts w:ascii="Calibri" w:eastAsia="Calibri" w:hAnsi="Calibri" w:cs="Calibri"/>
              </w:rPr>
              <w:t>Pyrazinamide</w:t>
            </w:r>
            <w:proofErr w:type="spellEnd"/>
          </w:p>
        </w:tc>
        <w:tc>
          <w:tcPr>
            <w:tcW w:w="1701" w:type="dxa"/>
            <w:tcMar>
              <w:top w:w="72" w:type="dxa"/>
              <w:left w:w="144" w:type="dxa"/>
              <w:bottom w:w="72" w:type="dxa"/>
              <w:right w:w="144" w:type="dxa"/>
            </w:tcMar>
            <w:vAlign w:val="center"/>
          </w:tcPr>
          <w:p w14:paraId="3EA41AD7"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PIRILÈNE</w:t>
            </w:r>
            <w:r>
              <w:rPr>
                <w:rFonts w:ascii="Calibri" w:eastAsia="Calibri" w:hAnsi="Calibri" w:cs="Calibri"/>
                <w:vertAlign w:val="superscript"/>
              </w:rPr>
              <w:t>®</w:t>
            </w:r>
          </w:p>
        </w:tc>
        <w:tc>
          <w:tcPr>
            <w:tcW w:w="4394" w:type="dxa"/>
            <w:tcMar>
              <w:top w:w="72" w:type="dxa"/>
              <w:left w:w="144" w:type="dxa"/>
              <w:bottom w:w="72" w:type="dxa"/>
              <w:right w:w="144" w:type="dxa"/>
            </w:tcMar>
            <w:vAlign w:val="center"/>
          </w:tcPr>
          <w:p w14:paraId="38A67A94" w14:textId="77777777" w:rsidR="003208BA" w:rsidRDefault="003208BA" w:rsidP="00742634">
            <w:pPr>
              <w:spacing w:line="276" w:lineRule="auto"/>
              <w:jc w:val="left"/>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cp</w:t>
            </w:r>
            <w:proofErr w:type="spellEnd"/>
            <w:r>
              <w:rPr>
                <w:rFonts w:ascii="Calibri" w:eastAsia="Calibri" w:hAnsi="Calibri" w:cs="Calibri"/>
              </w:rPr>
              <w:t xml:space="preserve"> 500 mg (blanc)</w:t>
            </w:r>
          </w:p>
        </w:tc>
        <w:tc>
          <w:tcPr>
            <w:tcW w:w="1553" w:type="dxa"/>
            <w:tcMar>
              <w:top w:w="72" w:type="dxa"/>
              <w:left w:w="144" w:type="dxa"/>
              <w:bottom w:w="72" w:type="dxa"/>
              <w:right w:w="144" w:type="dxa"/>
            </w:tcMar>
            <w:vAlign w:val="center"/>
          </w:tcPr>
          <w:p w14:paraId="65B95CC0"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25-30 mg/kg/j</w:t>
            </w:r>
          </w:p>
        </w:tc>
      </w:tr>
    </w:tbl>
    <w:p w14:paraId="04B5B5FC" w14:textId="77777777" w:rsidR="003208BA" w:rsidRDefault="003208BA" w:rsidP="00742634">
      <w:pPr>
        <w:spacing w:line="276" w:lineRule="auto"/>
      </w:pPr>
    </w:p>
    <w:p w14:paraId="4A133C25" w14:textId="77777777" w:rsidR="003208BA" w:rsidRDefault="003208BA" w:rsidP="00605916">
      <w:pPr>
        <w:pStyle w:val="lgende"/>
      </w:pPr>
      <w:r>
        <w:t>Tableau 2 : Traitement antituberculeux de première ligne : associations fixes orales disponibles en France.</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1555"/>
        <w:gridCol w:w="1842"/>
        <w:gridCol w:w="3828"/>
        <w:gridCol w:w="1842"/>
      </w:tblGrid>
      <w:tr w:rsidR="003208BA" w14:paraId="36579A90" w14:textId="77777777" w:rsidTr="00D17E4C">
        <w:trPr>
          <w:trHeight w:val="338"/>
        </w:trPr>
        <w:tc>
          <w:tcPr>
            <w:tcW w:w="1555" w:type="dxa"/>
            <w:shd w:val="clear" w:color="auto" w:fill="D1D1D1" w:themeFill="background2" w:themeFillShade="E6"/>
            <w:tcMar>
              <w:top w:w="72" w:type="dxa"/>
              <w:left w:w="144" w:type="dxa"/>
              <w:bottom w:w="72" w:type="dxa"/>
              <w:right w:w="144" w:type="dxa"/>
            </w:tcMar>
            <w:vAlign w:val="center"/>
          </w:tcPr>
          <w:p w14:paraId="5EF728BD" w14:textId="77777777" w:rsidR="003208BA" w:rsidRPr="00605916" w:rsidRDefault="003208BA" w:rsidP="00742634">
            <w:pPr>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Molécules</w:t>
            </w:r>
          </w:p>
        </w:tc>
        <w:tc>
          <w:tcPr>
            <w:tcW w:w="1842" w:type="dxa"/>
            <w:shd w:val="clear" w:color="auto" w:fill="D1D1D1" w:themeFill="background2" w:themeFillShade="E6"/>
            <w:tcMar>
              <w:top w:w="72" w:type="dxa"/>
              <w:left w:w="144" w:type="dxa"/>
              <w:bottom w:w="72" w:type="dxa"/>
              <w:right w:w="144" w:type="dxa"/>
            </w:tcMar>
            <w:vAlign w:val="center"/>
          </w:tcPr>
          <w:p w14:paraId="4AE2B792" w14:textId="77777777" w:rsidR="003208BA" w:rsidRPr="00605916" w:rsidRDefault="003208BA" w:rsidP="00742634">
            <w:pPr>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Nom commercial</w:t>
            </w:r>
          </w:p>
        </w:tc>
        <w:tc>
          <w:tcPr>
            <w:tcW w:w="3828" w:type="dxa"/>
            <w:shd w:val="clear" w:color="auto" w:fill="D1D1D1" w:themeFill="background2" w:themeFillShade="E6"/>
            <w:tcMar>
              <w:top w:w="72" w:type="dxa"/>
              <w:left w:w="144" w:type="dxa"/>
              <w:bottom w:w="72" w:type="dxa"/>
              <w:right w:w="144" w:type="dxa"/>
            </w:tcMar>
            <w:vAlign w:val="center"/>
          </w:tcPr>
          <w:p w14:paraId="76A93EDE" w14:textId="77777777" w:rsidR="003208BA" w:rsidRPr="00605916" w:rsidRDefault="003208BA" w:rsidP="00742634">
            <w:pPr>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Présentation</w:t>
            </w:r>
          </w:p>
        </w:tc>
        <w:tc>
          <w:tcPr>
            <w:tcW w:w="1842" w:type="dxa"/>
            <w:shd w:val="clear" w:color="auto" w:fill="D1D1D1" w:themeFill="background2" w:themeFillShade="E6"/>
            <w:tcMar>
              <w:top w:w="72" w:type="dxa"/>
              <w:left w:w="144" w:type="dxa"/>
              <w:bottom w:w="72" w:type="dxa"/>
              <w:right w:w="144" w:type="dxa"/>
            </w:tcMar>
            <w:vAlign w:val="center"/>
          </w:tcPr>
          <w:p w14:paraId="55DDBAE4" w14:textId="77777777" w:rsidR="003208BA" w:rsidRPr="00605916" w:rsidRDefault="003208BA" w:rsidP="00742634">
            <w:pPr>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Posologie</w:t>
            </w:r>
          </w:p>
        </w:tc>
      </w:tr>
      <w:tr w:rsidR="003208BA" w14:paraId="07179C74" w14:textId="77777777" w:rsidTr="00D17E4C">
        <w:trPr>
          <w:trHeight w:val="16"/>
        </w:trPr>
        <w:tc>
          <w:tcPr>
            <w:tcW w:w="1555" w:type="dxa"/>
            <w:tcMar>
              <w:top w:w="72" w:type="dxa"/>
              <w:left w:w="144" w:type="dxa"/>
              <w:bottom w:w="72" w:type="dxa"/>
              <w:right w:w="144" w:type="dxa"/>
            </w:tcMar>
            <w:vAlign w:val="center"/>
          </w:tcPr>
          <w:p w14:paraId="59D16911"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 xml:space="preserve">Isoniazide + Rifampicine + </w:t>
            </w:r>
            <w:proofErr w:type="spellStart"/>
            <w:r>
              <w:rPr>
                <w:rFonts w:ascii="Calibri" w:eastAsia="Calibri" w:hAnsi="Calibri" w:cs="Calibri"/>
              </w:rPr>
              <w:t>Pyrazinamide</w:t>
            </w:r>
            <w:proofErr w:type="spellEnd"/>
          </w:p>
        </w:tc>
        <w:tc>
          <w:tcPr>
            <w:tcW w:w="1842" w:type="dxa"/>
            <w:tcMar>
              <w:top w:w="72" w:type="dxa"/>
              <w:left w:w="144" w:type="dxa"/>
              <w:bottom w:w="72" w:type="dxa"/>
              <w:right w:w="144" w:type="dxa"/>
            </w:tcMar>
            <w:vAlign w:val="center"/>
          </w:tcPr>
          <w:p w14:paraId="51B89A73"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RIFATER</w:t>
            </w:r>
            <w:r>
              <w:rPr>
                <w:rFonts w:ascii="Calibri" w:eastAsia="Calibri" w:hAnsi="Calibri" w:cs="Calibri"/>
                <w:vertAlign w:val="superscript"/>
              </w:rPr>
              <w:t>®</w:t>
            </w:r>
          </w:p>
        </w:tc>
        <w:tc>
          <w:tcPr>
            <w:tcW w:w="3828" w:type="dxa"/>
            <w:tcMar>
              <w:top w:w="72" w:type="dxa"/>
              <w:left w:w="144" w:type="dxa"/>
              <w:bottom w:w="72" w:type="dxa"/>
              <w:right w:w="144" w:type="dxa"/>
            </w:tcMar>
            <w:vAlign w:val="center"/>
          </w:tcPr>
          <w:p w14:paraId="320A0F7C" w14:textId="77777777" w:rsidR="003208BA" w:rsidRPr="006A19C8" w:rsidRDefault="003208BA" w:rsidP="00742634">
            <w:pPr>
              <w:spacing w:line="276" w:lineRule="auto"/>
              <w:jc w:val="center"/>
              <w:rPr>
                <w:rFonts w:ascii="Calibri" w:eastAsia="Calibri" w:hAnsi="Calibri" w:cs="Calibri"/>
                <w:lang w:val="en-US"/>
              </w:rPr>
            </w:pPr>
            <w:r w:rsidRPr="006A19C8">
              <w:rPr>
                <w:rFonts w:ascii="Calibri" w:eastAsia="Calibri" w:hAnsi="Calibri" w:cs="Calibri"/>
                <w:lang w:val="en-US"/>
              </w:rPr>
              <w:t>cp 50 mg INH + 120 mg RMP + 300 mg PZA (rose)</w:t>
            </w:r>
          </w:p>
        </w:tc>
        <w:tc>
          <w:tcPr>
            <w:tcW w:w="1842" w:type="dxa"/>
            <w:tcMar>
              <w:top w:w="72" w:type="dxa"/>
              <w:left w:w="144" w:type="dxa"/>
              <w:bottom w:w="72" w:type="dxa"/>
              <w:right w:w="144" w:type="dxa"/>
            </w:tcMar>
            <w:vAlign w:val="center"/>
          </w:tcPr>
          <w:p w14:paraId="4700DC7E"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 xml:space="preserve">1 </w:t>
            </w:r>
            <w:proofErr w:type="spellStart"/>
            <w:r>
              <w:rPr>
                <w:rFonts w:ascii="Calibri" w:eastAsia="Calibri" w:hAnsi="Calibri" w:cs="Calibri"/>
              </w:rPr>
              <w:t>cp</w:t>
            </w:r>
            <w:proofErr w:type="spellEnd"/>
            <w:r>
              <w:rPr>
                <w:rFonts w:ascii="Calibri" w:eastAsia="Calibri" w:hAnsi="Calibri" w:cs="Calibri"/>
              </w:rPr>
              <w:t xml:space="preserve"> pour 12 kg de poids</w:t>
            </w:r>
          </w:p>
        </w:tc>
      </w:tr>
      <w:tr w:rsidR="003208BA" w14:paraId="738A7C4A" w14:textId="77777777" w:rsidTr="00D17E4C">
        <w:trPr>
          <w:trHeight w:val="16"/>
        </w:trPr>
        <w:tc>
          <w:tcPr>
            <w:tcW w:w="1555" w:type="dxa"/>
            <w:tcMar>
              <w:top w:w="72" w:type="dxa"/>
              <w:left w:w="144" w:type="dxa"/>
              <w:bottom w:w="72" w:type="dxa"/>
              <w:right w:w="144" w:type="dxa"/>
            </w:tcMar>
            <w:vAlign w:val="center"/>
          </w:tcPr>
          <w:p w14:paraId="2FD9B6FA"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Isoniazide + Rifampicine</w:t>
            </w:r>
          </w:p>
        </w:tc>
        <w:tc>
          <w:tcPr>
            <w:tcW w:w="1842" w:type="dxa"/>
            <w:tcMar>
              <w:top w:w="72" w:type="dxa"/>
              <w:left w:w="144" w:type="dxa"/>
              <w:bottom w:w="72" w:type="dxa"/>
              <w:right w:w="144" w:type="dxa"/>
            </w:tcMar>
            <w:vAlign w:val="center"/>
          </w:tcPr>
          <w:p w14:paraId="4E4D6E6F"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RIFINAH</w:t>
            </w:r>
            <w:r>
              <w:rPr>
                <w:rFonts w:ascii="Calibri" w:eastAsia="Calibri" w:hAnsi="Calibri" w:cs="Calibri"/>
                <w:vertAlign w:val="superscript"/>
              </w:rPr>
              <w:t>®</w:t>
            </w:r>
          </w:p>
        </w:tc>
        <w:tc>
          <w:tcPr>
            <w:tcW w:w="3828" w:type="dxa"/>
            <w:tcMar>
              <w:top w:w="72" w:type="dxa"/>
              <w:left w:w="144" w:type="dxa"/>
              <w:bottom w:w="72" w:type="dxa"/>
              <w:right w:w="144" w:type="dxa"/>
            </w:tcMar>
            <w:vAlign w:val="center"/>
          </w:tcPr>
          <w:p w14:paraId="0B927B75" w14:textId="77777777" w:rsidR="003208BA" w:rsidRPr="006A19C8" w:rsidRDefault="003208BA" w:rsidP="00742634">
            <w:pPr>
              <w:spacing w:line="276" w:lineRule="auto"/>
              <w:jc w:val="center"/>
              <w:rPr>
                <w:rFonts w:ascii="Calibri" w:eastAsia="Calibri" w:hAnsi="Calibri" w:cs="Calibri"/>
                <w:lang w:val="en-US"/>
              </w:rPr>
            </w:pPr>
            <w:r w:rsidRPr="006A19C8">
              <w:rPr>
                <w:rFonts w:ascii="Calibri" w:eastAsia="Calibri" w:hAnsi="Calibri" w:cs="Calibri"/>
                <w:lang w:val="en-US"/>
              </w:rPr>
              <w:t>cp 150 mg INH + 300 mg RMP (orange)</w:t>
            </w:r>
          </w:p>
        </w:tc>
        <w:tc>
          <w:tcPr>
            <w:tcW w:w="1842" w:type="dxa"/>
            <w:tcMar>
              <w:top w:w="72" w:type="dxa"/>
              <w:left w:w="144" w:type="dxa"/>
              <w:bottom w:w="72" w:type="dxa"/>
              <w:right w:w="144" w:type="dxa"/>
            </w:tcMar>
            <w:vAlign w:val="center"/>
          </w:tcPr>
          <w:p w14:paraId="0D96F6E6" w14:textId="77777777" w:rsidR="003208BA" w:rsidRDefault="003208BA" w:rsidP="00742634">
            <w:pPr>
              <w:spacing w:line="276" w:lineRule="auto"/>
              <w:jc w:val="center"/>
              <w:rPr>
                <w:rFonts w:ascii="Calibri" w:eastAsia="Calibri" w:hAnsi="Calibri" w:cs="Calibri"/>
              </w:rPr>
            </w:pPr>
            <w:r>
              <w:rPr>
                <w:rFonts w:ascii="Calibri" w:eastAsia="Calibri" w:hAnsi="Calibri" w:cs="Calibri"/>
              </w:rPr>
              <w:t xml:space="preserve">2 </w:t>
            </w:r>
            <w:proofErr w:type="spellStart"/>
            <w:r>
              <w:rPr>
                <w:rFonts w:ascii="Calibri" w:eastAsia="Calibri" w:hAnsi="Calibri" w:cs="Calibri"/>
              </w:rPr>
              <w:t>cp</w:t>
            </w:r>
            <w:proofErr w:type="spellEnd"/>
            <w:r>
              <w:rPr>
                <w:rFonts w:ascii="Calibri" w:eastAsia="Calibri" w:hAnsi="Calibri" w:cs="Calibri"/>
              </w:rPr>
              <w:t>/j pour un adulte</w:t>
            </w:r>
          </w:p>
        </w:tc>
      </w:tr>
    </w:tbl>
    <w:p w14:paraId="22CF1F91" w14:textId="77777777" w:rsidR="003208BA" w:rsidRDefault="003208BA" w:rsidP="00742634">
      <w:pPr>
        <w:spacing w:line="276" w:lineRule="auto"/>
        <w:rPr>
          <w:b/>
          <w:bCs/>
        </w:rPr>
      </w:pPr>
    </w:p>
    <w:p w14:paraId="7EFABABD" w14:textId="77777777" w:rsidR="003208BA" w:rsidRDefault="003208BA" w:rsidP="00605916">
      <w:pPr>
        <w:pStyle w:val="Titre2"/>
      </w:pPr>
      <w:r>
        <w:t>Mise en place du traitement</w:t>
      </w:r>
    </w:p>
    <w:p w14:paraId="4BDB0B87" w14:textId="77777777" w:rsidR="00605916" w:rsidRPr="00605916" w:rsidRDefault="00605916" w:rsidP="00605916">
      <w:pPr>
        <w:pStyle w:val="Paragraphedeliste"/>
        <w:numPr>
          <w:ilvl w:val="0"/>
          <w:numId w:val="1"/>
        </w:numPr>
        <w:spacing w:after="240"/>
        <w:outlineLvl w:val="2"/>
        <w:rPr>
          <w:b/>
          <w:bCs/>
          <w:vanish/>
        </w:rPr>
      </w:pPr>
    </w:p>
    <w:p w14:paraId="5813A8F8" w14:textId="77777777" w:rsidR="00605916" w:rsidRPr="00605916" w:rsidRDefault="00605916" w:rsidP="00605916">
      <w:pPr>
        <w:pStyle w:val="Paragraphedeliste"/>
        <w:numPr>
          <w:ilvl w:val="1"/>
          <w:numId w:val="1"/>
        </w:numPr>
        <w:spacing w:after="240"/>
        <w:outlineLvl w:val="2"/>
        <w:rPr>
          <w:b/>
          <w:bCs/>
          <w:vanish/>
        </w:rPr>
      </w:pPr>
    </w:p>
    <w:p w14:paraId="6E21A084" w14:textId="77777777" w:rsidR="00605916" w:rsidRPr="00605916" w:rsidRDefault="00605916" w:rsidP="00605916">
      <w:pPr>
        <w:pStyle w:val="Paragraphedeliste"/>
        <w:numPr>
          <w:ilvl w:val="1"/>
          <w:numId w:val="1"/>
        </w:numPr>
        <w:spacing w:after="240"/>
        <w:outlineLvl w:val="2"/>
        <w:rPr>
          <w:b/>
          <w:bCs/>
          <w:vanish/>
        </w:rPr>
      </w:pPr>
    </w:p>
    <w:p w14:paraId="7CDF12F8" w14:textId="77777777" w:rsidR="00605916" w:rsidRPr="00605916" w:rsidRDefault="00605916" w:rsidP="00605916">
      <w:pPr>
        <w:pStyle w:val="Paragraphedeliste"/>
        <w:numPr>
          <w:ilvl w:val="1"/>
          <w:numId w:val="1"/>
        </w:numPr>
        <w:spacing w:after="240"/>
        <w:outlineLvl w:val="2"/>
        <w:rPr>
          <w:b/>
          <w:bCs/>
          <w:vanish/>
        </w:rPr>
      </w:pPr>
    </w:p>
    <w:p w14:paraId="73DAE649" w14:textId="1B17D8A6" w:rsidR="003208BA" w:rsidRDefault="003208BA" w:rsidP="00605916">
      <w:pPr>
        <w:pStyle w:val="Titre3"/>
      </w:pPr>
      <w:r>
        <w:t>Principe : POLY-ANTIBIOTHÉRAPIE</w:t>
      </w:r>
    </w:p>
    <w:p w14:paraId="2FC161A7" w14:textId="79D40769" w:rsidR="003208BA" w:rsidRDefault="003208BA" w:rsidP="00742634">
      <w:pPr>
        <w:spacing w:line="276" w:lineRule="auto"/>
      </w:pPr>
      <w:r>
        <w:t>- Temps de doublement long (20 h)</w:t>
      </w:r>
      <w:r w:rsidR="00605916">
        <w:t xml:space="preserve"> </w:t>
      </w:r>
      <w:r w:rsidR="00605916">
        <w:sym w:font="Wingdings" w:char="F0E0"/>
      </w:r>
      <w:r>
        <w:t xml:space="preserve"> prise unique quotidienne.</w:t>
      </w:r>
    </w:p>
    <w:p w14:paraId="28CC0322" w14:textId="474CCC50" w:rsidR="003208BA" w:rsidRDefault="003208BA" w:rsidP="00742634">
      <w:pPr>
        <w:spacing w:line="276" w:lineRule="auto"/>
      </w:pPr>
      <w:r>
        <w:t>- Bacilles persistants dans les foyers tuberculeux</w:t>
      </w:r>
      <w:r w:rsidR="00605916">
        <w:rPr>
          <w:rFonts w:ascii="Arial Unicode MS" w:eastAsia="Arial Unicode MS" w:hAnsi="Arial Unicode MS" w:cs="Arial Unicode MS"/>
        </w:rPr>
        <w:t xml:space="preserve"> </w:t>
      </w:r>
      <w:r w:rsidR="00605916">
        <w:sym w:font="Wingdings" w:char="F0E0"/>
      </w:r>
      <w:r w:rsidR="00605916">
        <w:t xml:space="preserve"> </w:t>
      </w:r>
      <w:r>
        <w:t>traitement prolongé.</w:t>
      </w:r>
    </w:p>
    <w:p w14:paraId="35A1036C" w14:textId="77777777" w:rsidR="003208BA" w:rsidRDefault="003208BA" w:rsidP="00742634">
      <w:pPr>
        <w:spacing w:line="276" w:lineRule="auto"/>
      </w:pPr>
    </w:p>
    <w:p w14:paraId="7D0D186D" w14:textId="77777777" w:rsidR="003208BA" w:rsidRDefault="003208BA" w:rsidP="00742634">
      <w:pPr>
        <w:spacing w:line="276" w:lineRule="auto"/>
      </w:pPr>
      <w:r>
        <w:t>- Risque d’émergence de mutants résistants en cas de «</w:t>
      </w:r>
      <w:r>
        <w:rPr>
          <w:rFonts w:ascii="Arial" w:eastAsia="Arial" w:hAnsi="Arial" w:cs="Arial"/>
        </w:rPr>
        <w:t> </w:t>
      </w:r>
      <w:r>
        <w:t>monothérapie</w:t>
      </w:r>
      <w:r>
        <w:rPr>
          <w:rFonts w:ascii="Arial" w:eastAsia="Arial" w:hAnsi="Arial" w:cs="Arial"/>
        </w:rPr>
        <w:t> </w:t>
      </w:r>
      <w:r>
        <w:t>» : il y a donc nécessité de recourir obligatoirement à une poly-antibiothérapie (dans l’inoculum initial d’un patient ayant une tuberculose «</w:t>
      </w:r>
      <w:r>
        <w:rPr>
          <w:rFonts w:ascii="Arial" w:eastAsia="Arial" w:hAnsi="Arial" w:cs="Arial"/>
        </w:rPr>
        <w:t> </w:t>
      </w:r>
      <w:r>
        <w:t>sensible</w:t>
      </w:r>
      <w:r>
        <w:rPr>
          <w:rFonts w:ascii="Arial" w:eastAsia="Arial" w:hAnsi="Arial" w:cs="Arial"/>
        </w:rPr>
        <w:t> </w:t>
      </w:r>
      <w:r>
        <w:t>», il y a obligatoirement présence de quelques bacilles résistants à l’INH et de quelques bacilles résistants à la RMP).</w:t>
      </w:r>
    </w:p>
    <w:p w14:paraId="7A6F17C3" w14:textId="19E0FD95" w:rsidR="003208BA" w:rsidRDefault="003208BA" w:rsidP="00742634">
      <w:pPr>
        <w:spacing w:line="276" w:lineRule="auto"/>
      </w:pPr>
      <w:r>
        <w:t>- Par ailleurs, il y a aussi nécessité d’assurer une action sur les 3 populations de BK</w:t>
      </w:r>
      <w:r w:rsidR="00605916">
        <w:t xml:space="preserve"> </w:t>
      </w:r>
      <w:r w:rsidR="00605916">
        <w:sym w:font="Wingdings" w:char="F0E0"/>
      </w:r>
      <w:r>
        <w:t xml:space="preserve"> seconde justification à la poly-antibiothérapie.</w:t>
      </w:r>
    </w:p>
    <w:p w14:paraId="12EF91F2" w14:textId="77777777" w:rsidR="003208BA" w:rsidRDefault="003208BA" w:rsidP="00742634">
      <w:pPr>
        <w:spacing w:line="276" w:lineRule="auto"/>
      </w:pPr>
    </w:p>
    <w:p w14:paraId="0BBEBF5E" w14:textId="77777777" w:rsidR="003208BA" w:rsidRDefault="003208BA" w:rsidP="00742634">
      <w:pPr>
        <w:spacing w:line="276" w:lineRule="auto"/>
      </w:pPr>
      <w:r>
        <w:t xml:space="preserve">- L’observance est capitale pour limiter le risque de rechute et le développement de souches résistantes. Ainsi, l’enjeu de la guérison concerne le patient, mais également la santé publique. Les Centres de Lutte </w:t>
      </w:r>
      <w:proofErr w:type="spellStart"/>
      <w:r>
        <w:t>Anti-Tuberculeuse</w:t>
      </w:r>
      <w:proofErr w:type="spellEnd"/>
      <w:r>
        <w:t xml:space="preserve"> (CLAT) participent au suivi des patients et ainsi au contrôle de l’observance. Ils </w:t>
      </w:r>
      <w:proofErr w:type="gramStart"/>
      <w:r>
        <w:t>ont</w:t>
      </w:r>
      <w:proofErr w:type="gramEnd"/>
      <w:r>
        <w:t xml:space="preserve"> donc un rôle fondamental dans la prise en charge, en plus de l’enquête autour du cas index.</w:t>
      </w:r>
    </w:p>
    <w:p w14:paraId="2FC03372" w14:textId="77777777" w:rsidR="003208BA" w:rsidRDefault="003208BA" w:rsidP="00742634">
      <w:pPr>
        <w:spacing w:line="276" w:lineRule="auto"/>
      </w:pPr>
    </w:p>
    <w:p w14:paraId="7B825C06" w14:textId="77777777" w:rsidR="003208BA" w:rsidRDefault="003208BA" w:rsidP="00605916">
      <w:pPr>
        <w:pStyle w:val="Titre3"/>
      </w:pPr>
      <w:r>
        <w:t>Associations classiques</w:t>
      </w:r>
    </w:p>
    <w:p w14:paraId="53115A8C" w14:textId="77777777" w:rsidR="003208BA" w:rsidRDefault="003208BA" w:rsidP="00742634">
      <w:pPr>
        <w:spacing w:line="276" w:lineRule="auto"/>
      </w:pPr>
      <w:r>
        <w:lastRenderedPageBreak/>
        <w:t>Schéma classique :</w:t>
      </w:r>
    </w:p>
    <w:p w14:paraId="5BCB9D2D" w14:textId="77777777" w:rsidR="003208BA" w:rsidRDefault="003208BA" w:rsidP="00742634">
      <w:pPr>
        <w:spacing w:line="276" w:lineRule="auto"/>
      </w:pPr>
      <w:r>
        <w:t>- Quadrithérapie par INH+RMP+EMB+PZA pendant 2 mois.</w:t>
      </w:r>
    </w:p>
    <w:p w14:paraId="2D59ABE7" w14:textId="77777777" w:rsidR="003208BA" w:rsidRDefault="003208BA" w:rsidP="00742634">
      <w:pPr>
        <w:spacing w:line="276" w:lineRule="auto"/>
      </w:pPr>
      <w:r>
        <w:t>- Suivie par une bithérapie INH+RMP pendant 4 mois.</w:t>
      </w:r>
    </w:p>
    <w:p w14:paraId="64248D9D" w14:textId="77777777" w:rsidR="003208BA" w:rsidRDefault="003208BA" w:rsidP="00742634">
      <w:pPr>
        <w:spacing w:line="276" w:lineRule="auto"/>
      </w:pPr>
      <w:r>
        <w:t>Schéma alternatif (moins utilisé, mais qui peut être proposé en cas de contre-indication au PZA) :</w:t>
      </w:r>
    </w:p>
    <w:p w14:paraId="6959B1ED" w14:textId="77777777" w:rsidR="003208BA" w:rsidRDefault="003208BA" w:rsidP="00742634">
      <w:pPr>
        <w:spacing w:line="276" w:lineRule="auto"/>
      </w:pPr>
      <w:r>
        <w:t>- Trithérapie par INH+RMP+ EMB pendant 3 mois</w:t>
      </w:r>
    </w:p>
    <w:p w14:paraId="310BAE89" w14:textId="77777777" w:rsidR="003208BA" w:rsidRDefault="003208BA" w:rsidP="00742634">
      <w:pPr>
        <w:spacing w:line="276" w:lineRule="auto"/>
      </w:pPr>
      <w:r>
        <w:t>- Suivie d’une bithérapie par INH+RMP pendant 6 mois</w:t>
      </w:r>
    </w:p>
    <w:p w14:paraId="283384A7" w14:textId="77777777" w:rsidR="003208BA" w:rsidRDefault="003208BA" w:rsidP="00742634">
      <w:pPr>
        <w:spacing w:line="276" w:lineRule="auto"/>
        <w:rPr>
          <w:i/>
          <w:iCs/>
        </w:rPr>
      </w:pPr>
    </w:p>
    <w:p w14:paraId="5B74CE10" w14:textId="77777777" w:rsidR="003208BA" w:rsidRDefault="003208BA" w:rsidP="00742634">
      <w:pPr>
        <w:spacing w:line="276" w:lineRule="auto"/>
      </w:pPr>
      <w:r>
        <w:t>Bien évidemment, le schéma initial sera adapté aux résultats de l’antibiogramme dès réception (présence ou non de résistances avérées).</w:t>
      </w:r>
    </w:p>
    <w:p w14:paraId="2B121C06" w14:textId="77777777" w:rsidR="003208BA" w:rsidRDefault="003208BA" w:rsidP="00742634">
      <w:pPr>
        <w:spacing w:line="276" w:lineRule="auto"/>
      </w:pPr>
    </w:p>
    <w:p w14:paraId="70C9CE58" w14:textId="77777777" w:rsidR="003208BA" w:rsidRDefault="003208BA" w:rsidP="00742634">
      <w:pPr>
        <w:spacing w:line="276" w:lineRule="auto"/>
      </w:pPr>
      <w:r>
        <w:t xml:space="preserve">La durée de traitement recommandée, avec le schéma classique, est de 6 mois pour toutes les formes de tuberculose multi-sensible. Seule la tuberculose neuro-méningée doit être traitée de manière plus prolongée (9-12 mois). </w:t>
      </w:r>
    </w:p>
    <w:p w14:paraId="4CAA682A" w14:textId="77777777" w:rsidR="00E811C2" w:rsidRDefault="00E811C2" w:rsidP="00742634">
      <w:pPr>
        <w:spacing w:line="276" w:lineRule="auto"/>
      </w:pPr>
    </w:p>
    <w:p w14:paraId="62D53AC9" w14:textId="7300EEF7" w:rsidR="00E811C2" w:rsidRDefault="00E811C2" w:rsidP="00E811C2">
      <w:pPr>
        <w:pBdr>
          <w:top w:val="nil"/>
          <w:left w:val="nil"/>
          <w:bottom w:val="nil"/>
          <w:right w:val="nil"/>
          <w:between w:val="nil"/>
        </w:pBdr>
        <w:rPr>
          <w:rFonts w:ascii="Arial" w:eastAsia="Arial" w:hAnsi="Arial"/>
          <w:sz w:val="18"/>
          <w:szCs w:val="18"/>
        </w:rPr>
      </w:pPr>
      <w:r w:rsidRPr="002572B4">
        <w:rPr>
          <w:rFonts w:ascii="Arial" w:eastAsia="Arial" w:hAnsi="Arial"/>
          <w:sz w:val="18"/>
          <w:szCs w:val="18"/>
        </w:rPr>
        <w:t>Figure 10 : Exemple de la poly-antibiothérapie à prendre par un malade de 60 kg tous les matins en haut sans médicaments associés, en bas avec des associations de médicaments</w:t>
      </w:r>
      <w:r>
        <w:rPr>
          <w:rFonts w:ascii="Arial" w:eastAsia="Arial" w:hAnsi="Arial"/>
          <w:sz w:val="18"/>
          <w:szCs w:val="18"/>
        </w:rPr>
        <w:t>.</w:t>
      </w:r>
    </w:p>
    <w:p w14:paraId="6178655B" w14:textId="260189A8" w:rsidR="00E811C2" w:rsidRDefault="00E811C2" w:rsidP="00E811C2">
      <w:pPr>
        <w:spacing w:line="276" w:lineRule="auto"/>
      </w:pPr>
      <w:r w:rsidRPr="007672B2">
        <w:rPr>
          <w:rFonts w:ascii="Arial" w:eastAsia="Arial" w:hAnsi="Arial"/>
          <w:noProof/>
          <w:sz w:val="18"/>
          <w:szCs w:val="18"/>
        </w:rPr>
        <w:lastRenderedPageBreak/>
        <w:drawing>
          <wp:inline distT="0" distB="0" distL="0" distR="0" wp14:anchorId="27754ED8" wp14:editId="61D0FA6E">
            <wp:extent cx="5760720" cy="3840480"/>
            <wp:effectExtent l="0" t="0" r="0" b="0"/>
            <wp:docPr id="20949079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94116" name=""/>
                    <pic:cNvPicPr/>
                  </pic:nvPicPr>
                  <pic:blipFill>
                    <a:blip r:embed="rId27"/>
                    <a:stretch>
                      <a:fillRect/>
                    </a:stretch>
                  </pic:blipFill>
                  <pic:spPr>
                    <a:xfrm>
                      <a:off x="0" y="0"/>
                      <a:ext cx="5760720" cy="3840480"/>
                    </a:xfrm>
                    <a:prstGeom prst="rect">
                      <a:avLst/>
                    </a:prstGeom>
                  </pic:spPr>
                </pic:pic>
              </a:graphicData>
            </a:graphic>
          </wp:inline>
        </w:drawing>
      </w:r>
      <w:r w:rsidRPr="00824F62">
        <w:rPr>
          <w:noProof/>
        </w:rPr>
        <w:drawing>
          <wp:inline distT="0" distB="0" distL="0" distR="0" wp14:anchorId="761F1A0B" wp14:editId="0FA8AC7C">
            <wp:extent cx="5572256" cy="3714837"/>
            <wp:effectExtent l="0" t="0" r="3175" b="6350"/>
            <wp:docPr id="11809449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44995" name=""/>
                    <pic:cNvPicPr/>
                  </pic:nvPicPr>
                  <pic:blipFill>
                    <a:blip r:embed="rId28"/>
                    <a:stretch>
                      <a:fillRect/>
                    </a:stretch>
                  </pic:blipFill>
                  <pic:spPr>
                    <a:xfrm>
                      <a:off x="0" y="0"/>
                      <a:ext cx="5581095" cy="3720730"/>
                    </a:xfrm>
                    <a:prstGeom prst="rect">
                      <a:avLst/>
                    </a:prstGeom>
                  </pic:spPr>
                </pic:pic>
              </a:graphicData>
            </a:graphic>
          </wp:inline>
        </w:drawing>
      </w:r>
    </w:p>
    <w:p w14:paraId="08FE00B4" w14:textId="77777777" w:rsidR="003208BA" w:rsidRDefault="003208BA" w:rsidP="00742634">
      <w:pPr>
        <w:spacing w:line="276" w:lineRule="auto"/>
      </w:pPr>
    </w:p>
    <w:p w14:paraId="136DC140" w14:textId="77777777" w:rsidR="003208BA" w:rsidRDefault="003208BA" w:rsidP="00605916">
      <w:pPr>
        <w:pStyle w:val="Titre3"/>
      </w:pPr>
      <w:r>
        <w:lastRenderedPageBreak/>
        <w:t>Règles pratiques</w:t>
      </w:r>
    </w:p>
    <w:p w14:paraId="749B6F24" w14:textId="77777777" w:rsidR="003208BA" w:rsidRDefault="003208BA" w:rsidP="00742634">
      <w:pPr>
        <w:spacing w:line="276" w:lineRule="auto"/>
      </w:pPr>
      <w:r>
        <w:t>Examens ou actes à effectuer avant la mise en route du traitement antituberculeux (tableau 3) :</w:t>
      </w:r>
    </w:p>
    <w:p w14:paraId="0A03AF71" w14:textId="77777777" w:rsidR="003208BA" w:rsidRDefault="003208BA" w:rsidP="00742634">
      <w:pPr>
        <w:pBdr>
          <w:top w:val="nil"/>
          <w:left w:val="nil"/>
          <w:bottom w:val="nil"/>
          <w:right w:val="nil"/>
          <w:between w:val="nil"/>
        </w:pBdr>
        <w:spacing w:line="276" w:lineRule="auto"/>
      </w:pPr>
      <w:r>
        <w:t>- Hémogramme.</w:t>
      </w:r>
    </w:p>
    <w:p w14:paraId="4A6E432A" w14:textId="77777777" w:rsidR="003208BA" w:rsidRDefault="003208BA" w:rsidP="00742634">
      <w:pPr>
        <w:pBdr>
          <w:top w:val="nil"/>
          <w:left w:val="nil"/>
          <w:bottom w:val="nil"/>
          <w:right w:val="nil"/>
          <w:between w:val="nil"/>
        </w:pBdr>
        <w:spacing w:line="276" w:lineRule="auto"/>
      </w:pPr>
      <w:r>
        <w:t>- Transaminases, bilirubine, phosphatases alcalines et gamma GT.</w:t>
      </w:r>
    </w:p>
    <w:p w14:paraId="0313762E" w14:textId="77777777" w:rsidR="003208BA" w:rsidRDefault="003208BA" w:rsidP="00742634">
      <w:pPr>
        <w:pBdr>
          <w:top w:val="nil"/>
          <w:left w:val="nil"/>
          <w:bottom w:val="nil"/>
          <w:right w:val="nil"/>
          <w:between w:val="nil"/>
        </w:pBdr>
        <w:spacing w:line="276" w:lineRule="auto"/>
      </w:pPr>
      <w:r>
        <w:t>- Créatininémie.</w:t>
      </w:r>
    </w:p>
    <w:p w14:paraId="1CA986F9" w14:textId="77777777" w:rsidR="003208BA" w:rsidRDefault="003208BA" w:rsidP="00742634">
      <w:pPr>
        <w:pBdr>
          <w:top w:val="nil"/>
          <w:left w:val="nil"/>
          <w:bottom w:val="nil"/>
          <w:right w:val="nil"/>
          <w:between w:val="nil"/>
        </w:pBdr>
        <w:spacing w:line="276" w:lineRule="auto"/>
      </w:pPr>
      <w:r>
        <w:t>- Natrémie.</w:t>
      </w:r>
    </w:p>
    <w:p w14:paraId="2EABC425" w14:textId="77777777" w:rsidR="003208BA" w:rsidRDefault="003208BA" w:rsidP="00742634">
      <w:pPr>
        <w:pBdr>
          <w:top w:val="nil"/>
          <w:left w:val="nil"/>
          <w:bottom w:val="nil"/>
          <w:right w:val="nil"/>
          <w:between w:val="nil"/>
        </w:pBdr>
        <w:spacing w:line="276" w:lineRule="auto"/>
      </w:pPr>
      <w:r>
        <w:t>- Uricémie.</w:t>
      </w:r>
    </w:p>
    <w:p w14:paraId="0E908714" w14:textId="77777777" w:rsidR="003208BA" w:rsidRDefault="003208BA" w:rsidP="00742634">
      <w:pPr>
        <w:pBdr>
          <w:top w:val="nil"/>
          <w:left w:val="nil"/>
          <w:bottom w:val="nil"/>
          <w:right w:val="nil"/>
          <w:between w:val="nil"/>
        </w:pBdr>
        <w:spacing w:line="276" w:lineRule="auto"/>
      </w:pPr>
      <w:r>
        <w:t>- Sérologie de dépistage VIH : à réaliser systématiquement du fait de la comorbidité.</w:t>
      </w:r>
    </w:p>
    <w:p w14:paraId="599AB041" w14:textId="77777777" w:rsidR="003208BA" w:rsidRDefault="003208BA" w:rsidP="00742634">
      <w:pPr>
        <w:pBdr>
          <w:top w:val="nil"/>
          <w:left w:val="nil"/>
          <w:bottom w:val="nil"/>
          <w:right w:val="nil"/>
          <w:between w:val="nil"/>
        </w:pBdr>
        <w:spacing w:line="276" w:lineRule="auto"/>
      </w:pPr>
      <w:r>
        <w:t>- Sérologie de dépistage des hépatites B et C : proposée systématiquement compte tenu de leur fréquente coexistence avec la tuberculose.</w:t>
      </w:r>
    </w:p>
    <w:p w14:paraId="1E688AFA" w14:textId="77777777" w:rsidR="003208BA" w:rsidRDefault="003208BA" w:rsidP="00742634">
      <w:pPr>
        <w:pBdr>
          <w:top w:val="nil"/>
          <w:left w:val="nil"/>
          <w:bottom w:val="nil"/>
          <w:right w:val="nil"/>
          <w:between w:val="nil"/>
        </w:pBdr>
        <w:spacing w:line="276" w:lineRule="auto"/>
      </w:pPr>
      <w:r>
        <w:t>- Pour l’enfant, ce bilan peut être adapté à chaque cas.</w:t>
      </w:r>
    </w:p>
    <w:p w14:paraId="2BA858BC" w14:textId="77777777" w:rsidR="003208BA" w:rsidRDefault="003208BA" w:rsidP="00742634">
      <w:pPr>
        <w:pBdr>
          <w:top w:val="nil"/>
          <w:left w:val="nil"/>
          <w:bottom w:val="nil"/>
          <w:right w:val="nil"/>
          <w:between w:val="nil"/>
        </w:pBdr>
        <w:spacing w:line="276" w:lineRule="auto"/>
      </w:pPr>
      <w:r>
        <w:t xml:space="preserve">- Examen ophtalmologique avec vision des couleurs : avant la mise en route d’un traitement par </w:t>
      </w:r>
      <w:proofErr w:type="spellStart"/>
      <w:r>
        <w:t>éthambutol</w:t>
      </w:r>
      <w:proofErr w:type="spellEnd"/>
      <w:r>
        <w:t>.</w:t>
      </w:r>
    </w:p>
    <w:p w14:paraId="7460FBCF" w14:textId="77777777" w:rsidR="003208BA" w:rsidRDefault="003208BA" w:rsidP="00742634">
      <w:pPr>
        <w:pBdr>
          <w:top w:val="nil"/>
          <w:left w:val="nil"/>
          <w:bottom w:val="nil"/>
          <w:right w:val="nil"/>
          <w:between w:val="nil"/>
        </w:pBdr>
        <w:spacing w:line="276" w:lineRule="auto"/>
      </w:pPr>
      <w:r>
        <w:t>- Recherche d’une grossesse chez la femme en âge de procréer.</w:t>
      </w:r>
    </w:p>
    <w:p w14:paraId="47A93A65" w14:textId="77777777" w:rsidR="003208BA" w:rsidRDefault="003208BA" w:rsidP="00742634">
      <w:pPr>
        <w:pBdr>
          <w:top w:val="nil"/>
          <w:left w:val="nil"/>
          <w:bottom w:val="nil"/>
          <w:right w:val="nil"/>
          <w:between w:val="nil"/>
        </w:pBdr>
        <w:spacing w:line="276" w:lineRule="auto"/>
        <w:ind w:left="360"/>
      </w:pPr>
    </w:p>
    <w:p w14:paraId="2BE81B18" w14:textId="77777777" w:rsidR="00D343DE" w:rsidRDefault="00D343DE">
      <w:pPr>
        <w:spacing w:after="160"/>
        <w:jc w:val="left"/>
        <w:rPr>
          <w:rFonts w:ascii="Arial" w:eastAsia="Arial" w:hAnsi="Arial" w:cs="Arial"/>
          <w:sz w:val="18"/>
          <w:szCs w:val="18"/>
        </w:rPr>
      </w:pPr>
      <w:r>
        <w:br w:type="page"/>
      </w:r>
    </w:p>
    <w:p w14:paraId="42321AD2" w14:textId="4DB4CB4D" w:rsidR="003208BA" w:rsidRDefault="003208BA" w:rsidP="00605916">
      <w:pPr>
        <w:pStyle w:val="lgende"/>
      </w:pPr>
      <w:r>
        <w:lastRenderedPageBreak/>
        <w:t>Tableau 3 : Examens ou actes à effectuer avant l’instauration d’un traitement antituberculeux.</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000" w:firstRow="0" w:lastRow="0" w:firstColumn="0" w:lastColumn="0" w:noHBand="0" w:noVBand="0"/>
      </w:tblPr>
      <w:tblGrid>
        <w:gridCol w:w="4202"/>
        <w:gridCol w:w="4865"/>
      </w:tblGrid>
      <w:tr w:rsidR="003208BA" w14:paraId="337D2583" w14:textId="77777777" w:rsidTr="00D73350">
        <w:tc>
          <w:tcPr>
            <w:tcW w:w="4202" w:type="dxa"/>
            <w:shd w:val="clear" w:color="auto" w:fill="D1D1D1" w:themeFill="background2" w:themeFillShade="E6"/>
          </w:tcPr>
          <w:p w14:paraId="173BB3DF" w14:textId="77777777" w:rsidR="003208BA" w:rsidRPr="00605916"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Examens ou actes</w:t>
            </w:r>
          </w:p>
        </w:tc>
        <w:tc>
          <w:tcPr>
            <w:tcW w:w="4865" w:type="dxa"/>
            <w:shd w:val="clear" w:color="auto" w:fill="D1D1D1" w:themeFill="background2" w:themeFillShade="E6"/>
          </w:tcPr>
          <w:p w14:paraId="687033B9" w14:textId="77777777" w:rsidR="003208BA" w:rsidRPr="00605916"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center"/>
              <w:rPr>
                <w:rFonts w:ascii="Calibri" w:eastAsia="Calibri" w:hAnsi="Calibri" w:cs="Calibri"/>
                <w:b/>
                <w:bCs/>
                <w:color w:val="000000" w:themeColor="text1"/>
              </w:rPr>
            </w:pPr>
            <w:r w:rsidRPr="00605916">
              <w:rPr>
                <w:rFonts w:ascii="Calibri" w:eastAsia="Calibri" w:hAnsi="Calibri" w:cs="Calibri"/>
                <w:b/>
                <w:bCs/>
                <w:color w:val="000000" w:themeColor="text1"/>
              </w:rPr>
              <w:t>Situations particulières</w:t>
            </w:r>
          </w:p>
        </w:tc>
      </w:tr>
      <w:tr w:rsidR="003208BA" w14:paraId="5C921DF3" w14:textId="77777777" w:rsidTr="00D73350">
        <w:tc>
          <w:tcPr>
            <w:tcW w:w="4202" w:type="dxa"/>
            <w:shd w:val="clear" w:color="auto" w:fill="F2F2F2"/>
            <w:vAlign w:val="center"/>
          </w:tcPr>
          <w:p w14:paraId="6314DC3E"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Créatininémie, estimation du débit de filtration glomérulaire (DFG)</w:t>
            </w:r>
          </w:p>
        </w:tc>
        <w:tc>
          <w:tcPr>
            <w:tcW w:w="4865" w:type="dxa"/>
            <w:shd w:val="clear" w:color="auto" w:fill="F2F2F2"/>
            <w:vAlign w:val="center"/>
          </w:tcPr>
          <w:p w14:paraId="32522591"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Bilan initial</w:t>
            </w:r>
          </w:p>
          <w:p w14:paraId="14780CDC"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Si elle est normale, elle n’a pas lieu d’être contrôlée à nouveau</w:t>
            </w:r>
          </w:p>
        </w:tc>
      </w:tr>
      <w:tr w:rsidR="003208BA" w14:paraId="7C9B5DC6" w14:textId="77777777" w:rsidTr="00D73350">
        <w:tc>
          <w:tcPr>
            <w:tcW w:w="4202" w:type="dxa"/>
            <w:vAlign w:val="center"/>
          </w:tcPr>
          <w:p w14:paraId="6C93DECC"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Gamma GT, bilirubine, phosphatases alcalines</w:t>
            </w:r>
          </w:p>
        </w:tc>
        <w:tc>
          <w:tcPr>
            <w:tcW w:w="4865" w:type="dxa"/>
            <w:vAlign w:val="center"/>
          </w:tcPr>
          <w:p w14:paraId="7FD72B0C"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Bilan initial</w:t>
            </w:r>
          </w:p>
        </w:tc>
      </w:tr>
      <w:tr w:rsidR="003208BA" w14:paraId="4B78DD54" w14:textId="77777777" w:rsidTr="00D73350">
        <w:tc>
          <w:tcPr>
            <w:tcW w:w="4202" w:type="dxa"/>
            <w:shd w:val="clear" w:color="auto" w:fill="F2F2F2"/>
            <w:vAlign w:val="center"/>
          </w:tcPr>
          <w:p w14:paraId="6F695CDA"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Transaminases</w:t>
            </w:r>
          </w:p>
        </w:tc>
        <w:tc>
          <w:tcPr>
            <w:tcW w:w="4865" w:type="dxa"/>
            <w:shd w:val="clear" w:color="auto" w:fill="F2F2F2"/>
            <w:vAlign w:val="center"/>
          </w:tcPr>
          <w:p w14:paraId="381C1500"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Bilan initial</w:t>
            </w:r>
          </w:p>
          <w:p w14:paraId="285E79F1"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Surveillance du traitement à adapter au cas par cas en fonction de l’âge, des antécédents hépatiques et de la tolérance clinique du traitement</w:t>
            </w:r>
          </w:p>
        </w:tc>
      </w:tr>
      <w:tr w:rsidR="003208BA" w14:paraId="37B900CC" w14:textId="77777777" w:rsidTr="00D73350">
        <w:tc>
          <w:tcPr>
            <w:tcW w:w="4202" w:type="dxa"/>
            <w:vAlign w:val="center"/>
          </w:tcPr>
          <w:p w14:paraId="76CFC3FE"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Hémogramme</w:t>
            </w:r>
          </w:p>
        </w:tc>
        <w:tc>
          <w:tcPr>
            <w:tcW w:w="4865" w:type="dxa"/>
            <w:vAlign w:val="center"/>
          </w:tcPr>
          <w:p w14:paraId="1B9ED75E"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Bilan initial</w:t>
            </w:r>
          </w:p>
        </w:tc>
      </w:tr>
      <w:tr w:rsidR="003208BA" w14:paraId="275C7EF8" w14:textId="77777777" w:rsidTr="00D73350">
        <w:tc>
          <w:tcPr>
            <w:tcW w:w="4202" w:type="dxa"/>
            <w:shd w:val="clear" w:color="auto" w:fill="F2F2F2"/>
            <w:vAlign w:val="center"/>
          </w:tcPr>
          <w:p w14:paraId="4F606F2B"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Natrémie</w:t>
            </w:r>
          </w:p>
        </w:tc>
        <w:tc>
          <w:tcPr>
            <w:tcW w:w="4865" w:type="dxa"/>
            <w:shd w:val="clear" w:color="auto" w:fill="F2F2F2"/>
            <w:vAlign w:val="center"/>
          </w:tcPr>
          <w:p w14:paraId="4195B563"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Bilan initial</w:t>
            </w:r>
          </w:p>
        </w:tc>
      </w:tr>
      <w:tr w:rsidR="003208BA" w14:paraId="29AE499F" w14:textId="77777777" w:rsidTr="00D73350">
        <w:tc>
          <w:tcPr>
            <w:tcW w:w="4202" w:type="dxa"/>
            <w:vAlign w:val="center"/>
          </w:tcPr>
          <w:p w14:paraId="227FA811"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Uricémie</w:t>
            </w:r>
          </w:p>
        </w:tc>
        <w:tc>
          <w:tcPr>
            <w:tcW w:w="4865" w:type="dxa"/>
            <w:vAlign w:val="center"/>
          </w:tcPr>
          <w:p w14:paraId="165F61F4"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 xml:space="preserve">Bilan initial </w:t>
            </w:r>
          </w:p>
          <w:p w14:paraId="643D95F2"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Cas particuliers pour le suivi</w:t>
            </w:r>
          </w:p>
        </w:tc>
      </w:tr>
      <w:tr w:rsidR="003208BA" w14:paraId="6AE7AAC5" w14:textId="77777777" w:rsidTr="00D73350">
        <w:tc>
          <w:tcPr>
            <w:tcW w:w="4202" w:type="dxa"/>
            <w:shd w:val="clear" w:color="auto" w:fill="F2F2F2"/>
            <w:vAlign w:val="center"/>
          </w:tcPr>
          <w:p w14:paraId="1E4B1109"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Mycobactérie : examen microscopique</w:t>
            </w:r>
          </w:p>
        </w:tc>
        <w:tc>
          <w:tcPr>
            <w:tcW w:w="4865" w:type="dxa"/>
            <w:shd w:val="clear" w:color="auto" w:fill="F2F2F2"/>
            <w:vAlign w:val="center"/>
          </w:tcPr>
          <w:p w14:paraId="40D9498E"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Tous les patients</w:t>
            </w:r>
          </w:p>
        </w:tc>
      </w:tr>
      <w:tr w:rsidR="003208BA" w14:paraId="6DD9CF7D" w14:textId="77777777" w:rsidTr="00D73350">
        <w:tc>
          <w:tcPr>
            <w:tcW w:w="4202" w:type="dxa"/>
            <w:vAlign w:val="center"/>
          </w:tcPr>
          <w:p w14:paraId="548F2DC5"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Mycobactérie : culture (si possible en milieu liquide), identification et antibiogramme</w:t>
            </w:r>
          </w:p>
        </w:tc>
        <w:tc>
          <w:tcPr>
            <w:tcW w:w="4865" w:type="dxa"/>
            <w:vAlign w:val="center"/>
          </w:tcPr>
          <w:p w14:paraId="13DBAF1E"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Tous les patients</w:t>
            </w:r>
          </w:p>
        </w:tc>
      </w:tr>
      <w:tr w:rsidR="003208BA" w14:paraId="090241B9" w14:textId="77777777" w:rsidTr="00D73350">
        <w:tc>
          <w:tcPr>
            <w:tcW w:w="4202" w:type="dxa"/>
            <w:shd w:val="clear" w:color="auto" w:fill="F2F2F2"/>
            <w:vAlign w:val="center"/>
          </w:tcPr>
          <w:p w14:paraId="57F9D416"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 xml:space="preserve">Sérologie de dépistage des hépatites B et C : Ag </w:t>
            </w:r>
            <w:proofErr w:type="spellStart"/>
            <w:r>
              <w:rPr>
                <w:rFonts w:ascii="Calibri" w:eastAsia="Calibri" w:hAnsi="Calibri" w:cs="Calibri"/>
              </w:rPr>
              <w:t>HBs</w:t>
            </w:r>
            <w:proofErr w:type="spellEnd"/>
            <w:r>
              <w:rPr>
                <w:rFonts w:ascii="Calibri" w:eastAsia="Calibri" w:hAnsi="Calibri" w:cs="Calibri"/>
              </w:rPr>
              <w:t xml:space="preserve">, AC anti </w:t>
            </w:r>
            <w:proofErr w:type="spellStart"/>
            <w:r>
              <w:rPr>
                <w:rFonts w:ascii="Calibri" w:eastAsia="Calibri" w:hAnsi="Calibri" w:cs="Calibri"/>
              </w:rPr>
              <w:t>HBs</w:t>
            </w:r>
            <w:proofErr w:type="spellEnd"/>
            <w:r>
              <w:rPr>
                <w:rFonts w:ascii="Calibri" w:eastAsia="Calibri" w:hAnsi="Calibri" w:cs="Calibri"/>
              </w:rPr>
              <w:t xml:space="preserve"> et </w:t>
            </w:r>
            <w:proofErr w:type="spellStart"/>
            <w:r>
              <w:rPr>
                <w:rFonts w:ascii="Calibri" w:eastAsia="Calibri" w:hAnsi="Calibri" w:cs="Calibri"/>
              </w:rPr>
              <w:t>Ac</w:t>
            </w:r>
            <w:proofErr w:type="spellEnd"/>
            <w:r>
              <w:rPr>
                <w:rFonts w:ascii="Calibri" w:eastAsia="Calibri" w:hAnsi="Calibri" w:cs="Calibri"/>
              </w:rPr>
              <w:t xml:space="preserve"> anti </w:t>
            </w:r>
            <w:proofErr w:type="spellStart"/>
            <w:r>
              <w:rPr>
                <w:rFonts w:ascii="Calibri" w:eastAsia="Calibri" w:hAnsi="Calibri" w:cs="Calibri"/>
              </w:rPr>
              <w:t>HBc</w:t>
            </w:r>
            <w:proofErr w:type="spellEnd"/>
            <w:r>
              <w:rPr>
                <w:rFonts w:ascii="Calibri" w:eastAsia="Calibri" w:hAnsi="Calibri" w:cs="Calibri"/>
              </w:rPr>
              <w:t xml:space="preserve"> et anti VHC</w:t>
            </w:r>
          </w:p>
        </w:tc>
        <w:tc>
          <w:tcPr>
            <w:tcW w:w="4865" w:type="dxa"/>
            <w:shd w:val="clear" w:color="auto" w:fill="F2F2F2"/>
            <w:vAlign w:val="center"/>
          </w:tcPr>
          <w:p w14:paraId="264A3C91"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À proposer systématiquement</w:t>
            </w:r>
          </w:p>
        </w:tc>
      </w:tr>
      <w:tr w:rsidR="003208BA" w14:paraId="4FE77AD7" w14:textId="77777777" w:rsidTr="00D73350">
        <w:tc>
          <w:tcPr>
            <w:tcW w:w="4202" w:type="dxa"/>
            <w:vAlign w:val="center"/>
          </w:tcPr>
          <w:p w14:paraId="36A00EC7"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Sérologie de dépistage VIH</w:t>
            </w:r>
          </w:p>
        </w:tc>
        <w:tc>
          <w:tcPr>
            <w:tcW w:w="4865" w:type="dxa"/>
            <w:vAlign w:val="center"/>
          </w:tcPr>
          <w:p w14:paraId="3563C774" w14:textId="77777777" w:rsidR="003208BA" w:rsidRDefault="003208BA" w:rsidP="00742634">
            <w:pPr>
              <w:pBdr>
                <w:top w:val="nil"/>
                <w:left w:val="nil"/>
                <w:bottom w:val="nil"/>
                <w:right w:val="nil"/>
                <w:between w:val="nil"/>
              </w:pBdr>
              <w:spacing w:line="276" w:lineRule="auto"/>
              <w:jc w:val="left"/>
              <w:rPr>
                <w:rFonts w:ascii="Calibri" w:eastAsia="Calibri" w:hAnsi="Calibri" w:cs="Calibri"/>
              </w:rPr>
            </w:pPr>
            <w:r>
              <w:rPr>
                <w:rFonts w:ascii="Calibri" w:eastAsia="Calibri" w:hAnsi="Calibri" w:cs="Calibri"/>
              </w:rPr>
              <w:t>À proposer systématiquement</w:t>
            </w:r>
          </w:p>
        </w:tc>
      </w:tr>
      <w:tr w:rsidR="003208BA" w14:paraId="35BD35BB" w14:textId="77777777" w:rsidTr="00D73350">
        <w:tc>
          <w:tcPr>
            <w:tcW w:w="4202" w:type="dxa"/>
            <w:shd w:val="clear" w:color="auto" w:fill="F2F2F2"/>
            <w:vAlign w:val="center"/>
          </w:tcPr>
          <w:p w14:paraId="7E6071CE"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Radiographie thoracique</w:t>
            </w:r>
          </w:p>
        </w:tc>
        <w:tc>
          <w:tcPr>
            <w:tcW w:w="4865" w:type="dxa"/>
            <w:shd w:val="clear" w:color="auto" w:fill="F2F2F2"/>
            <w:vAlign w:val="center"/>
          </w:tcPr>
          <w:p w14:paraId="54FAD4A9"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Tous les patients</w:t>
            </w:r>
          </w:p>
        </w:tc>
      </w:tr>
      <w:tr w:rsidR="003208BA" w14:paraId="5BACDDF0" w14:textId="77777777" w:rsidTr="00D73350">
        <w:tc>
          <w:tcPr>
            <w:tcW w:w="4202" w:type="dxa"/>
            <w:vAlign w:val="center"/>
          </w:tcPr>
          <w:p w14:paraId="36C314B6" w14:textId="77777777" w:rsidR="003208BA" w:rsidRDefault="003208BA" w:rsidP="007426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left"/>
              <w:rPr>
                <w:rFonts w:ascii="Calibri" w:eastAsia="Calibri" w:hAnsi="Calibri" w:cs="Calibri"/>
              </w:rPr>
            </w:pPr>
            <w:r>
              <w:rPr>
                <w:rFonts w:ascii="Calibri" w:eastAsia="Calibri" w:hAnsi="Calibri" w:cs="Calibri"/>
              </w:rPr>
              <w:t>Examen ophtalmologique avec vision des couleurs</w:t>
            </w:r>
          </w:p>
        </w:tc>
        <w:tc>
          <w:tcPr>
            <w:tcW w:w="4865" w:type="dxa"/>
            <w:vAlign w:val="center"/>
          </w:tcPr>
          <w:p w14:paraId="74FE526C" w14:textId="77777777" w:rsidR="003208BA" w:rsidRDefault="003208BA" w:rsidP="00742634">
            <w:pPr>
              <w:pBdr>
                <w:top w:val="nil"/>
                <w:left w:val="nil"/>
                <w:bottom w:val="nil"/>
                <w:right w:val="nil"/>
                <w:between w:val="nil"/>
              </w:pBdr>
              <w:spacing w:line="276" w:lineRule="auto"/>
              <w:jc w:val="left"/>
              <w:rPr>
                <w:rFonts w:ascii="Calibri" w:eastAsia="Calibri" w:hAnsi="Calibri" w:cs="Calibri"/>
              </w:rPr>
            </w:pPr>
            <w:r>
              <w:rPr>
                <w:rFonts w:ascii="Calibri" w:eastAsia="Calibri" w:hAnsi="Calibri" w:cs="Calibri"/>
              </w:rPr>
              <w:t xml:space="preserve">Lors de la mise en route du traitement (mais peut être réalisé en différé, car la mise en route du </w:t>
            </w:r>
            <w:proofErr w:type="spellStart"/>
            <w:r>
              <w:rPr>
                <w:rFonts w:ascii="Calibri" w:eastAsia="Calibri" w:hAnsi="Calibri" w:cs="Calibri"/>
              </w:rPr>
              <w:t>ttt</w:t>
            </w:r>
            <w:proofErr w:type="spellEnd"/>
            <w:r>
              <w:rPr>
                <w:rFonts w:ascii="Calibri" w:eastAsia="Calibri" w:hAnsi="Calibri" w:cs="Calibri"/>
              </w:rPr>
              <w:t xml:space="preserve"> est une urgence), au cours du 1</w:t>
            </w:r>
            <w:r>
              <w:rPr>
                <w:rFonts w:ascii="Calibri" w:eastAsia="Calibri" w:hAnsi="Calibri" w:cs="Calibri"/>
                <w:vertAlign w:val="superscript"/>
              </w:rPr>
              <w:t>er</w:t>
            </w:r>
            <w:r>
              <w:rPr>
                <w:rFonts w:ascii="Calibri" w:eastAsia="Calibri" w:hAnsi="Calibri" w:cs="Calibri"/>
              </w:rPr>
              <w:t xml:space="preserve"> mois et 2</w:t>
            </w:r>
            <w:r>
              <w:rPr>
                <w:rFonts w:ascii="Calibri" w:eastAsia="Calibri" w:hAnsi="Calibri" w:cs="Calibri"/>
                <w:vertAlign w:val="superscript"/>
              </w:rPr>
              <w:t>e</w:t>
            </w:r>
            <w:r>
              <w:rPr>
                <w:rFonts w:ascii="Calibri" w:eastAsia="Calibri" w:hAnsi="Calibri" w:cs="Calibri"/>
              </w:rPr>
              <w:t xml:space="preserve"> mois d’un traitement par </w:t>
            </w:r>
            <w:proofErr w:type="spellStart"/>
            <w:r>
              <w:rPr>
                <w:rFonts w:ascii="Calibri" w:eastAsia="Calibri" w:hAnsi="Calibri" w:cs="Calibri"/>
              </w:rPr>
              <w:t>éthambutol</w:t>
            </w:r>
            <w:proofErr w:type="spellEnd"/>
            <w:r>
              <w:rPr>
                <w:rFonts w:ascii="Calibri" w:eastAsia="Calibri" w:hAnsi="Calibri" w:cs="Calibri"/>
              </w:rPr>
              <w:t xml:space="preserve"> puis tous les deux mois dans le cas exceptionnel de prolongation du traitement par </w:t>
            </w:r>
            <w:proofErr w:type="spellStart"/>
            <w:r>
              <w:rPr>
                <w:rFonts w:ascii="Calibri" w:eastAsia="Calibri" w:hAnsi="Calibri" w:cs="Calibri"/>
              </w:rPr>
              <w:t>éthambutol</w:t>
            </w:r>
            <w:proofErr w:type="spellEnd"/>
          </w:p>
        </w:tc>
      </w:tr>
    </w:tbl>
    <w:p w14:paraId="11CB1ED3" w14:textId="77777777" w:rsidR="003208BA" w:rsidRDefault="003208BA" w:rsidP="00742634">
      <w:pPr>
        <w:pBdr>
          <w:top w:val="nil"/>
          <w:left w:val="nil"/>
          <w:bottom w:val="nil"/>
          <w:right w:val="nil"/>
          <w:between w:val="nil"/>
        </w:pBdr>
        <w:spacing w:line="276" w:lineRule="auto"/>
      </w:pPr>
      <w:r>
        <w:t xml:space="preserve"> </w:t>
      </w:r>
    </w:p>
    <w:p w14:paraId="386A47F0" w14:textId="77777777" w:rsidR="003208BA" w:rsidRDefault="003208BA" w:rsidP="00742634">
      <w:pPr>
        <w:spacing w:line="276" w:lineRule="auto"/>
      </w:pPr>
      <w:r>
        <w:t>Surveillance :</w:t>
      </w:r>
    </w:p>
    <w:p w14:paraId="6056A05F" w14:textId="77777777" w:rsidR="003208BA" w:rsidRDefault="003208BA" w:rsidP="00742634">
      <w:pPr>
        <w:spacing w:line="276" w:lineRule="auto"/>
      </w:pPr>
      <w:r>
        <w:t>- Clinique (J15, M1, M2, M4, M6, M9, M12), radiologique (M1, M2, M6, M12, M18 et 2 ans après la fin de traitement selon OMS) et bactériologique (J15, M1 (jusqu’à négativation), M2, M6).</w:t>
      </w:r>
    </w:p>
    <w:p w14:paraId="765342B6" w14:textId="77777777" w:rsidR="003208BA" w:rsidRDefault="003208BA" w:rsidP="00742634">
      <w:pPr>
        <w:spacing w:line="276" w:lineRule="auto"/>
      </w:pPr>
      <w:r>
        <w:t>- Biologique : bilan hépatique hebdomadaire le premier mois, puis rythme de surveillance controversé, dépendant du terrain, peut être mensuel :</w:t>
      </w:r>
    </w:p>
    <w:p w14:paraId="73333707" w14:textId="77777777" w:rsidR="003208BA" w:rsidRDefault="003208BA">
      <w:pPr>
        <w:numPr>
          <w:ilvl w:val="1"/>
          <w:numId w:val="12"/>
        </w:numPr>
        <w:spacing w:line="276" w:lineRule="auto"/>
        <w:ind w:left="284" w:hanging="142"/>
      </w:pPr>
      <w:r>
        <w:t>Sensibiliser les patients aux signes fonctionnels d’insuffisance hépatocellulaire.</w:t>
      </w:r>
    </w:p>
    <w:p w14:paraId="0ED2EB93" w14:textId="77777777" w:rsidR="003208BA" w:rsidRDefault="003208BA">
      <w:pPr>
        <w:numPr>
          <w:ilvl w:val="1"/>
          <w:numId w:val="12"/>
        </w:numPr>
        <w:spacing w:line="276" w:lineRule="auto"/>
        <w:ind w:left="284" w:hanging="142"/>
      </w:pPr>
      <w:r>
        <w:t>En cas de transaminases élevées, mais inférieures à 3N : surveillance rapprochée jusqu’à normalisation.</w:t>
      </w:r>
    </w:p>
    <w:p w14:paraId="4CA42CC2" w14:textId="77777777" w:rsidR="003208BA" w:rsidRDefault="003208BA">
      <w:pPr>
        <w:numPr>
          <w:ilvl w:val="1"/>
          <w:numId w:val="12"/>
        </w:numPr>
        <w:spacing w:line="276" w:lineRule="auto"/>
        <w:ind w:left="284" w:hanging="142"/>
      </w:pPr>
      <w:r>
        <w:t>En cas de transaminases élevées entre 3 et 6N pendant la phase initiale : arrêt du PZA et poursuite d’une trithérapie INH+RMP+EMB et prolonger de 3 mois la bithérapie.</w:t>
      </w:r>
    </w:p>
    <w:p w14:paraId="5155FDD2" w14:textId="77777777" w:rsidR="003208BA" w:rsidRDefault="003208BA">
      <w:pPr>
        <w:numPr>
          <w:ilvl w:val="1"/>
          <w:numId w:val="12"/>
        </w:numPr>
        <w:spacing w:line="276" w:lineRule="auto"/>
        <w:ind w:left="284" w:hanging="142"/>
      </w:pPr>
      <w:r>
        <w:t>En cas de transaminases élevées supérieures à 6N : arrêt INH et PZA, possible essai de réintroduction de l’INH à demi-dose après normalisation des paramètres biologiques, sinon ajout d’antituberculeux de deuxième ligne.</w:t>
      </w:r>
    </w:p>
    <w:p w14:paraId="6AF737FB" w14:textId="77777777" w:rsidR="003208BA" w:rsidRDefault="003208BA" w:rsidP="00742634">
      <w:pPr>
        <w:spacing w:line="276" w:lineRule="auto"/>
      </w:pPr>
      <w:r>
        <w:t>- Vision des couleurs : bilan mensuel pendant la durée du traitement par EMB.</w:t>
      </w:r>
    </w:p>
    <w:p w14:paraId="292B7818" w14:textId="77777777" w:rsidR="003208BA" w:rsidRDefault="003208BA" w:rsidP="00742634">
      <w:pPr>
        <w:spacing w:line="276" w:lineRule="auto"/>
      </w:pPr>
    </w:p>
    <w:p w14:paraId="03AAF761" w14:textId="77777777" w:rsidR="003208BA" w:rsidRDefault="003208BA" w:rsidP="00742634">
      <w:pPr>
        <w:spacing w:line="276" w:lineRule="auto"/>
      </w:pPr>
      <w:r>
        <w:lastRenderedPageBreak/>
        <w:t>- Prise des antituberculeux en une prise unique quotidienne à jeun environ 1 heure avant un repas (meilleure absorption de RMP).</w:t>
      </w:r>
    </w:p>
    <w:p w14:paraId="50E102BA" w14:textId="77777777" w:rsidR="003208BA" w:rsidRDefault="003208BA" w:rsidP="00742634">
      <w:pPr>
        <w:spacing w:line="276" w:lineRule="auto"/>
      </w:pPr>
      <w:r>
        <w:t>- Insister sur l’importance d’une bonne observance et la possibilité d’une adaptation thérapeutique possible en cas de troubles digestifs importants.</w:t>
      </w:r>
    </w:p>
    <w:p w14:paraId="63328624" w14:textId="77777777" w:rsidR="003208BA" w:rsidRDefault="003208BA" w:rsidP="00742634">
      <w:pPr>
        <w:spacing w:line="276" w:lineRule="auto"/>
      </w:pPr>
      <w:r>
        <w:t>- Prévenir le patient de la coloration rouge orangé des différentes sécrétions (risque de coloration des lentilles de contact, urines orangées…).</w:t>
      </w:r>
    </w:p>
    <w:p w14:paraId="2450F47D" w14:textId="77777777" w:rsidR="003208BA" w:rsidRDefault="003208BA" w:rsidP="00742634">
      <w:pPr>
        <w:spacing w:line="276" w:lineRule="auto"/>
      </w:pPr>
      <w:r>
        <w:t>- Inefficacité de la pilule œstroprogestative et donc nécessité d’un autre moyen de contraception efficace (contraception mécanique seule possible).</w:t>
      </w:r>
    </w:p>
    <w:p w14:paraId="50C017FB" w14:textId="77777777" w:rsidR="003208BA" w:rsidRDefault="003208BA" w:rsidP="00742634">
      <w:pPr>
        <w:spacing w:line="276" w:lineRule="auto"/>
      </w:pPr>
    </w:p>
    <w:p w14:paraId="7464D757" w14:textId="77777777" w:rsidR="003208BA" w:rsidRDefault="003208BA" w:rsidP="00605916">
      <w:pPr>
        <w:pStyle w:val="Titre3"/>
      </w:pPr>
      <w:r>
        <w:t>Traitement adjuvant : la corticothérapie</w:t>
      </w:r>
    </w:p>
    <w:p w14:paraId="5BA618AB" w14:textId="77777777" w:rsidR="003208BA" w:rsidRDefault="003208BA" w:rsidP="00742634">
      <w:pPr>
        <w:spacing w:line="276" w:lineRule="auto"/>
      </w:pPr>
      <w:r>
        <w:t>- Réservée aux formes très sévères de miliaire tuberculeuse hématogène fulminante ou de méningite avec signes de localisation (administration désormais non systématique dans la péricardite).</w:t>
      </w:r>
    </w:p>
    <w:p w14:paraId="0E0D3FE6" w14:textId="77777777" w:rsidR="003208BA" w:rsidRDefault="003208BA" w:rsidP="00742634">
      <w:pPr>
        <w:spacing w:line="276" w:lineRule="auto"/>
      </w:pPr>
      <w:r>
        <w:t>- Pas d’intérêt démontré dans la pleurésie tuberculeuse.</w:t>
      </w:r>
    </w:p>
    <w:p w14:paraId="2D5923FC" w14:textId="77777777" w:rsidR="003208BA" w:rsidRDefault="003208BA" w:rsidP="00742634">
      <w:pPr>
        <w:spacing w:line="276" w:lineRule="auto"/>
      </w:pPr>
    </w:p>
    <w:p w14:paraId="4FC654AF" w14:textId="77777777" w:rsidR="003208BA" w:rsidRDefault="003208BA" w:rsidP="00605916">
      <w:pPr>
        <w:pStyle w:val="Titre3"/>
      </w:pPr>
      <w:r>
        <w:t>Isolement respiratoire pendant la période de contagiosité</w:t>
      </w:r>
    </w:p>
    <w:p w14:paraId="06ABAB20" w14:textId="77777777" w:rsidR="003208BA" w:rsidRDefault="003208BA" w:rsidP="00742634">
      <w:pPr>
        <w:spacing w:line="276" w:lineRule="auto"/>
      </w:pPr>
      <w:r>
        <w:t>Durée de l’isolement respiratoire :</w:t>
      </w:r>
    </w:p>
    <w:p w14:paraId="02D08D2C" w14:textId="77777777" w:rsidR="003208BA" w:rsidRDefault="003208BA" w:rsidP="00742634">
      <w:pPr>
        <w:spacing w:line="276" w:lineRule="auto"/>
      </w:pPr>
      <w:r>
        <w:t>- Quand un patient est contagieux au moment du diagnostic d’une tuberculose, il est en général déjà contagieux depuis 3 mois et a donc potentiellement déjà contaminé son entourage proche.</w:t>
      </w:r>
    </w:p>
    <w:p w14:paraId="15C47A59" w14:textId="77777777" w:rsidR="003208BA" w:rsidRDefault="003208BA" w:rsidP="00742634">
      <w:pPr>
        <w:spacing w:line="276" w:lineRule="auto"/>
      </w:pPr>
      <w:r>
        <w:t xml:space="preserve">- On considère en général qu’après </w:t>
      </w:r>
      <w:r>
        <w:rPr>
          <w:u w:val="single"/>
        </w:rPr>
        <w:t>15 jours</w:t>
      </w:r>
      <w:r>
        <w:t xml:space="preserve"> de traitement plein, on peut lever l’isolement respiratoire.</w:t>
      </w:r>
    </w:p>
    <w:p w14:paraId="2D966600" w14:textId="77777777" w:rsidR="003208BA" w:rsidRDefault="003208BA" w:rsidP="00742634">
      <w:pPr>
        <w:spacing w:line="276" w:lineRule="auto"/>
      </w:pPr>
      <w:r>
        <w:t>- Toutefois, la durée d’isolement respiratoire peut être prolongée, notamment en cas de tuberculose pulmonaire initialement très bacillifère, ou si maintien de l’hospitalisation (notamment si présence d’enfants ou de personnes âgées au domicile).</w:t>
      </w:r>
    </w:p>
    <w:p w14:paraId="7DD3EB48" w14:textId="77777777" w:rsidR="003208BA" w:rsidRDefault="003208BA" w:rsidP="00742634">
      <w:pPr>
        <w:spacing w:line="276" w:lineRule="auto"/>
      </w:pPr>
    </w:p>
    <w:p w14:paraId="45F62ED4" w14:textId="77777777" w:rsidR="003208BA" w:rsidRDefault="003208BA" w:rsidP="00605916">
      <w:pPr>
        <w:pStyle w:val="Titre3"/>
      </w:pPr>
      <w:r>
        <w:t>Demander la prise en charge à 100 %</w:t>
      </w:r>
    </w:p>
    <w:p w14:paraId="106F56A8" w14:textId="77777777" w:rsidR="003208BA" w:rsidRDefault="003208BA" w:rsidP="00742634">
      <w:pPr>
        <w:spacing w:line="276" w:lineRule="auto"/>
      </w:pPr>
      <w:r>
        <w:t>Au titre de l’affection longue durée (ALD n°29).</w:t>
      </w:r>
    </w:p>
    <w:p w14:paraId="1A5C2421" w14:textId="77777777" w:rsidR="003208BA" w:rsidRDefault="003208BA" w:rsidP="00742634">
      <w:pPr>
        <w:spacing w:line="276" w:lineRule="auto"/>
      </w:pPr>
      <w:r>
        <w:t>Tuberculose= ALD pour 2 ans.</w:t>
      </w:r>
    </w:p>
    <w:p w14:paraId="5BE2C933" w14:textId="77777777" w:rsidR="003208BA" w:rsidRDefault="003208BA" w:rsidP="00742634">
      <w:pPr>
        <w:spacing w:line="276" w:lineRule="auto"/>
      </w:pPr>
    </w:p>
    <w:p w14:paraId="0650E35A" w14:textId="3F184041" w:rsidR="003208BA" w:rsidRDefault="003208BA" w:rsidP="00605916">
      <w:pPr>
        <w:pStyle w:val="titredepartie"/>
      </w:pPr>
      <w:r>
        <w:t>Partie 2 : Stratégie diagnostique devant L’Infection Tuberculeuse Latente (ITL)</w:t>
      </w:r>
    </w:p>
    <w:p w14:paraId="682E9D81" w14:textId="77777777" w:rsidR="003208BA" w:rsidRDefault="003208BA" w:rsidP="00605916">
      <w:pPr>
        <w:pStyle w:val="titredesous-partie"/>
        <w:rPr>
          <w:color w:val="000000"/>
        </w:rPr>
      </w:pPr>
      <w:r>
        <w:t>EXAMEN CLINIQUE</w:t>
      </w:r>
    </w:p>
    <w:p w14:paraId="5F5D4556" w14:textId="77777777" w:rsidR="003208BA" w:rsidRDefault="003208BA" w:rsidP="00742634">
      <w:pPr>
        <w:spacing w:line="276" w:lineRule="auto"/>
      </w:pPr>
      <w:r>
        <w:t>Par définition, l’ITL est une primo-infection tuberculeuse asymptomatique.</w:t>
      </w:r>
    </w:p>
    <w:p w14:paraId="1839EE87" w14:textId="77777777" w:rsidR="003208BA" w:rsidRDefault="003208BA" w:rsidP="00742634">
      <w:pPr>
        <w:spacing w:line="276" w:lineRule="auto"/>
      </w:pPr>
    </w:p>
    <w:p w14:paraId="0180754F" w14:textId="77777777" w:rsidR="003208BA" w:rsidRDefault="003208BA" w:rsidP="00605916">
      <w:pPr>
        <w:pStyle w:val="titredesous-partie"/>
      </w:pPr>
      <w:r>
        <w:t>EXAMENS COMPLÉMENTAIRES</w:t>
      </w:r>
    </w:p>
    <w:p w14:paraId="63B151CF" w14:textId="3629619C" w:rsidR="003208BA" w:rsidRPr="00605916" w:rsidRDefault="003208BA">
      <w:pPr>
        <w:pStyle w:val="1titre"/>
      </w:pPr>
      <w:r>
        <w:t>Dépistage des ITL</w:t>
      </w:r>
    </w:p>
    <w:p w14:paraId="249C5315" w14:textId="6930BC06" w:rsidR="003208BA" w:rsidRDefault="003208BA">
      <w:pPr>
        <w:pStyle w:val="Titre3"/>
        <w:numPr>
          <w:ilvl w:val="1"/>
          <w:numId w:val="40"/>
        </w:numPr>
        <w:ind w:left="851" w:hanging="491"/>
      </w:pPr>
      <w:r>
        <w:t>Objectif</w:t>
      </w:r>
    </w:p>
    <w:p w14:paraId="1C2C2127" w14:textId="77777777" w:rsidR="003208BA" w:rsidRDefault="003208BA" w:rsidP="00742634">
      <w:pPr>
        <w:spacing w:line="276" w:lineRule="auto"/>
      </w:pPr>
      <w:r>
        <w:t>Diagnostiquer les ITL à haut risque d’évolution vers une tuberculose maladie.</w:t>
      </w:r>
    </w:p>
    <w:p w14:paraId="64008472" w14:textId="77777777" w:rsidR="003208BA" w:rsidRDefault="003208BA" w:rsidP="00742634">
      <w:pPr>
        <w:spacing w:line="276" w:lineRule="auto"/>
        <w:rPr>
          <w:i/>
          <w:iCs/>
        </w:rPr>
      </w:pPr>
    </w:p>
    <w:p w14:paraId="02E5FADC" w14:textId="1FB22B3A" w:rsidR="003208BA" w:rsidRDefault="003208BA">
      <w:pPr>
        <w:pStyle w:val="Titre3"/>
        <w:numPr>
          <w:ilvl w:val="1"/>
          <w:numId w:val="40"/>
        </w:numPr>
        <w:ind w:left="851" w:hanging="491"/>
      </w:pPr>
      <w:r>
        <w:lastRenderedPageBreak/>
        <w:t>Qui est concerné par la recherche d’une ITL</w:t>
      </w:r>
      <w:r>
        <w:rPr>
          <w:rFonts w:ascii="Arial" w:eastAsia="Arial" w:hAnsi="Arial" w:cs="Arial"/>
        </w:rPr>
        <w:t> </w:t>
      </w:r>
      <w:r>
        <w:t>?</w:t>
      </w:r>
    </w:p>
    <w:p w14:paraId="4BD57D8C" w14:textId="77777777" w:rsidR="003208BA" w:rsidRDefault="003208BA" w:rsidP="00742634">
      <w:pPr>
        <w:spacing w:line="276" w:lineRule="auto"/>
      </w:pPr>
      <w:r>
        <w:t>Lors de l’enquête autour d’un cas : les sujets contacts.</w:t>
      </w:r>
    </w:p>
    <w:p w14:paraId="583E4378" w14:textId="77777777" w:rsidR="003208BA" w:rsidRDefault="003208BA" w:rsidP="00742634">
      <w:pPr>
        <w:spacing w:line="276" w:lineRule="auto"/>
      </w:pPr>
      <w:r>
        <w:t>- Toute personne (adultes, enfants) ayant des contacts répétés et rapprochés (même pièce ou ayant séjourné dans un même espace défini par la distance d’une conversation) avec le malade ou un contact contagieux.</w:t>
      </w:r>
    </w:p>
    <w:p w14:paraId="67AF3ABE" w14:textId="77777777" w:rsidR="003208BA" w:rsidRDefault="003208BA" w:rsidP="00742634">
      <w:pPr>
        <w:spacing w:line="276" w:lineRule="auto"/>
      </w:pPr>
      <w:r>
        <w:t>- Le risque d’infection après cette exposition dépend :</w:t>
      </w:r>
    </w:p>
    <w:p w14:paraId="486D774B" w14:textId="77777777" w:rsidR="003208BA" w:rsidRDefault="003208BA">
      <w:pPr>
        <w:numPr>
          <w:ilvl w:val="0"/>
          <w:numId w:val="13"/>
        </w:numPr>
        <w:spacing w:line="276" w:lineRule="auto"/>
        <w:ind w:left="284" w:hanging="142"/>
      </w:pPr>
      <w:r>
        <w:t>De la contagiosité du cas index d’une part :</w:t>
      </w:r>
    </w:p>
    <w:p w14:paraId="2A866425" w14:textId="77777777" w:rsidR="003208BA" w:rsidRDefault="003208BA">
      <w:pPr>
        <w:numPr>
          <w:ilvl w:val="0"/>
          <w:numId w:val="14"/>
        </w:numPr>
        <w:spacing w:line="276" w:lineRule="auto"/>
        <w:ind w:left="567" w:hanging="283"/>
      </w:pPr>
      <w:r>
        <w:t>Forte contagiosité : bacillifère (examen direct positif), cavités à la radiographie de thorax.</w:t>
      </w:r>
    </w:p>
    <w:p w14:paraId="00BCA880" w14:textId="77777777" w:rsidR="003208BA" w:rsidRDefault="003208BA">
      <w:pPr>
        <w:numPr>
          <w:ilvl w:val="0"/>
          <w:numId w:val="14"/>
        </w:numPr>
        <w:spacing w:line="276" w:lineRule="auto"/>
        <w:ind w:left="567" w:hanging="283"/>
      </w:pPr>
      <w:r>
        <w:t>Période de contagiosité : trois mois avant le diagnostic et 15 jours après la mise en route du traitement.</w:t>
      </w:r>
    </w:p>
    <w:p w14:paraId="6098EDCC" w14:textId="77777777" w:rsidR="003208BA" w:rsidRDefault="003208BA">
      <w:pPr>
        <w:numPr>
          <w:ilvl w:val="0"/>
          <w:numId w:val="13"/>
        </w:numPr>
        <w:spacing w:line="276" w:lineRule="auto"/>
        <w:ind w:left="284" w:hanging="142"/>
      </w:pPr>
      <w:r>
        <w:t>Et d’autre part, du type de contact qui est fonction du degré de proximité, de confinement et de durée :</w:t>
      </w:r>
    </w:p>
    <w:p w14:paraId="65E786E5" w14:textId="77777777" w:rsidR="003208BA" w:rsidRDefault="003208BA">
      <w:pPr>
        <w:numPr>
          <w:ilvl w:val="0"/>
          <w:numId w:val="14"/>
        </w:numPr>
        <w:spacing w:line="276" w:lineRule="auto"/>
        <w:ind w:left="567" w:hanging="283"/>
      </w:pPr>
      <w:r>
        <w:t>Contact étroit : personnes partageant le même lieu fermé plusieurs heures par jour (famille, classe, bureau, cellule, etc.).</w:t>
      </w:r>
    </w:p>
    <w:p w14:paraId="7E2EF80C" w14:textId="77777777" w:rsidR="003208BA" w:rsidRDefault="003208BA">
      <w:pPr>
        <w:numPr>
          <w:ilvl w:val="0"/>
          <w:numId w:val="14"/>
        </w:numPr>
        <w:spacing w:line="276" w:lineRule="auto"/>
        <w:ind w:left="567" w:hanging="283"/>
      </w:pPr>
      <w:r>
        <w:t>Contact régulier : personnes partageant régulièrement le même lieu fermé (domicile, cantine, atelier, club de sport, etc.).</w:t>
      </w:r>
    </w:p>
    <w:p w14:paraId="6AEEE409" w14:textId="77777777" w:rsidR="003208BA" w:rsidRDefault="003208BA">
      <w:pPr>
        <w:numPr>
          <w:ilvl w:val="0"/>
          <w:numId w:val="14"/>
        </w:numPr>
        <w:spacing w:line="276" w:lineRule="auto"/>
        <w:ind w:left="567" w:hanging="283"/>
      </w:pPr>
      <w:r>
        <w:t>Contact occasionnel : personnes partageant occasionnellement le même lieu fermé (dîner, etc.).</w:t>
      </w:r>
    </w:p>
    <w:p w14:paraId="69AF1AE3" w14:textId="77777777" w:rsidR="003208BA" w:rsidRDefault="003208BA" w:rsidP="00742634">
      <w:pPr>
        <w:spacing w:line="276" w:lineRule="auto"/>
      </w:pPr>
      <w:r>
        <w:t>- Le risque de développer une maladie tuberculeuse, après l’infection, dépend ensuite des caractéristiques propres des personnes exposées.</w:t>
      </w:r>
    </w:p>
    <w:p w14:paraId="7DA76CC6" w14:textId="77777777" w:rsidR="003208BA" w:rsidRDefault="003208BA" w:rsidP="00742634">
      <w:pPr>
        <w:spacing w:line="276" w:lineRule="auto"/>
      </w:pPr>
      <w:r>
        <w:t>- Le dépistage systématique ne concerne que les personnes en contact étroit ou régulier.</w:t>
      </w:r>
    </w:p>
    <w:p w14:paraId="1B04E0DE" w14:textId="77777777" w:rsidR="003208BA" w:rsidRDefault="003208BA" w:rsidP="00742634">
      <w:pPr>
        <w:spacing w:line="276" w:lineRule="auto"/>
      </w:pPr>
      <w:r>
        <w:t>- Les personnes en contacts occasionnels ne sont dépistées que s’il s’agit de personnes fragiles, immunodéprimées…</w:t>
      </w:r>
    </w:p>
    <w:p w14:paraId="25335EB8" w14:textId="77777777" w:rsidR="003208BA" w:rsidRDefault="003208BA" w:rsidP="00742634">
      <w:pPr>
        <w:spacing w:line="276" w:lineRule="auto"/>
      </w:pPr>
    </w:p>
    <w:p w14:paraId="3EC589EB" w14:textId="77777777" w:rsidR="003208BA" w:rsidRDefault="003208BA" w:rsidP="00742634">
      <w:pPr>
        <w:spacing w:line="276" w:lineRule="auto"/>
      </w:pPr>
      <w:r>
        <w:t>Autres catégories concernées par la recherche d’une ITL :</w:t>
      </w:r>
    </w:p>
    <w:p w14:paraId="3B48C461" w14:textId="77777777" w:rsidR="003208BA" w:rsidRDefault="003208BA" w:rsidP="00742634">
      <w:pPr>
        <w:spacing w:line="276" w:lineRule="auto"/>
      </w:pPr>
      <w:r>
        <w:t>- Patient devant être mis sous traitement anti TNFα</w:t>
      </w:r>
    </w:p>
    <w:p w14:paraId="71A28611" w14:textId="77777777" w:rsidR="003208BA" w:rsidRDefault="003208BA" w:rsidP="00742634">
      <w:pPr>
        <w:spacing w:line="276" w:lineRule="auto"/>
      </w:pPr>
      <w:r>
        <w:t>- Bilan lors du diagnostic d’infection VIH</w:t>
      </w:r>
    </w:p>
    <w:p w14:paraId="02FE294C" w14:textId="77777777" w:rsidR="003208BA" w:rsidRDefault="003208BA" w:rsidP="00742634">
      <w:pPr>
        <w:spacing w:line="276" w:lineRule="auto"/>
      </w:pPr>
      <w:r>
        <w:t>- Professionnels de santé</w:t>
      </w:r>
    </w:p>
    <w:p w14:paraId="6B830A78" w14:textId="77777777" w:rsidR="003208BA" w:rsidRDefault="003208BA" w:rsidP="00742634">
      <w:pPr>
        <w:spacing w:line="276" w:lineRule="auto"/>
      </w:pPr>
      <w:r>
        <w:t>- Enquête épidémiologique de prévalence de l’ITL</w:t>
      </w:r>
    </w:p>
    <w:p w14:paraId="1D3590D7" w14:textId="77777777" w:rsidR="003208BA" w:rsidRDefault="003208BA" w:rsidP="00742634">
      <w:pPr>
        <w:spacing w:line="276" w:lineRule="auto"/>
      </w:pPr>
      <w:r>
        <w:t xml:space="preserve">- Migrant récent d’un pays de forte endémie </w:t>
      </w:r>
    </w:p>
    <w:p w14:paraId="2B023A3C" w14:textId="77777777" w:rsidR="003208BA" w:rsidRDefault="003208BA" w:rsidP="00742634">
      <w:pPr>
        <w:spacing w:line="276" w:lineRule="auto"/>
      </w:pPr>
    </w:p>
    <w:p w14:paraId="0F80D722" w14:textId="3DB7D006" w:rsidR="003208BA" w:rsidRDefault="003208BA">
      <w:pPr>
        <w:pStyle w:val="Titre3"/>
        <w:numPr>
          <w:ilvl w:val="1"/>
          <w:numId w:val="40"/>
        </w:numPr>
        <w:ind w:left="851" w:hanging="491"/>
      </w:pPr>
      <w:r>
        <w:t>Moyens du diagnostic</w:t>
      </w:r>
    </w:p>
    <w:p w14:paraId="5CC9E3D4" w14:textId="77777777" w:rsidR="003208BA" w:rsidRDefault="003208BA" w:rsidP="00742634">
      <w:pPr>
        <w:spacing w:line="276" w:lineRule="auto"/>
      </w:pPr>
      <w:r>
        <w:rPr>
          <w:u w:val="single"/>
        </w:rPr>
        <w:t>Intradermoréaction à la tuberculine</w:t>
      </w:r>
      <w:r>
        <w:t xml:space="preserve"> (IDR) encore appelée réaction cutanée tuberculinique (RCT) :</w:t>
      </w:r>
    </w:p>
    <w:p w14:paraId="483629DC" w14:textId="77777777" w:rsidR="003208BA" w:rsidRDefault="003208BA" w:rsidP="00742634">
      <w:pPr>
        <w:spacing w:line="276" w:lineRule="auto"/>
      </w:pPr>
      <w:r>
        <w:t xml:space="preserve">- Mise en évidence d’une réaction cutanée après injection locale d’antigènes </w:t>
      </w:r>
      <w:proofErr w:type="spellStart"/>
      <w:r>
        <w:t>mycobactériens</w:t>
      </w:r>
      <w:proofErr w:type="spellEnd"/>
      <w:r>
        <w:t>, témoin de l’acquisition d’une immunité à médiation cellulaire.</w:t>
      </w:r>
    </w:p>
    <w:p w14:paraId="60F0C1B3" w14:textId="77777777" w:rsidR="003208BA" w:rsidRDefault="003208BA" w:rsidP="00742634">
      <w:pPr>
        <w:spacing w:line="276" w:lineRule="auto"/>
      </w:pPr>
      <w:r>
        <w:t xml:space="preserve">- Non spécifique de </w:t>
      </w:r>
      <w:r>
        <w:rPr>
          <w:i/>
          <w:iCs/>
        </w:rPr>
        <w:t xml:space="preserve">M. </w:t>
      </w:r>
      <w:proofErr w:type="spellStart"/>
      <w:r>
        <w:rPr>
          <w:i/>
          <w:iCs/>
        </w:rPr>
        <w:t>tuberculosis</w:t>
      </w:r>
      <w:proofErr w:type="spellEnd"/>
      <w:r>
        <w:t xml:space="preserve">, réaction également avec les antigènes de </w:t>
      </w:r>
      <w:r>
        <w:rPr>
          <w:i/>
          <w:iCs/>
        </w:rPr>
        <w:t xml:space="preserve">M. </w:t>
      </w:r>
      <w:proofErr w:type="spellStart"/>
      <w:r>
        <w:rPr>
          <w:i/>
          <w:iCs/>
        </w:rPr>
        <w:t>bovis</w:t>
      </w:r>
      <w:proofErr w:type="spellEnd"/>
      <w:r>
        <w:t xml:space="preserve"> (donc avec le BCG) et avec les antigènes de certaines mycobactéries non tuberculeuses.</w:t>
      </w:r>
    </w:p>
    <w:p w14:paraId="0F43D5A2" w14:textId="77777777" w:rsidR="003208BA" w:rsidRDefault="003208BA" w:rsidP="00742634">
      <w:pPr>
        <w:spacing w:line="276" w:lineRule="auto"/>
      </w:pPr>
      <w:r>
        <w:t>- Peut être négative malgré une ITL ou une TM (= anergie tuberculinique) en particulier lors de certaines infections virales, lors d’une hémopathie, d’une tumeur solide, d’une corticothérapie au long cours, d’une immunodépression sévère, d’un traitement immunosuppresseur ou d’une chimiothérapie anticancéreuse…</w:t>
      </w:r>
    </w:p>
    <w:p w14:paraId="38676704" w14:textId="77777777" w:rsidR="003208BA" w:rsidRDefault="003208BA" w:rsidP="00742634">
      <w:pPr>
        <w:spacing w:line="276" w:lineRule="auto"/>
      </w:pPr>
      <w:r>
        <w:t>- Modalités de réalisation :</w:t>
      </w:r>
    </w:p>
    <w:p w14:paraId="71E7E303" w14:textId="77777777" w:rsidR="003208BA" w:rsidRDefault="003208BA">
      <w:pPr>
        <w:numPr>
          <w:ilvl w:val="0"/>
          <w:numId w:val="15"/>
        </w:numPr>
        <w:spacing w:line="276" w:lineRule="auto"/>
        <w:ind w:left="284" w:hanging="142"/>
      </w:pPr>
      <w:r>
        <w:t>Injection en intradermique.</w:t>
      </w:r>
    </w:p>
    <w:p w14:paraId="67FCCCC5" w14:textId="77777777" w:rsidR="003208BA" w:rsidRDefault="003208BA">
      <w:pPr>
        <w:numPr>
          <w:ilvl w:val="0"/>
          <w:numId w:val="15"/>
        </w:numPr>
        <w:spacing w:line="276" w:lineRule="auto"/>
        <w:ind w:left="284" w:hanging="142"/>
      </w:pPr>
      <w:r>
        <w:t>De 0,1 </w:t>
      </w:r>
      <w:proofErr w:type="spellStart"/>
      <w:r>
        <w:t>mL</w:t>
      </w:r>
      <w:proofErr w:type="spellEnd"/>
      <w:r>
        <w:t xml:space="preserve"> de tuberculine.</w:t>
      </w:r>
    </w:p>
    <w:p w14:paraId="684883F2" w14:textId="77777777" w:rsidR="003208BA" w:rsidRDefault="003208BA" w:rsidP="00742634">
      <w:pPr>
        <w:spacing w:line="276" w:lineRule="auto"/>
      </w:pPr>
      <w:r>
        <w:lastRenderedPageBreak/>
        <w:t>- Modalités de lecture :</w:t>
      </w:r>
    </w:p>
    <w:p w14:paraId="40FAC7B6" w14:textId="77777777" w:rsidR="003208BA" w:rsidRDefault="003208BA">
      <w:pPr>
        <w:numPr>
          <w:ilvl w:val="0"/>
          <w:numId w:val="15"/>
        </w:numPr>
        <w:spacing w:line="276" w:lineRule="auto"/>
        <w:ind w:left="284" w:hanging="142"/>
      </w:pPr>
      <w:r>
        <w:t>72 heures après.</w:t>
      </w:r>
    </w:p>
    <w:p w14:paraId="6FCC6110" w14:textId="77777777" w:rsidR="003208BA" w:rsidRDefault="003208BA">
      <w:pPr>
        <w:numPr>
          <w:ilvl w:val="0"/>
          <w:numId w:val="15"/>
        </w:numPr>
        <w:spacing w:line="276" w:lineRule="auto"/>
        <w:ind w:left="284" w:hanging="142"/>
      </w:pPr>
      <w:r>
        <w:t>Mesure de l’induration autour du point de ponction (à l’aide d’une règle graduée en millimètres).</w:t>
      </w:r>
    </w:p>
    <w:p w14:paraId="0EB49BC0" w14:textId="77777777" w:rsidR="003208BA" w:rsidRDefault="003208BA">
      <w:pPr>
        <w:numPr>
          <w:ilvl w:val="0"/>
          <w:numId w:val="15"/>
        </w:numPr>
        <w:spacing w:line="276" w:lineRule="auto"/>
        <w:ind w:left="284" w:hanging="142"/>
      </w:pPr>
      <w:r>
        <w:t>Ne pas prendre en compte les dimensions de la réaction érythémateuse.</w:t>
      </w:r>
    </w:p>
    <w:p w14:paraId="41C7CED2" w14:textId="77777777" w:rsidR="003208BA" w:rsidRDefault="003208BA" w:rsidP="00742634">
      <w:pPr>
        <w:spacing w:line="276" w:lineRule="auto"/>
        <w:ind w:left="1068"/>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3208BA" w14:paraId="6F19D2D4" w14:textId="77777777" w:rsidTr="00D73350">
        <w:tc>
          <w:tcPr>
            <w:tcW w:w="9067" w:type="dxa"/>
            <w:shd w:val="clear" w:color="auto" w:fill="F2F2F2"/>
          </w:tcPr>
          <w:p w14:paraId="29561F5D" w14:textId="77777777" w:rsidR="003208BA" w:rsidRDefault="003208BA" w:rsidP="00742634">
            <w:pPr>
              <w:spacing w:line="276" w:lineRule="auto"/>
              <w:rPr>
                <w:b/>
                <w:bCs/>
              </w:rPr>
            </w:pPr>
            <w:r>
              <w:t>I</w:t>
            </w:r>
            <w:r>
              <w:rPr>
                <w:b/>
                <w:bCs/>
              </w:rPr>
              <w:t xml:space="preserve">nterprétation de l’IDR à la tuberculine : </w:t>
            </w:r>
          </w:p>
          <w:p w14:paraId="67FDFACA" w14:textId="77777777" w:rsidR="003208BA" w:rsidRDefault="003208BA" w:rsidP="00742634">
            <w:pPr>
              <w:spacing w:line="276" w:lineRule="auto"/>
            </w:pPr>
            <w:r>
              <w:t>- En fonction des antécédents (tuberculose, PIT, immunodépression, pathologie grave évolutive…), et de son statut vaccinal (BCG et résultats d’anciennes IDR).</w:t>
            </w:r>
          </w:p>
          <w:p w14:paraId="158B0694" w14:textId="77777777" w:rsidR="003208BA" w:rsidRDefault="003208BA" w:rsidP="00742634">
            <w:pPr>
              <w:spacing w:line="276" w:lineRule="auto"/>
            </w:pPr>
            <w:r>
              <w:t>- Interprétation difficile dans les 10 ans qui suivent la vaccination par le BCG.</w:t>
            </w:r>
          </w:p>
          <w:p w14:paraId="11882486" w14:textId="77777777" w:rsidR="003208BA" w:rsidRDefault="003208BA" w:rsidP="00742634">
            <w:pPr>
              <w:spacing w:line="276" w:lineRule="auto"/>
            </w:pPr>
            <w:r>
              <w:t>- IDR négative = diamètre d’induration &lt; à 5 </w:t>
            </w:r>
            <w:proofErr w:type="spellStart"/>
            <w:r>
              <w:t>mm.</w:t>
            </w:r>
            <w:proofErr w:type="spellEnd"/>
          </w:p>
          <w:p w14:paraId="2EEDEA78" w14:textId="763B3B92" w:rsidR="003208BA" w:rsidRDefault="00605916" w:rsidP="00742634">
            <w:pPr>
              <w:spacing w:line="276" w:lineRule="auto"/>
            </w:pPr>
            <w:r w:rsidRPr="00605916">
              <w:t xml:space="preserve">- IDR positive = diamètre ≥ à 5 </w:t>
            </w:r>
            <w:proofErr w:type="spellStart"/>
            <w:r w:rsidRPr="00605916">
              <w:t>mm.</w:t>
            </w:r>
            <w:proofErr w:type="spellEnd"/>
          </w:p>
          <w:p w14:paraId="7848C380" w14:textId="77777777" w:rsidR="003208BA" w:rsidRDefault="003208BA" w:rsidP="00742634">
            <w:pPr>
              <w:spacing w:line="276" w:lineRule="auto"/>
            </w:pPr>
            <w:r>
              <w:t>- Suspicion d’ITL :</w:t>
            </w:r>
          </w:p>
          <w:p w14:paraId="1A80F166" w14:textId="77777777" w:rsidR="003208BA" w:rsidRDefault="003208BA">
            <w:pPr>
              <w:numPr>
                <w:ilvl w:val="1"/>
                <w:numId w:val="16"/>
              </w:numPr>
              <w:spacing w:line="276" w:lineRule="auto"/>
              <w:ind w:left="284" w:hanging="142"/>
            </w:pPr>
            <w:r>
              <w:t>Lorsque le diamètre est supérieur à 10 mm en l’absence de vaccination antérieure par le BCG.</w:t>
            </w:r>
          </w:p>
          <w:p w14:paraId="5FB99F1C" w14:textId="77777777" w:rsidR="003208BA" w:rsidRDefault="003208BA">
            <w:pPr>
              <w:numPr>
                <w:ilvl w:val="1"/>
                <w:numId w:val="16"/>
              </w:numPr>
              <w:spacing w:line="276" w:lineRule="auto"/>
              <w:ind w:left="284" w:hanging="142"/>
            </w:pPr>
            <w:r>
              <w:t>Ou lorsque le diamètre de l’induration a augmenté de plus de 10 mm entre deux IDR à 3 mois d’intervalle (= virage tuberculinique).</w:t>
            </w:r>
          </w:p>
        </w:tc>
      </w:tr>
    </w:tbl>
    <w:p w14:paraId="4CBA112A" w14:textId="77777777" w:rsidR="003208BA" w:rsidRDefault="003208BA" w:rsidP="00742634">
      <w:pPr>
        <w:spacing w:line="276" w:lineRule="auto"/>
      </w:pPr>
    </w:p>
    <w:p w14:paraId="193165BB" w14:textId="77777777" w:rsidR="003208BA" w:rsidRDefault="003208BA" w:rsidP="00742634">
      <w:pPr>
        <w:spacing w:line="276" w:lineRule="auto"/>
      </w:pPr>
      <w:r>
        <w:rPr>
          <w:u w:val="single"/>
        </w:rPr>
        <w:t>Tests in vitro de détection de la production de l’interféron γ</w:t>
      </w:r>
      <w:r>
        <w:t xml:space="preserve"> (IGRA pour </w:t>
      </w:r>
      <w:proofErr w:type="spellStart"/>
      <w:r>
        <w:rPr>
          <w:i/>
          <w:iCs/>
        </w:rPr>
        <w:t>Interferon</w:t>
      </w:r>
      <w:proofErr w:type="spellEnd"/>
      <w:r>
        <w:rPr>
          <w:i/>
          <w:iCs/>
        </w:rPr>
        <w:t xml:space="preserve"> Gamma Release </w:t>
      </w:r>
      <w:proofErr w:type="spellStart"/>
      <w:r>
        <w:rPr>
          <w:i/>
          <w:iCs/>
        </w:rPr>
        <w:t>Assay</w:t>
      </w:r>
      <w:proofErr w:type="spellEnd"/>
      <w:r>
        <w:t xml:space="preserve">) : </w:t>
      </w:r>
    </w:p>
    <w:p w14:paraId="171878E0" w14:textId="77777777" w:rsidR="003208BA" w:rsidRDefault="003208BA" w:rsidP="00742634">
      <w:pPr>
        <w:spacing w:line="276" w:lineRule="auto"/>
        <w:rPr>
          <w:i/>
          <w:iCs/>
        </w:rPr>
      </w:pPr>
      <w:r>
        <w:t>- Mise en évidence d’une production d’interféron γ (</w:t>
      </w:r>
      <w:proofErr w:type="spellStart"/>
      <w:r>
        <w:t>IFNγ</w:t>
      </w:r>
      <w:proofErr w:type="spellEnd"/>
      <w:r>
        <w:t xml:space="preserve">) par les lymphocytes du sujet en présence d’antigènes spécifiques du génome de </w:t>
      </w:r>
      <w:r>
        <w:rPr>
          <w:i/>
          <w:iCs/>
        </w:rPr>
        <w:t xml:space="preserve">M. </w:t>
      </w:r>
      <w:proofErr w:type="spellStart"/>
      <w:r>
        <w:rPr>
          <w:i/>
          <w:iCs/>
        </w:rPr>
        <w:t>tuberculosis</w:t>
      </w:r>
      <w:proofErr w:type="spellEnd"/>
      <w:r>
        <w:rPr>
          <w:i/>
          <w:iCs/>
        </w:rPr>
        <w:t>.</w:t>
      </w:r>
    </w:p>
    <w:p w14:paraId="20E1D6DC" w14:textId="77777777" w:rsidR="003208BA" w:rsidRDefault="003208BA" w:rsidP="00742634">
      <w:pPr>
        <w:spacing w:line="276" w:lineRule="auto"/>
      </w:pPr>
      <w:r>
        <w:rPr>
          <w:i/>
          <w:iCs/>
        </w:rPr>
        <w:t xml:space="preserve">- </w:t>
      </w:r>
      <w:r>
        <w:t>Avantages pratiques par rapport à l’IDR : réalisation facile (prise de sang), non opérateur dépendant, interprétation rapide, une seule visite, moins de faux positifs qu’avec l’IDR car ne croise pas avec le BCG.</w:t>
      </w:r>
    </w:p>
    <w:p w14:paraId="12FC7337" w14:textId="77777777" w:rsidR="003208BA" w:rsidRDefault="003208BA" w:rsidP="00742634">
      <w:pPr>
        <w:spacing w:line="276" w:lineRule="auto"/>
      </w:pPr>
      <w:r>
        <w:t xml:space="preserve">- 2 principaux tests disponibles : </w:t>
      </w:r>
      <w:proofErr w:type="spellStart"/>
      <w:r>
        <w:t>QuantiFERON</w:t>
      </w:r>
      <w:proofErr w:type="spellEnd"/>
      <w:r>
        <w:rPr>
          <w:vertAlign w:val="superscript"/>
        </w:rPr>
        <w:t>®</w:t>
      </w:r>
      <w:r>
        <w:t xml:space="preserve"> et T-SPOT.TB</w:t>
      </w:r>
      <w:r>
        <w:rPr>
          <w:vertAlign w:val="superscript"/>
        </w:rPr>
        <w:t>®</w:t>
      </w:r>
      <w:r>
        <w:t>.</w:t>
      </w:r>
    </w:p>
    <w:p w14:paraId="79DCCEC8" w14:textId="77777777" w:rsidR="003208BA" w:rsidRDefault="003208BA" w:rsidP="00742634">
      <w:pPr>
        <w:spacing w:line="276" w:lineRule="auto"/>
      </w:pPr>
      <w:r>
        <w:t>- Indications reconnues par la HAS en remplacement de l’IDR :</w:t>
      </w:r>
    </w:p>
    <w:p w14:paraId="26F5CBA3" w14:textId="77777777" w:rsidR="003208BA" w:rsidRDefault="003208BA">
      <w:pPr>
        <w:numPr>
          <w:ilvl w:val="0"/>
          <w:numId w:val="17"/>
        </w:numPr>
        <w:spacing w:line="276" w:lineRule="auto"/>
        <w:ind w:left="284" w:hanging="142"/>
      </w:pPr>
      <w:r>
        <w:t>Enquête autour d’un cas d’un adulte de plus de 15 ans (on peut donc utiliser soit un test IGRA soit l’IDR dans cette situation).</w:t>
      </w:r>
    </w:p>
    <w:p w14:paraId="3E920528" w14:textId="7C6EBF27" w:rsidR="003208BA" w:rsidRDefault="003208BA">
      <w:pPr>
        <w:numPr>
          <w:ilvl w:val="0"/>
          <w:numId w:val="17"/>
        </w:numPr>
        <w:spacing w:line="276" w:lineRule="auto"/>
        <w:ind w:left="284" w:hanging="142"/>
      </w:pPr>
      <w:r>
        <w:t>Enfants migrants de moins de 15 ans provenant d’une zone de forte endémie tuberculeuse.</w:t>
      </w:r>
    </w:p>
    <w:p w14:paraId="02DC9A50" w14:textId="3FA8384C" w:rsidR="003208BA" w:rsidRDefault="009831F3">
      <w:pPr>
        <w:numPr>
          <w:ilvl w:val="0"/>
          <w:numId w:val="17"/>
        </w:numPr>
        <w:spacing w:line="276" w:lineRule="auto"/>
        <w:ind w:left="284" w:hanging="142"/>
        <w:rPr>
          <w:color w:val="0070C0"/>
        </w:rPr>
      </w:pPr>
      <w:r>
        <w:rPr>
          <w:noProof/>
        </w:rPr>
        <w:drawing>
          <wp:anchor distT="0" distB="0" distL="114300" distR="114300" simplePos="0" relativeHeight="251794432" behindDoc="0" locked="0" layoutInCell="1" hidden="0" allowOverlap="1" wp14:anchorId="2D634EB9" wp14:editId="7E19B663">
            <wp:simplePos x="0" y="0"/>
            <wp:positionH relativeFrom="column">
              <wp:posOffset>-181914</wp:posOffset>
            </wp:positionH>
            <wp:positionV relativeFrom="paragraph">
              <wp:posOffset>10795</wp:posOffset>
            </wp:positionV>
            <wp:extent cx="153670" cy="137160"/>
            <wp:effectExtent l="0" t="0" r="0" b="0"/>
            <wp:wrapSquare wrapText="bothSides" distT="0" distB="0" distL="114300" distR="114300"/>
            <wp:docPr id="2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3208BA">
        <w:rPr>
          <w:color w:val="0070C0"/>
        </w:rPr>
        <w:t>Pour les professionnels de santé à l’embauche et pour ceux travaillant dans un service à risque.</w:t>
      </w:r>
    </w:p>
    <w:p w14:paraId="6418AD2D" w14:textId="77777777" w:rsidR="003208BA" w:rsidRDefault="003208BA">
      <w:pPr>
        <w:numPr>
          <w:ilvl w:val="0"/>
          <w:numId w:val="17"/>
        </w:numPr>
        <w:spacing w:line="276" w:lineRule="auto"/>
        <w:ind w:left="284" w:hanging="142"/>
      </w:pPr>
      <w:r>
        <w:t>Avant la mise en route d’un traitement par anti TNFα.</w:t>
      </w:r>
    </w:p>
    <w:p w14:paraId="21B88772" w14:textId="713C07B9" w:rsidR="003208BA" w:rsidRDefault="009831F3">
      <w:pPr>
        <w:numPr>
          <w:ilvl w:val="0"/>
          <w:numId w:val="17"/>
        </w:numPr>
        <w:spacing w:line="276" w:lineRule="auto"/>
        <w:ind w:left="284" w:hanging="142"/>
      </w:pPr>
      <w:r>
        <w:rPr>
          <w:noProof/>
        </w:rPr>
        <w:drawing>
          <wp:anchor distT="0" distB="0" distL="114300" distR="114300" simplePos="0" relativeHeight="251795456" behindDoc="0" locked="0" layoutInCell="1" hidden="0" allowOverlap="1" wp14:anchorId="219A00A6" wp14:editId="7226B5E1">
            <wp:simplePos x="0" y="0"/>
            <wp:positionH relativeFrom="column">
              <wp:posOffset>-172720</wp:posOffset>
            </wp:positionH>
            <wp:positionV relativeFrom="paragraph">
              <wp:posOffset>175260</wp:posOffset>
            </wp:positionV>
            <wp:extent cx="153670" cy="137160"/>
            <wp:effectExtent l="0" t="0" r="0" b="0"/>
            <wp:wrapSquare wrapText="bothSides" distT="0" distB="0" distL="114300" distR="11430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3208BA">
        <w:t>Dans le cadre du bilan initial chez un patient infecté par le VIH.</w:t>
      </w:r>
    </w:p>
    <w:p w14:paraId="3F30E0B4" w14:textId="64461FBA" w:rsidR="003208BA" w:rsidRDefault="003208BA">
      <w:pPr>
        <w:numPr>
          <w:ilvl w:val="0"/>
          <w:numId w:val="17"/>
        </w:numPr>
        <w:spacing w:line="276" w:lineRule="auto"/>
        <w:ind w:left="284" w:hanging="142"/>
        <w:rPr>
          <w:color w:val="0070C0"/>
        </w:rPr>
      </w:pPr>
      <w:r>
        <w:rPr>
          <w:color w:val="0070C0"/>
        </w:rPr>
        <w:t>Pour aider au diagnostic des formes extra-pulmonaires (même si données très contradictoires dans la littérature).</w:t>
      </w:r>
    </w:p>
    <w:p w14:paraId="51292D62" w14:textId="77777777" w:rsidR="003208BA" w:rsidRDefault="003208BA" w:rsidP="00742634">
      <w:pPr>
        <w:spacing w:line="276" w:lineRule="auto"/>
      </w:pPr>
      <w:r>
        <w:t xml:space="preserve">- Le résultat des tests IGRA est disponible dans les jours qui suivent le prélèvement. Le test peut être rendu ininterprétable, positif ou négatif. En pratique, ces tests </w:t>
      </w:r>
      <w:r>
        <w:rPr>
          <w:b/>
          <w:bCs/>
          <w:u w:val="single"/>
        </w:rPr>
        <w:t>ne sont pas utilisés pour diagnostiquer une tuberculose active</w:t>
      </w:r>
      <w:r w:rsidRPr="009831F3">
        <w:t>,</w:t>
      </w:r>
      <w:r>
        <w:t xml:space="preserve"> mais uniquement pour diagnostiquer une ITL, tout comme l’IDR.</w:t>
      </w:r>
    </w:p>
    <w:p w14:paraId="33BEFA32" w14:textId="77777777" w:rsidR="003208BA" w:rsidRDefault="003208BA" w:rsidP="00742634">
      <w:pPr>
        <w:spacing w:line="276" w:lineRule="auto"/>
        <w:ind w:left="720"/>
        <w:rPr>
          <w:color w:val="FFFFFF"/>
        </w:rPr>
      </w:pPr>
    </w:p>
    <w:p w14:paraId="409111BA" w14:textId="77777777" w:rsidR="003208BA" w:rsidRDefault="003208BA" w:rsidP="009831F3">
      <w:pPr>
        <w:pStyle w:val="titredesous-partie"/>
      </w:pPr>
      <w:r>
        <w:t>TRAITEMENTS ET PRISE EN CHARGE des ITL</w:t>
      </w:r>
    </w:p>
    <w:p w14:paraId="1861E3F0" w14:textId="77777777" w:rsidR="003208BA" w:rsidRDefault="003208BA" w:rsidP="00742634">
      <w:pPr>
        <w:spacing w:line="276" w:lineRule="auto"/>
      </w:pPr>
      <w:r>
        <w:t>Objectif : limiter le risque de passage d’une ITL à une tuberculose maladie.</w:t>
      </w:r>
    </w:p>
    <w:p w14:paraId="7E724015" w14:textId="77777777" w:rsidR="003208BA" w:rsidRDefault="003208BA" w:rsidP="00742634">
      <w:pPr>
        <w:spacing w:line="276" w:lineRule="auto"/>
      </w:pPr>
      <w:r>
        <w:t>Chimioprophylaxie primaire :</w:t>
      </w:r>
    </w:p>
    <w:p w14:paraId="001153ED" w14:textId="77777777" w:rsidR="003208BA" w:rsidRDefault="003208BA" w:rsidP="00742634">
      <w:pPr>
        <w:spacing w:line="276" w:lineRule="auto"/>
      </w:pPr>
      <w:r>
        <w:t>- Enfant de moins de 2 ans ou tout sujet ayant une immunodépression sévère (enfant ou adulte) ayant été exposé à un sujet porteur d’une tuberculose pulmonaire, avant même le résultat des tests tuberculiniques.</w:t>
      </w:r>
    </w:p>
    <w:p w14:paraId="33CD6CF6" w14:textId="77777777" w:rsidR="003208BA" w:rsidRDefault="003208BA" w:rsidP="00742634">
      <w:pPr>
        <w:spacing w:line="276" w:lineRule="auto"/>
      </w:pPr>
      <w:r>
        <w:lastRenderedPageBreak/>
        <w:t>- En pratique, compte tenu du risque on n’attend pas la documentation de l’ITL pour mettre en route le traitement.</w:t>
      </w:r>
    </w:p>
    <w:p w14:paraId="6AD9E63E" w14:textId="77777777" w:rsidR="003208BA" w:rsidRDefault="003208BA" w:rsidP="00742634">
      <w:pPr>
        <w:spacing w:line="276" w:lineRule="auto"/>
      </w:pPr>
    </w:p>
    <w:p w14:paraId="4462CDF0" w14:textId="77777777" w:rsidR="003208BA" w:rsidRDefault="003208BA" w:rsidP="00742634">
      <w:pPr>
        <w:spacing w:line="276" w:lineRule="auto"/>
      </w:pPr>
      <w:r>
        <w:t>Chimioprophylaxie secondaire (chez les patients les plus à risque de passer d’une ITL à une TM) :</w:t>
      </w:r>
    </w:p>
    <w:p w14:paraId="1D833BF1" w14:textId="77777777" w:rsidR="003208BA" w:rsidRDefault="003208BA" w:rsidP="00742634">
      <w:pPr>
        <w:spacing w:line="276" w:lineRule="auto"/>
      </w:pPr>
      <w:r>
        <w:t>- ITL chez les sujets de moins de 18 ans.</w:t>
      </w:r>
    </w:p>
    <w:p w14:paraId="4E9F5887" w14:textId="2B6D9465" w:rsidR="003208BA" w:rsidRDefault="009831F3" w:rsidP="00742634">
      <w:pPr>
        <w:spacing w:line="276" w:lineRule="auto"/>
      </w:pPr>
      <w:r w:rsidRPr="009831F3">
        <w:t>- ITL chez les sujets ≥ 18 ans :</w:t>
      </w:r>
    </w:p>
    <w:p w14:paraId="521413ED" w14:textId="77777777" w:rsidR="003208BA" w:rsidRDefault="003208BA">
      <w:pPr>
        <w:numPr>
          <w:ilvl w:val="0"/>
          <w:numId w:val="18"/>
        </w:numPr>
        <w:spacing w:line="276" w:lineRule="auto"/>
        <w:ind w:left="284" w:hanging="142"/>
      </w:pPr>
      <w:r>
        <w:t>En cas de facteur de risque d’évolution rapide vers la TM :</w:t>
      </w:r>
    </w:p>
    <w:p w14:paraId="674D3F9D" w14:textId="77777777" w:rsidR="003208BA" w:rsidRDefault="003208BA">
      <w:pPr>
        <w:numPr>
          <w:ilvl w:val="0"/>
          <w:numId w:val="19"/>
        </w:numPr>
        <w:spacing w:line="276" w:lineRule="auto"/>
        <w:ind w:left="567" w:hanging="283"/>
      </w:pPr>
      <w:r>
        <w:t>Immunodépression (ex. corticothérapie, chimiothérapie, hémopathie maligne, infection à VIH, traitement par anti-TNF, etc.).</w:t>
      </w:r>
    </w:p>
    <w:p w14:paraId="198E660B" w14:textId="77777777" w:rsidR="003208BA" w:rsidRDefault="003208BA">
      <w:pPr>
        <w:numPr>
          <w:ilvl w:val="0"/>
          <w:numId w:val="18"/>
        </w:numPr>
        <w:spacing w:line="276" w:lineRule="auto"/>
        <w:ind w:left="284" w:hanging="142"/>
      </w:pPr>
      <w:r>
        <w:t>ITL récente (datant de moins de 1 an), en pratique il s’agit des ITL dépistées lors de l’enquête autour d’un cas ou lors de la surveillance des personnels exposés.</w:t>
      </w:r>
    </w:p>
    <w:p w14:paraId="06ED7F14" w14:textId="77777777" w:rsidR="003208BA" w:rsidRDefault="003208BA" w:rsidP="00742634">
      <w:pPr>
        <w:spacing w:line="276" w:lineRule="auto"/>
      </w:pPr>
      <w:r>
        <w:t>- Tuberculose séquellaire : patient porteur de séquelle radiologique sans signes cliniques de tuberculose maladie évolutive et n’ayant jamais reçu de polychimiothérapie antituberculeuse et pouvant devenir immunodéprimé.</w:t>
      </w:r>
    </w:p>
    <w:p w14:paraId="6030D5E4" w14:textId="77777777" w:rsidR="003208BA" w:rsidRDefault="003208BA" w:rsidP="00742634">
      <w:pPr>
        <w:spacing w:line="276" w:lineRule="auto"/>
      </w:pPr>
    </w:p>
    <w:p w14:paraId="4C8A6B70" w14:textId="77777777" w:rsidR="003208BA" w:rsidRDefault="003208BA" w:rsidP="00742634">
      <w:pPr>
        <w:spacing w:line="276" w:lineRule="auto"/>
      </w:pPr>
      <w:r>
        <w:t>Modalités de la chimioprophylaxie secondaire :</w:t>
      </w:r>
    </w:p>
    <w:p w14:paraId="754878D5" w14:textId="4A44FC2F" w:rsidR="003208BA" w:rsidRDefault="003208BA" w:rsidP="00742634">
      <w:pPr>
        <w:spacing w:line="276" w:lineRule="auto"/>
      </w:pPr>
      <w:r>
        <w:t xml:space="preserve">- INH en monothérapie pendant 6 </w:t>
      </w:r>
      <w:r w:rsidR="00FE7D19">
        <w:t xml:space="preserve">mois </w:t>
      </w:r>
      <w:r>
        <w:t>(5 mg/kg/j).</w:t>
      </w:r>
    </w:p>
    <w:p w14:paraId="785078B7" w14:textId="53237599" w:rsidR="003208BA" w:rsidRDefault="003208BA" w:rsidP="00742634">
      <w:pPr>
        <w:spacing w:line="276" w:lineRule="auto"/>
      </w:pPr>
      <w:r>
        <w:t>- INH 4 à 5 mg/kg/j + RMP 10 mg/kg/j pendan</w:t>
      </w:r>
      <w:sdt>
        <w:sdtPr>
          <w:tag w:val="goog_rdk_17"/>
          <w:id w:val="-1645341658"/>
        </w:sdtPr>
        <w:sdtContent/>
      </w:sdt>
      <w:r>
        <w:t>t 3</w:t>
      </w:r>
      <w:r w:rsidR="00FE7D19">
        <w:t xml:space="preserve"> mois</w:t>
      </w:r>
    </w:p>
    <w:p w14:paraId="4233EFB4" w14:textId="77777777" w:rsidR="003208BA" w:rsidRDefault="003208BA" w:rsidP="00742634">
      <w:pPr>
        <w:spacing w:line="276" w:lineRule="auto"/>
      </w:pPr>
      <w:r>
        <w:t>- Mêmes précautions et surveillance que lors du traitement d’une TM.</w:t>
      </w:r>
    </w:p>
    <w:p w14:paraId="5D7FA388" w14:textId="77777777" w:rsidR="003208BA" w:rsidRDefault="003208BA" w:rsidP="00742634">
      <w:pPr>
        <w:spacing w:line="276" w:lineRule="auto"/>
      </w:pPr>
      <w:r>
        <w:t>- Ne pas oublier la déclaration obligatoire de toute ITL d’un enfant de moins de 15 ans.</w:t>
      </w:r>
    </w:p>
    <w:p w14:paraId="04B17BC4" w14:textId="77777777" w:rsidR="003208BA" w:rsidRDefault="003208BA" w:rsidP="00742634">
      <w:pPr>
        <w:spacing w:line="276" w:lineRule="auto"/>
        <w:rPr>
          <w:b/>
          <w:bCs/>
          <w:smallCaps/>
        </w:rPr>
      </w:pPr>
      <w:r>
        <w:rPr>
          <w:noProof/>
        </w:rPr>
        <w:drawing>
          <wp:anchor distT="0" distB="0" distL="114300" distR="114300" simplePos="0" relativeHeight="251796480" behindDoc="0" locked="0" layoutInCell="1" hidden="0" allowOverlap="1" wp14:anchorId="22EE6A67" wp14:editId="2F74BDFF">
            <wp:simplePos x="0" y="0"/>
            <wp:positionH relativeFrom="column">
              <wp:posOffset>-250824</wp:posOffset>
            </wp:positionH>
            <wp:positionV relativeFrom="paragraph">
              <wp:posOffset>187960</wp:posOffset>
            </wp:positionV>
            <wp:extent cx="153670" cy="137160"/>
            <wp:effectExtent l="0" t="0" r="0" b="0"/>
            <wp:wrapSquare wrapText="bothSides" distT="0" distB="0" distL="114300" distR="11430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27E5BC23" w14:textId="77777777" w:rsidR="003208BA" w:rsidRDefault="003208BA" w:rsidP="009831F3">
      <w:pPr>
        <w:pStyle w:val="titredepartie"/>
      </w:pPr>
      <w:r>
        <w:t>PARTIE 3 : cas Particuliers</w:t>
      </w:r>
    </w:p>
    <w:p w14:paraId="336F4B74" w14:textId="67FF8E25" w:rsidR="003208BA" w:rsidRDefault="009831F3" w:rsidP="009831F3">
      <w:pPr>
        <w:pStyle w:val="titredesous-partie"/>
      </w:pPr>
      <w:r>
        <w:t xml:space="preserve">1. </w:t>
      </w:r>
      <w:r w:rsidR="003208BA">
        <w:t>Grossesse</w:t>
      </w:r>
    </w:p>
    <w:p w14:paraId="4FAE7895" w14:textId="77777777" w:rsidR="003208BA" w:rsidRDefault="003208BA" w:rsidP="00742634">
      <w:pPr>
        <w:spacing w:line="276" w:lineRule="auto"/>
        <w:rPr>
          <w:color w:val="0070C0"/>
        </w:rPr>
      </w:pPr>
      <w:r>
        <w:rPr>
          <w:color w:val="0070C0"/>
        </w:rPr>
        <w:t xml:space="preserve">- INH : pas de tératogénicité documentée chez l’homme. Supplémenter la mère en vitamine B6. </w:t>
      </w:r>
    </w:p>
    <w:p w14:paraId="7354C4FE" w14:textId="77777777" w:rsidR="003208BA" w:rsidRDefault="003208BA" w:rsidP="00742634">
      <w:pPr>
        <w:spacing w:line="276" w:lineRule="auto"/>
        <w:rPr>
          <w:color w:val="0070C0"/>
        </w:rPr>
      </w:pPr>
      <w:r>
        <w:rPr>
          <w:color w:val="0070C0"/>
        </w:rPr>
        <w:t xml:space="preserve">- RMP : pas de tératogénicité documentée chez l’homme. Risque d’hémorragie maternelle et néonatale précoce en cas de prescription au dernier trimestre, justifiant la prescription de vitamine K1.  </w:t>
      </w:r>
    </w:p>
    <w:p w14:paraId="16162E73" w14:textId="77777777" w:rsidR="003208BA" w:rsidRDefault="003208BA" w:rsidP="00742634">
      <w:pPr>
        <w:spacing w:line="276" w:lineRule="auto"/>
        <w:rPr>
          <w:color w:val="0070C0"/>
        </w:rPr>
      </w:pPr>
      <w:r>
        <w:rPr>
          <w:color w:val="0070C0"/>
        </w:rPr>
        <w:t>- EMB : pas de tératogénicité documentée chez l’homme.</w:t>
      </w:r>
    </w:p>
    <w:p w14:paraId="6C00B416" w14:textId="77777777" w:rsidR="003208BA" w:rsidRDefault="003208BA" w:rsidP="00742634">
      <w:pPr>
        <w:spacing w:line="276" w:lineRule="auto"/>
        <w:rPr>
          <w:color w:val="0070C0"/>
        </w:rPr>
      </w:pPr>
      <w:r>
        <w:rPr>
          <w:color w:val="0070C0"/>
        </w:rPr>
        <w:t>- PZA : pas d’étude de tératogénicité connue. Les données publiées chez les femmes enceintes exposées au PZA en cours de grossesse sont peu nombreuses, mais le recul d’utilisation est important et aucun effet malformatif, fœtal ou néonatal attribuable au traitement n’a été rapporté à ce jour. Donc désormais utilisable en France, comme partout ailleurs dans le monde. La décision d’allaiter sous PZA sera prise au cas par cas en tenant compte de la durée prévue du traitement, de l’association à d’autres antituberculeux et de l’état de l’enfant (prématurité…). En tout état de cause, la priorité reste de traiter la mère de façon efficace.</w:t>
      </w:r>
    </w:p>
    <w:p w14:paraId="7209A6AD" w14:textId="77777777" w:rsidR="003208BA" w:rsidRDefault="003208BA" w:rsidP="00742634">
      <w:pPr>
        <w:spacing w:line="276" w:lineRule="auto"/>
        <w:rPr>
          <w:color w:val="0070C0"/>
        </w:rPr>
      </w:pPr>
    </w:p>
    <w:p w14:paraId="774C3042" w14:textId="77777777" w:rsidR="003208BA" w:rsidRDefault="003208BA" w:rsidP="00742634">
      <w:pPr>
        <w:spacing w:line="276" w:lineRule="auto"/>
        <w:ind w:left="1077" w:hanging="1077"/>
        <w:rPr>
          <w:color w:val="0070C0"/>
        </w:rPr>
      </w:pPr>
      <w:r>
        <w:rPr>
          <w:color w:val="0070C0"/>
        </w:rPr>
        <w:t>En pratique :</w:t>
      </w:r>
    </w:p>
    <w:p w14:paraId="40E44618" w14:textId="77777777" w:rsidR="003208BA" w:rsidRDefault="003208BA" w:rsidP="00742634">
      <w:pPr>
        <w:spacing w:line="276" w:lineRule="auto"/>
        <w:rPr>
          <w:color w:val="0070C0"/>
        </w:rPr>
      </w:pPr>
      <w:r>
        <w:rPr>
          <w:color w:val="0070C0"/>
        </w:rPr>
        <w:t>- Posologie déterminée par le poids avant la grossesse.</w:t>
      </w:r>
    </w:p>
    <w:p w14:paraId="1061D2C6" w14:textId="77777777" w:rsidR="003208BA" w:rsidRDefault="003208BA" w:rsidP="00742634">
      <w:pPr>
        <w:spacing w:line="276" w:lineRule="auto"/>
        <w:rPr>
          <w:color w:val="0070C0"/>
        </w:rPr>
      </w:pPr>
      <w:r>
        <w:rPr>
          <w:color w:val="0070C0"/>
        </w:rPr>
        <w:t>- Même traitement que pour une patiente standard.</w:t>
      </w:r>
    </w:p>
    <w:p w14:paraId="13DFB76C" w14:textId="77777777" w:rsidR="003208BA" w:rsidRDefault="003208BA" w:rsidP="00742634">
      <w:pPr>
        <w:spacing w:line="276" w:lineRule="auto"/>
        <w:rPr>
          <w:color w:val="0070C0"/>
        </w:rPr>
      </w:pPr>
    </w:p>
    <w:p w14:paraId="088C5446" w14:textId="27738CF5" w:rsidR="003208BA" w:rsidRDefault="003208BA">
      <w:pPr>
        <w:pStyle w:val="titredesous-partie"/>
        <w:numPr>
          <w:ilvl w:val="0"/>
          <w:numId w:val="40"/>
        </w:numPr>
        <w:ind w:hanging="298"/>
      </w:pPr>
      <w:r>
        <w:t>Insuffisance rénale</w:t>
      </w:r>
    </w:p>
    <w:p w14:paraId="0A89B116" w14:textId="77777777" w:rsidR="003208BA" w:rsidRDefault="003208BA" w:rsidP="00742634">
      <w:pPr>
        <w:spacing w:line="276" w:lineRule="auto"/>
        <w:ind w:left="1077" w:hanging="1077"/>
        <w:rPr>
          <w:color w:val="0070C0"/>
        </w:rPr>
      </w:pPr>
      <w:r>
        <w:rPr>
          <w:color w:val="0070C0"/>
        </w:rPr>
        <w:t>L’INH sera donnée à des doses tenant compte des résultats du test d’acétylation.</w:t>
      </w:r>
    </w:p>
    <w:p w14:paraId="5F5B608C" w14:textId="77777777" w:rsidR="003208BA" w:rsidRDefault="003208BA" w:rsidP="00742634">
      <w:pPr>
        <w:spacing w:line="276" w:lineRule="auto"/>
        <w:ind w:left="1077" w:hanging="1077"/>
        <w:rPr>
          <w:color w:val="0070C0"/>
        </w:rPr>
      </w:pPr>
    </w:p>
    <w:p w14:paraId="4F93C69B" w14:textId="77777777" w:rsidR="003208BA" w:rsidRDefault="003208BA" w:rsidP="00742634">
      <w:pPr>
        <w:spacing w:line="276" w:lineRule="auto"/>
        <w:ind w:left="1077" w:hanging="1077"/>
        <w:rPr>
          <w:b/>
          <w:bCs/>
          <w:color w:val="0070C0"/>
        </w:rPr>
      </w:pPr>
      <w:r>
        <w:rPr>
          <w:color w:val="0070C0"/>
        </w:rPr>
        <w:lastRenderedPageBreak/>
        <w:t>En fonction de la clairance de la créatinine :</w:t>
      </w:r>
    </w:p>
    <w:p w14:paraId="733709CA" w14:textId="77777777" w:rsidR="003208BA" w:rsidRDefault="003208BA" w:rsidP="009831F3">
      <w:pPr>
        <w:spacing w:line="276" w:lineRule="auto"/>
        <w:rPr>
          <w:color w:val="0070C0"/>
        </w:rPr>
      </w:pPr>
      <w:r>
        <w:rPr>
          <w:color w:val="0070C0"/>
        </w:rPr>
        <w:t>- &gt; 30 </w:t>
      </w:r>
      <w:proofErr w:type="spellStart"/>
      <w:r>
        <w:rPr>
          <w:color w:val="0070C0"/>
        </w:rPr>
        <w:t>mL</w:t>
      </w:r>
      <w:proofErr w:type="spellEnd"/>
      <w:r>
        <w:rPr>
          <w:color w:val="0070C0"/>
        </w:rPr>
        <w:t>/min : traitement standard.</w:t>
      </w:r>
    </w:p>
    <w:p w14:paraId="4CD5CD4A" w14:textId="47544E92" w:rsidR="009831F3" w:rsidRPr="009831F3" w:rsidRDefault="003208BA" w:rsidP="009831F3">
      <w:pPr>
        <w:spacing w:line="276" w:lineRule="auto"/>
        <w:rPr>
          <w:color w:val="0070C0"/>
        </w:rPr>
      </w:pPr>
      <w:r>
        <w:rPr>
          <w:color w:val="0070C0"/>
        </w:rPr>
        <w:t>- Entre 15 et 30 </w:t>
      </w:r>
      <w:proofErr w:type="spellStart"/>
      <w:r>
        <w:rPr>
          <w:color w:val="0070C0"/>
        </w:rPr>
        <w:t>mL</w:t>
      </w:r>
      <w:proofErr w:type="spellEnd"/>
      <w:r>
        <w:rPr>
          <w:color w:val="0070C0"/>
        </w:rPr>
        <w:t xml:space="preserve">/min : </w:t>
      </w:r>
      <w:r w:rsidR="009831F3">
        <w:rPr>
          <w:rFonts w:ascii="Calibri" w:hAnsi="Calibri" w:cs="Calibri"/>
          <w:color w:val="0070C0"/>
        </w:rPr>
        <w:t>↘</w:t>
      </w:r>
      <w:r w:rsidR="009831F3" w:rsidRPr="009831F3">
        <w:rPr>
          <w:color w:val="0070C0"/>
        </w:rPr>
        <w:t xml:space="preserve"> EMB (20 mg/kg toutes les 48 heures), </w:t>
      </w:r>
      <w:r w:rsidR="009831F3">
        <w:rPr>
          <w:rFonts w:ascii="Calibri" w:hAnsi="Calibri" w:cs="Calibri"/>
          <w:color w:val="0070C0"/>
        </w:rPr>
        <w:t>↘</w:t>
      </w:r>
      <w:r w:rsidR="009831F3" w:rsidRPr="009831F3">
        <w:rPr>
          <w:color w:val="0070C0"/>
        </w:rPr>
        <w:t xml:space="preserve"> PZA (25 mg/kg toutes les 48 heures).</w:t>
      </w:r>
    </w:p>
    <w:p w14:paraId="31037B8F" w14:textId="6CFBFF6A" w:rsidR="003208BA" w:rsidRDefault="009831F3" w:rsidP="009831F3">
      <w:pPr>
        <w:spacing w:line="276" w:lineRule="auto"/>
        <w:rPr>
          <w:color w:val="0070C0"/>
        </w:rPr>
      </w:pPr>
      <w:r w:rsidRPr="009831F3">
        <w:rPr>
          <w:color w:val="0070C0"/>
        </w:rPr>
        <w:t xml:space="preserve">- &lt; 15 </w:t>
      </w:r>
      <w:proofErr w:type="spellStart"/>
      <w:r w:rsidRPr="009831F3">
        <w:rPr>
          <w:color w:val="0070C0"/>
        </w:rPr>
        <w:t>mL</w:t>
      </w:r>
      <w:proofErr w:type="spellEnd"/>
      <w:r w:rsidRPr="009831F3">
        <w:rPr>
          <w:color w:val="0070C0"/>
        </w:rPr>
        <w:t xml:space="preserve">/mn ou hémodialyse : </w:t>
      </w:r>
      <w:r>
        <w:rPr>
          <w:rFonts w:ascii="Calibri" w:hAnsi="Calibri" w:cs="Calibri"/>
          <w:color w:val="0070C0"/>
        </w:rPr>
        <w:t>↘</w:t>
      </w:r>
      <w:r w:rsidRPr="009831F3">
        <w:rPr>
          <w:color w:val="0070C0"/>
        </w:rPr>
        <w:t xml:space="preserve"> INH (3-5 mg/kg/j, dialysable), </w:t>
      </w:r>
      <w:r>
        <w:rPr>
          <w:rFonts w:ascii="Calibri" w:hAnsi="Calibri" w:cs="Calibri"/>
          <w:color w:val="0070C0"/>
        </w:rPr>
        <w:t>↘</w:t>
      </w:r>
      <w:r w:rsidRPr="009831F3">
        <w:rPr>
          <w:color w:val="0070C0"/>
        </w:rPr>
        <w:t xml:space="preserve"> EMB (20 mg/kg toutes les 48 heures, dialysable), </w:t>
      </w:r>
      <w:r>
        <w:rPr>
          <w:rFonts w:ascii="Calibri" w:hAnsi="Calibri" w:cs="Calibri"/>
          <w:color w:val="0070C0"/>
        </w:rPr>
        <w:t>↘</w:t>
      </w:r>
      <w:r w:rsidRPr="009831F3">
        <w:rPr>
          <w:color w:val="0070C0"/>
        </w:rPr>
        <w:t xml:space="preserve"> PZA (25 mg/kg toutes les 48 heures, dialysable). La rifampicine est administrée à la même dose de 10 mg/kg/j et n’est pas dialysable.</w:t>
      </w:r>
    </w:p>
    <w:p w14:paraId="6DA7EB06" w14:textId="77777777" w:rsidR="003208BA" w:rsidRDefault="003208BA" w:rsidP="00742634">
      <w:pPr>
        <w:spacing w:line="276" w:lineRule="auto"/>
        <w:ind w:left="1077" w:hanging="1077"/>
        <w:rPr>
          <w:b/>
          <w:bCs/>
          <w:color w:val="0070C0"/>
        </w:rPr>
      </w:pPr>
    </w:p>
    <w:p w14:paraId="5DF0295B" w14:textId="767E417E" w:rsidR="003208BA" w:rsidRDefault="003208BA">
      <w:pPr>
        <w:pStyle w:val="titredesous-partie"/>
        <w:numPr>
          <w:ilvl w:val="0"/>
          <w:numId w:val="40"/>
        </w:numPr>
        <w:ind w:hanging="298"/>
      </w:pPr>
      <w:r>
        <w:t>Insuffisance hépatique</w:t>
      </w:r>
    </w:p>
    <w:p w14:paraId="616F82B7" w14:textId="77777777" w:rsidR="003208BA" w:rsidRDefault="003208BA" w:rsidP="00742634">
      <w:pPr>
        <w:spacing w:line="276" w:lineRule="auto"/>
        <w:rPr>
          <w:color w:val="0070C0"/>
        </w:rPr>
      </w:pPr>
      <w:r>
        <w:rPr>
          <w:color w:val="0070C0"/>
        </w:rPr>
        <w:t>Le traitement standard peut être débuté jusqu’à un taux de transaminases inférieur à 3 fois la limite supérieure de la normale, puis si transaminases :</w:t>
      </w:r>
    </w:p>
    <w:p w14:paraId="0DF68D96" w14:textId="77777777" w:rsidR="003208BA" w:rsidRDefault="003208BA" w:rsidP="00742634">
      <w:pPr>
        <w:spacing w:line="276" w:lineRule="auto"/>
        <w:rPr>
          <w:color w:val="0070C0"/>
        </w:rPr>
      </w:pPr>
      <w:r>
        <w:rPr>
          <w:color w:val="0070C0"/>
        </w:rPr>
        <w:t xml:space="preserve">- Entre 3 et 6 fois la limite supérieure de la normale, sans atteinte clinique : arrêt du </w:t>
      </w:r>
      <w:hyperlink r:id="rId29">
        <w:proofErr w:type="spellStart"/>
        <w:r>
          <w:rPr>
            <w:color w:val="0070C0"/>
          </w:rPr>
          <w:t>pyrazinamide</w:t>
        </w:r>
        <w:proofErr w:type="spellEnd"/>
      </w:hyperlink>
      <w:r>
        <w:rPr>
          <w:color w:val="0070C0"/>
        </w:rPr>
        <w:t xml:space="preserve">. Après le retour des chiffres à la normale, le traitement peut être repris. </w:t>
      </w:r>
    </w:p>
    <w:p w14:paraId="46A26492" w14:textId="77777777" w:rsidR="003208BA" w:rsidRDefault="003208BA" w:rsidP="00742634">
      <w:pPr>
        <w:spacing w:line="276" w:lineRule="auto"/>
        <w:rPr>
          <w:color w:val="0070C0"/>
        </w:rPr>
      </w:pPr>
      <w:r>
        <w:rPr>
          <w:color w:val="0070C0"/>
        </w:rPr>
        <w:t xml:space="preserve">- &gt; 3 fois la limite supérieure de la normale avec signes cliniques ou si &gt; 6 fois sans atteinte clinique : arrêt de l’isoniazide et du </w:t>
      </w:r>
      <w:proofErr w:type="spellStart"/>
      <w:r>
        <w:rPr>
          <w:color w:val="0070C0"/>
        </w:rPr>
        <w:t>pyrazinamide</w:t>
      </w:r>
      <w:proofErr w:type="spellEnd"/>
      <w:r>
        <w:rPr>
          <w:color w:val="0070C0"/>
        </w:rPr>
        <w:t xml:space="preserve">, voire du traitement antituberculeux. </w:t>
      </w:r>
    </w:p>
    <w:p w14:paraId="5EF90DE7" w14:textId="77777777" w:rsidR="003208BA" w:rsidRDefault="003208BA" w:rsidP="00742634">
      <w:pPr>
        <w:spacing w:line="276" w:lineRule="auto"/>
        <w:ind w:left="1077" w:hanging="1077"/>
        <w:rPr>
          <w:b/>
          <w:bCs/>
          <w:color w:val="0070C0"/>
        </w:rPr>
      </w:pPr>
    </w:p>
    <w:p w14:paraId="13974118" w14:textId="44B949F8" w:rsidR="003208BA" w:rsidRDefault="003208BA">
      <w:pPr>
        <w:pStyle w:val="titredesous-partie"/>
        <w:numPr>
          <w:ilvl w:val="0"/>
          <w:numId w:val="40"/>
        </w:numPr>
        <w:ind w:hanging="298"/>
      </w:pPr>
      <w:r>
        <w:t>Immunodéprimé</w:t>
      </w:r>
    </w:p>
    <w:p w14:paraId="2CA8F7F5" w14:textId="77777777" w:rsidR="003208BA" w:rsidRDefault="003208BA" w:rsidP="00742634">
      <w:pPr>
        <w:spacing w:line="276" w:lineRule="auto"/>
        <w:rPr>
          <w:color w:val="0070C0"/>
        </w:rPr>
      </w:pPr>
      <w:r>
        <w:rPr>
          <w:color w:val="0070C0"/>
        </w:rPr>
        <w:t xml:space="preserve">- La tuberculose est : </w:t>
      </w:r>
    </w:p>
    <w:p w14:paraId="693D3B5B" w14:textId="77777777" w:rsidR="003208BA" w:rsidRDefault="003208BA">
      <w:pPr>
        <w:numPr>
          <w:ilvl w:val="0"/>
          <w:numId w:val="20"/>
        </w:numPr>
        <w:pBdr>
          <w:top w:val="nil"/>
          <w:left w:val="nil"/>
          <w:bottom w:val="nil"/>
          <w:right w:val="nil"/>
          <w:between w:val="nil"/>
        </w:pBdr>
        <w:spacing w:line="276" w:lineRule="auto"/>
        <w:ind w:left="284" w:hanging="142"/>
        <w:rPr>
          <w:color w:val="0070C0"/>
        </w:rPr>
      </w:pPr>
      <w:r>
        <w:rPr>
          <w:color w:val="0070C0"/>
        </w:rPr>
        <w:t>Extra-pulmonaire dans plus de la moitié des cas.</w:t>
      </w:r>
    </w:p>
    <w:p w14:paraId="6D1B0B97" w14:textId="77777777" w:rsidR="003208BA" w:rsidRDefault="003208BA">
      <w:pPr>
        <w:numPr>
          <w:ilvl w:val="0"/>
          <w:numId w:val="20"/>
        </w:numPr>
        <w:pBdr>
          <w:top w:val="nil"/>
          <w:left w:val="nil"/>
          <w:bottom w:val="nil"/>
          <w:right w:val="nil"/>
          <w:between w:val="nil"/>
        </w:pBdr>
        <w:spacing w:line="276" w:lineRule="auto"/>
        <w:ind w:left="284" w:hanging="142"/>
        <w:rPr>
          <w:color w:val="0070C0"/>
        </w:rPr>
      </w:pPr>
      <w:r>
        <w:rPr>
          <w:color w:val="0070C0"/>
        </w:rPr>
        <w:t>Disséminée dans près d’un quart des cas.</w:t>
      </w:r>
    </w:p>
    <w:p w14:paraId="41989186" w14:textId="77777777" w:rsidR="003208BA" w:rsidRDefault="003208BA">
      <w:pPr>
        <w:numPr>
          <w:ilvl w:val="0"/>
          <w:numId w:val="20"/>
        </w:numPr>
        <w:pBdr>
          <w:top w:val="nil"/>
          <w:left w:val="nil"/>
          <w:bottom w:val="nil"/>
          <w:right w:val="nil"/>
          <w:between w:val="nil"/>
        </w:pBdr>
        <w:spacing w:line="276" w:lineRule="auto"/>
        <w:ind w:left="284" w:hanging="142"/>
        <w:rPr>
          <w:color w:val="0070C0"/>
        </w:rPr>
      </w:pPr>
      <w:r>
        <w:rPr>
          <w:color w:val="0070C0"/>
        </w:rPr>
        <w:t>Diagnostiquée tardivement.</w:t>
      </w:r>
    </w:p>
    <w:p w14:paraId="15138A4A" w14:textId="77777777" w:rsidR="003208BA" w:rsidRDefault="003208BA">
      <w:pPr>
        <w:numPr>
          <w:ilvl w:val="0"/>
          <w:numId w:val="20"/>
        </w:numPr>
        <w:pBdr>
          <w:top w:val="nil"/>
          <w:left w:val="nil"/>
          <w:bottom w:val="nil"/>
          <w:right w:val="nil"/>
          <w:between w:val="nil"/>
        </w:pBdr>
        <w:spacing w:line="276" w:lineRule="auto"/>
        <w:ind w:left="284" w:hanging="142"/>
        <w:rPr>
          <w:color w:val="0070C0"/>
        </w:rPr>
      </w:pPr>
      <w:r>
        <w:rPr>
          <w:color w:val="0070C0"/>
        </w:rPr>
        <w:t>Parfois associée à d’autres infections.</w:t>
      </w:r>
    </w:p>
    <w:p w14:paraId="29ACECBC" w14:textId="77777777" w:rsidR="003208BA" w:rsidRDefault="003208BA" w:rsidP="00742634">
      <w:pPr>
        <w:spacing w:line="276" w:lineRule="auto"/>
        <w:rPr>
          <w:color w:val="0070C0"/>
        </w:rPr>
      </w:pPr>
      <w:r>
        <w:rPr>
          <w:color w:val="0070C0"/>
        </w:rPr>
        <w:t>- Plus l’immunodépression est intense, moins les symptômes sont prononcés : penser à la tuberculose devant une fièvre prolongée.</w:t>
      </w:r>
    </w:p>
    <w:p w14:paraId="6A02B672" w14:textId="77777777" w:rsidR="003208BA" w:rsidRDefault="003208BA" w:rsidP="00742634">
      <w:pPr>
        <w:spacing w:line="276" w:lineRule="auto"/>
        <w:rPr>
          <w:color w:val="0070C0"/>
        </w:rPr>
      </w:pPr>
    </w:p>
    <w:p w14:paraId="051E1E91" w14:textId="5E0F96F6" w:rsidR="003208BA" w:rsidRDefault="003208BA">
      <w:pPr>
        <w:pStyle w:val="titredesous-partie"/>
        <w:numPr>
          <w:ilvl w:val="0"/>
          <w:numId w:val="40"/>
        </w:numPr>
        <w:ind w:hanging="298"/>
      </w:pPr>
      <w:r>
        <w:t>VIH</w:t>
      </w:r>
    </w:p>
    <w:p w14:paraId="6F874A69" w14:textId="77777777" w:rsidR="003208BA" w:rsidRDefault="003208BA" w:rsidP="00742634">
      <w:pPr>
        <w:spacing w:line="276" w:lineRule="auto"/>
        <w:rPr>
          <w:color w:val="0070C0"/>
        </w:rPr>
      </w:pPr>
      <w:r>
        <w:rPr>
          <w:color w:val="0070C0"/>
        </w:rPr>
        <w:t>- Risque de développer une tuberculose : multiplié par 7 chez le patient VIH+.</w:t>
      </w:r>
    </w:p>
    <w:p w14:paraId="343E7EA7" w14:textId="77777777" w:rsidR="003208BA" w:rsidRDefault="003208BA" w:rsidP="00742634">
      <w:pPr>
        <w:spacing w:line="276" w:lineRule="auto"/>
        <w:rPr>
          <w:color w:val="0070C0"/>
        </w:rPr>
      </w:pPr>
      <w:r>
        <w:rPr>
          <w:color w:val="0070C0"/>
        </w:rPr>
        <w:t>- La tuberculose classe le patient VIH en stade SIDA.</w:t>
      </w:r>
    </w:p>
    <w:p w14:paraId="5C8DA4B5" w14:textId="77777777" w:rsidR="003208BA" w:rsidRDefault="003208BA" w:rsidP="00742634">
      <w:pPr>
        <w:spacing w:line="276" w:lineRule="auto"/>
        <w:rPr>
          <w:color w:val="0070C0"/>
        </w:rPr>
      </w:pPr>
      <w:r>
        <w:rPr>
          <w:color w:val="0070C0"/>
        </w:rPr>
        <w:t>- Selon le nombre de lymphocytes CD4+ :</w:t>
      </w:r>
    </w:p>
    <w:p w14:paraId="40F49E01" w14:textId="77777777" w:rsidR="003208BA" w:rsidRDefault="003208BA">
      <w:pPr>
        <w:numPr>
          <w:ilvl w:val="0"/>
          <w:numId w:val="21"/>
        </w:numPr>
        <w:spacing w:line="276" w:lineRule="auto"/>
        <w:ind w:left="284" w:hanging="142"/>
        <w:rPr>
          <w:color w:val="0070C0"/>
        </w:rPr>
      </w:pPr>
      <w:r>
        <w:rPr>
          <w:color w:val="0070C0"/>
        </w:rPr>
        <w:t>Plus de 350 CD4/mm</w:t>
      </w:r>
      <w:r>
        <w:rPr>
          <w:color w:val="0070C0"/>
          <w:vertAlign w:val="superscript"/>
        </w:rPr>
        <w:t>3</w:t>
      </w:r>
      <w:r>
        <w:rPr>
          <w:color w:val="0070C0"/>
        </w:rPr>
        <w:t> : symptômes classiques de tuberculose pulmonaire.</w:t>
      </w:r>
    </w:p>
    <w:p w14:paraId="035E5592" w14:textId="77777777" w:rsidR="003208BA" w:rsidRDefault="003208BA">
      <w:pPr>
        <w:numPr>
          <w:ilvl w:val="0"/>
          <w:numId w:val="21"/>
        </w:numPr>
        <w:spacing w:line="276" w:lineRule="auto"/>
        <w:ind w:left="284" w:hanging="142"/>
        <w:rPr>
          <w:color w:val="0070C0"/>
        </w:rPr>
      </w:pPr>
      <w:r>
        <w:rPr>
          <w:color w:val="0070C0"/>
        </w:rPr>
        <w:t>En dessous de 200 CD4/mm</w:t>
      </w:r>
      <w:r>
        <w:rPr>
          <w:color w:val="0070C0"/>
          <w:vertAlign w:val="superscript"/>
        </w:rPr>
        <w:t>3</w:t>
      </w:r>
      <w:r>
        <w:rPr>
          <w:color w:val="0070C0"/>
        </w:rPr>
        <w:t> :</w:t>
      </w:r>
    </w:p>
    <w:p w14:paraId="55058746" w14:textId="77777777" w:rsidR="003208BA" w:rsidRDefault="003208BA">
      <w:pPr>
        <w:numPr>
          <w:ilvl w:val="1"/>
          <w:numId w:val="22"/>
        </w:numPr>
        <w:spacing w:line="276" w:lineRule="auto"/>
        <w:ind w:left="567" w:hanging="283"/>
        <w:rPr>
          <w:color w:val="0070C0"/>
        </w:rPr>
      </w:pPr>
      <w:r>
        <w:rPr>
          <w:color w:val="0070C0"/>
        </w:rPr>
        <w:t>Haut risque de passage d’une ITL à une TM.</w:t>
      </w:r>
    </w:p>
    <w:p w14:paraId="50235BF9" w14:textId="77777777" w:rsidR="003208BA" w:rsidRDefault="003208BA">
      <w:pPr>
        <w:numPr>
          <w:ilvl w:val="1"/>
          <w:numId w:val="22"/>
        </w:numPr>
        <w:spacing w:line="276" w:lineRule="auto"/>
        <w:ind w:left="567" w:hanging="283"/>
        <w:rPr>
          <w:color w:val="0070C0"/>
        </w:rPr>
      </w:pPr>
      <w:r>
        <w:rPr>
          <w:color w:val="0070C0"/>
        </w:rPr>
        <w:t>Pas d’immunité cellulaire= pas de processus granulomateux.</w:t>
      </w:r>
    </w:p>
    <w:p w14:paraId="778C4D99" w14:textId="77777777" w:rsidR="003208BA" w:rsidRDefault="003208BA">
      <w:pPr>
        <w:numPr>
          <w:ilvl w:val="1"/>
          <w:numId w:val="22"/>
        </w:numPr>
        <w:spacing w:line="276" w:lineRule="auto"/>
        <w:ind w:left="567" w:hanging="283"/>
        <w:rPr>
          <w:color w:val="0070C0"/>
        </w:rPr>
      </w:pPr>
      <w:r>
        <w:rPr>
          <w:color w:val="0070C0"/>
        </w:rPr>
        <w:t xml:space="preserve">Clinique : souvent seule la fièvre est présente. </w:t>
      </w:r>
      <w:r>
        <w:rPr>
          <w:b/>
          <w:bCs/>
          <w:color w:val="0070C0"/>
        </w:rPr>
        <w:t>Y PENSER ++</w:t>
      </w:r>
      <w:r>
        <w:rPr>
          <w:color w:val="0070C0"/>
        </w:rPr>
        <w:t xml:space="preserve"> (figure 12).</w:t>
      </w:r>
    </w:p>
    <w:p w14:paraId="5C89E73C" w14:textId="77777777" w:rsidR="003208BA" w:rsidRDefault="003208BA">
      <w:pPr>
        <w:numPr>
          <w:ilvl w:val="1"/>
          <w:numId w:val="22"/>
        </w:numPr>
        <w:spacing w:line="276" w:lineRule="auto"/>
        <w:ind w:left="567" w:hanging="283"/>
        <w:rPr>
          <w:color w:val="0070C0"/>
        </w:rPr>
      </w:pPr>
      <w:r>
        <w:rPr>
          <w:color w:val="0070C0"/>
        </w:rPr>
        <w:t>Atteintes extra-respiratoires à rechercher systématiquement.</w:t>
      </w:r>
    </w:p>
    <w:p w14:paraId="3178BDFE" w14:textId="77777777" w:rsidR="003208BA" w:rsidRDefault="003208BA">
      <w:pPr>
        <w:numPr>
          <w:ilvl w:val="1"/>
          <w:numId w:val="22"/>
        </w:numPr>
        <w:spacing w:line="276" w:lineRule="auto"/>
        <w:ind w:left="567" w:hanging="283"/>
        <w:rPr>
          <w:color w:val="0070C0"/>
        </w:rPr>
      </w:pPr>
      <w:r>
        <w:rPr>
          <w:color w:val="0070C0"/>
        </w:rPr>
        <w:t>Radiographie : tous les types de lésions peuvent être vus (figure 12), peut être quasi normale.</w:t>
      </w:r>
    </w:p>
    <w:p w14:paraId="001D80E9" w14:textId="77777777" w:rsidR="003208BA" w:rsidRDefault="003208BA">
      <w:pPr>
        <w:numPr>
          <w:ilvl w:val="1"/>
          <w:numId w:val="22"/>
        </w:numPr>
        <w:spacing w:line="276" w:lineRule="auto"/>
        <w:ind w:left="567" w:hanging="283"/>
        <w:rPr>
          <w:color w:val="0070C0"/>
        </w:rPr>
      </w:pPr>
      <w:r>
        <w:rPr>
          <w:color w:val="0070C0"/>
        </w:rPr>
        <w:t>Traitement identique, mais attention aux interactions avec le traitement antirétroviral (inhibiteurs de protéase contre-indiqués avec la rifampicine) et risque élevé de syndrome inflammatoire de restauration immune.</w:t>
      </w:r>
    </w:p>
    <w:p w14:paraId="06E710A3" w14:textId="77777777" w:rsidR="003208BA" w:rsidRDefault="003208BA">
      <w:pPr>
        <w:numPr>
          <w:ilvl w:val="1"/>
          <w:numId w:val="22"/>
        </w:numPr>
        <w:spacing w:line="276" w:lineRule="auto"/>
        <w:ind w:left="567" w:hanging="283"/>
        <w:rPr>
          <w:color w:val="0070C0"/>
        </w:rPr>
      </w:pPr>
      <w:r>
        <w:rPr>
          <w:color w:val="0070C0"/>
        </w:rPr>
        <w:t>IDR : non utilisable en dessous de 200 CD4/mm</w:t>
      </w:r>
      <w:r>
        <w:rPr>
          <w:color w:val="0070C0"/>
          <w:vertAlign w:val="superscript"/>
        </w:rPr>
        <w:t>3</w:t>
      </w:r>
      <w:r>
        <w:rPr>
          <w:color w:val="0070C0"/>
        </w:rPr>
        <w:t>.</w:t>
      </w:r>
    </w:p>
    <w:p w14:paraId="6975F436" w14:textId="77777777" w:rsidR="003208BA" w:rsidRDefault="003208BA" w:rsidP="00742634">
      <w:pPr>
        <w:spacing w:line="276" w:lineRule="auto"/>
        <w:ind w:left="1080"/>
        <w:rPr>
          <w:color w:val="0070C0"/>
        </w:rPr>
      </w:pPr>
    </w:p>
    <w:p w14:paraId="6D26B045" w14:textId="39F8463B" w:rsidR="003208BA" w:rsidRDefault="003208BA">
      <w:pPr>
        <w:pStyle w:val="titredesous-partie"/>
        <w:numPr>
          <w:ilvl w:val="0"/>
          <w:numId w:val="40"/>
        </w:numPr>
        <w:ind w:hanging="298"/>
      </w:pPr>
      <w:r>
        <w:t xml:space="preserve">Traitement par </w:t>
      </w:r>
      <w:proofErr w:type="gramStart"/>
      <w:r>
        <w:t>anti TNF</w:t>
      </w:r>
      <w:proofErr w:type="gramEnd"/>
      <w:r>
        <w:t xml:space="preserve"> </w:t>
      </w:r>
    </w:p>
    <w:p w14:paraId="004530DF" w14:textId="028D385A" w:rsidR="003208BA" w:rsidRDefault="003208BA" w:rsidP="00742634">
      <w:pPr>
        <w:spacing w:line="276" w:lineRule="auto"/>
        <w:rPr>
          <w:color w:val="0070C0"/>
        </w:rPr>
      </w:pPr>
      <w:r>
        <w:rPr>
          <w:color w:val="0070C0"/>
        </w:rPr>
        <w:lastRenderedPageBreak/>
        <w:t>-</w:t>
      </w:r>
      <w:sdt>
        <w:sdtPr>
          <w:tag w:val="goog_rdk_19"/>
          <w:id w:val="1464429202"/>
        </w:sdtPr>
        <w:sdtContent/>
      </w:sdt>
      <w:r w:rsidR="009831F3">
        <w:rPr>
          <w:color w:val="0070C0"/>
        </w:rPr>
        <w:t xml:space="preserve"> </w:t>
      </w:r>
      <w:r w:rsidR="009831F3">
        <w:rPr>
          <w:rFonts w:ascii="Calibri" w:hAnsi="Calibri" w:cs="Calibri"/>
          <w:color w:val="0070C0"/>
        </w:rPr>
        <w:t>↗</w:t>
      </w:r>
      <w:r>
        <w:rPr>
          <w:color w:val="0070C0"/>
        </w:rPr>
        <w:t xml:space="preserve"> de l’incidence de la tuberculose +++.</w:t>
      </w:r>
    </w:p>
    <w:p w14:paraId="79707A67" w14:textId="77777777" w:rsidR="003208BA" w:rsidRDefault="003208BA" w:rsidP="00742634">
      <w:pPr>
        <w:spacing w:line="276" w:lineRule="auto"/>
        <w:rPr>
          <w:color w:val="0070C0"/>
        </w:rPr>
      </w:pPr>
      <w:r>
        <w:rPr>
          <w:color w:val="0070C0"/>
        </w:rPr>
        <w:t>- Avant toute instauration de traitement par anti TNFα :</w:t>
      </w:r>
    </w:p>
    <w:p w14:paraId="6B14C5BE" w14:textId="77777777" w:rsidR="003208BA" w:rsidRDefault="003208BA">
      <w:pPr>
        <w:numPr>
          <w:ilvl w:val="0"/>
          <w:numId w:val="23"/>
        </w:numPr>
        <w:pBdr>
          <w:top w:val="nil"/>
          <w:left w:val="nil"/>
          <w:bottom w:val="nil"/>
          <w:right w:val="nil"/>
          <w:between w:val="nil"/>
        </w:pBdr>
        <w:spacing w:line="276" w:lineRule="auto"/>
        <w:ind w:left="284" w:hanging="142"/>
        <w:rPr>
          <w:color w:val="0070C0"/>
        </w:rPr>
      </w:pPr>
      <w:r>
        <w:rPr>
          <w:color w:val="0070C0"/>
        </w:rPr>
        <w:t>Interrogatoire et examen clinique.</w:t>
      </w:r>
    </w:p>
    <w:p w14:paraId="16F2E9B6" w14:textId="77777777" w:rsidR="003208BA" w:rsidRDefault="003208BA">
      <w:pPr>
        <w:numPr>
          <w:ilvl w:val="0"/>
          <w:numId w:val="23"/>
        </w:numPr>
        <w:pBdr>
          <w:top w:val="nil"/>
          <w:left w:val="nil"/>
          <w:bottom w:val="nil"/>
          <w:right w:val="nil"/>
          <w:between w:val="nil"/>
        </w:pBdr>
        <w:spacing w:line="276" w:lineRule="auto"/>
        <w:ind w:left="284" w:hanging="142"/>
        <w:rPr>
          <w:color w:val="0070C0"/>
        </w:rPr>
      </w:pPr>
      <w:r>
        <w:rPr>
          <w:color w:val="0070C0"/>
        </w:rPr>
        <w:t>Radiographie thoracique.</w:t>
      </w:r>
    </w:p>
    <w:p w14:paraId="7FFC9CF1" w14:textId="77777777" w:rsidR="003208BA" w:rsidRDefault="003208BA">
      <w:pPr>
        <w:numPr>
          <w:ilvl w:val="0"/>
          <w:numId w:val="23"/>
        </w:numPr>
        <w:pBdr>
          <w:top w:val="nil"/>
          <w:left w:val="nil"/>
          <w:bottom w:val="nil"/>
          <w:right w:val="nil"/>
          <w:between w:val="nil"/>
        </w:pBdr>
        <w:spacing w:line="276" w:lineRule="auto"/>
        <w:ind w:left="284" w:hanging="142"/>
        <w:rPr>
          <w:color w:val="0070C0"/>
        </w:rPr>
      </w:pPr>
      <w:r>
        <w:rPr>
          <w:color w:val="0070C0"/>
        </w:rPr>
        <w:t>Test IGRA préféré à l’IDR à la tuberculine.</w:t>
      </w:r>
    </w:p>
    <w:p w14:paraId="191DC1BD" w14:textId="77777777" w:rsidR="003208BA" w:rsidRDefault="003208BA" w:rsidP="00742634">
      <w:pPr>
        <w:spacing w:line="276" w:lineRule="auto"/>
        <w:rPr>
          <w:color w:val="0070C0"/>
        </w:rPr>
      </w:pPr>
      <w:r>
        <w:rPr>
          <w:color w:val="0070C0"/>
        </w:rPr>
        <w:t xml:space="preserve">- En cas d’ITL (quel que soit le délai), en cas de séquelles sans certitude de traitement efficace/ou en cas de tuberculose traitée avant 1970 : </w:t>
      </w:r>
      <w:proofErr w:type="spellStart"/>
      <w:r>
        <w:rPr>
          <w:color w:val="0070C0"/>
        </w:rPr>
        <w:t>chimio-prophylaxie</w:t>
      </w:r>
      <w:proofErr w:type="spellEnd"/>
      <w:r>
        <w:rPr>
          <w:color w:val="0070C0"/>
        </w:rPr>
        <w:t xml:space="preserve"> (INH+RMP 3 mois) à débuter au moins 3 semaines avant la mise sous traitement anti TNFα et surveillance clinique, radiologique et bactériologique sous traitement.</w:t>
      </w:r>
    </w:p>
    <w:p w14:paraId="259E30A0" w14:textId="77777777" w:rsidR="003208BA" w:rsidRDefault="003208BA" w:rsidP="00742634">
      <w:pPr>
        <w:spacing w:line="276" w:lineRule="auto"/>
        <w:rPr>
          <w:b/>
          <w:bCs/>
          <w:color w:val="0070C0"/>
        </w:rPr>
      </w:pPr>
    </w:p>
    <w:p w14:paraId="40BC301C" w14:textId="08D97D45" w:rsidR="003208BA" w:rsidRDefault="003208BA">
      <w:pPr>
        <w:pStyle w:val="titredesous-partie"/>
        <w:numPr>
          <w:ilvl w:val="0"/>
          <w:numId w:val="40"/>
        </w:numPr>
        <w:ind w:hanging="298"/>
      </w:pPr>
      <w:r>
        <w:t>Tuberculoses multirésistantes</w:t>
      </w:r>
    </w:p>
    <w:p w14:paraId="0E8E6EAD" w14:textId="77777777" w:rsidR="003208BA" w:rsidRDefault="003208BA" w:rsidP="00742634">
      <w:pPr>
        <w:spacing w:line="276" w:lineRule="auto"/>
        <w:rPr>
          <w:color w:val="0070C0"/>
        </w:rPr>
      </w:pPr>
      <w:r>
        <w:rPr>
          <w:color w:val="0070C0"/>
        </w:rPr>
        <w:t>Création humaine par le biais de traitements mal suivis ou inadéquats (mauvaise observance, combinaisons inappropriées, rupture de stock, monothérapies…).</w:t>
      </w:r>
    </w:p>
    <w:p w14:paraId="0938A7C9" w14:textId="77777777" w:rsidR="003208BA" w:rsidRDefault="003208BA" w:rsidP="00742634">
      <w:pPr>
        <w:spacing w:line="276" w:lineRule="auto"/>
        <w:rPr>
          <w:color w:val="0070C0"/>
        </w:rPr>
      </w:pPr>
    </w:p>
    <w:p w14:paraId="5D8981B1" w14:textId="77777777" w:rsidR="003208BA" w:rsidRDefault="003208BA" w:rsidP="00742634">
      <w:pPr>
        <w:spacing w:line="276" w:lineRule="auto"/>
        <w:rPr>
          <w:color w:val="0070C0"/>
        </w:rPr>
      </w:pPr>
      <w:r>
        <w:rPr>
          <w:color w:val="0070C0"/>
        </w:rPr>
        <w:t>Tuberculose MDR (</w:t>
      </w:r>
      <w:r>
        <w:rPr>
          <w:i/>
          <w:iCs/>
          <w:color w:val="0070C0"/>
        </w:rPr>
        <w:t>multirésistante</w:t>
      </w:r>
      <w:r>
        <w:rPr>
          <w:color w:val="0070C0"/>
        </w:rPr>
        <w:t>) :</w:t>
      </w:r>
    </w:p>
    <w:p w14:paraId="7F413B90" w14:textId="77777777" w:rsidR="003208BA" w:rsidRDefault="003208BA" w:rsidP="00742634">
      <w:pPr>
        <w:spacing w:line="276" w:lineRule="auto"/>
        <w:rPr>
          <w:color w:val="0070C0"/>
        </w:rPr>
      </w:pPr>
      <w:r>
        <w:rPr>
          <w:color w:val="0070C0"/>
        </w:rPr>
        <w:t>- Définition : souche résistante à la fois à l’INH et à la RMP.</w:t>
      </w:r>
    </w:p>
    <w:p w14:paraId="04970278" w14:textId="77777777" w:rsidR="003208BA" w:rsidRDefault="003208BA" w:rsidP="00742634">
      <w:pPr>
        <w:spacing w:line="276" w:lineRule="auto"/>
        <w:rPr>
          <w:color w:val="0070C0"/>
        </w:rPr>
      </w:pPr>
      <w:r>
        <w:rPr>
          <w:color w:val="0070C0"/>
        </w:rPr>
        <w:t>- Souvent conséquence de traitements mal conduits.</w:t>
      </w:r>
    </w:p>
    <w:p w14:paraId="30467283" w14:textId="77777777" w:rsidR="003208BA" w:rsidRDefault="003208BA" w:rsidP="00742634">
      <w:pPr>
        <w:spacing w:line="276" w:lineRule="auto"/>
        <w:rPr>
          <w:color w:val="0070C0"/>
        </w:rPr>
      </w:pPr>
      <w:r>
        <w:rPr>
          <w:color w:val="0070C0"/>
        </w:rPr>
        <w:t>- Fréquence importante en Europe de l’Est.</w:t>
      </w:r>
    </w:p>
    <w:p w14:paraId="19A3D8EB" w14:textId="77777777" w:rsidR="003208BA" w:rsidRDefault="003208BA" w:rsidP="00742634">
      <w:pPr>
        <w:spacing w:line="276" w:lineRule="auto"/>
        <w:rPr>
          <w:color w:val="0070C0"/>
        </w:rPr>
      </w:pPr>
      <w:r>
        <w:rPr>
          <w:color w:val="0070C0"/>
        </w:rPr>
        <w:t>- Représente environ 2 % des cas de tuberculoses en France (une centaine de cas par an).</w:t>
      </w:r>
    </w:p>
    <w:p w14:paraId="3DC5743B" w14:textId="77777777" w:rsidR="003208BA" w:rsidRDefault="003208BA" w:rsidP="00742634">
      <w:pPr>
        <w:spacing w:line="276" w:lineRule="auto"/>
        <w:rPr>
          <w:color w:val="0070C0"/>
        </w:rPr>
      </w:pPr>
      <w:r>
        <w:rPr>
          <w:color w:val="0070C0"/>
        </w:rPr>
        <w:t xml:space="preserve">- Son traitement repose sur les associations avec les antituberculeux de seconde ligne (fluoroquinolones, </w:t>
      </w:r>
      <w:proofErr w:type="spellStart"/>
      <w:r>
        <w:rPr>
          <w:color w:val="0070C0"/>
        </w:rPr>
        <w:t>bédaquiline</w:t>
      </w:r>
      <w:proofErr w:type="spellEnd"/>
      <w:r>
        <w:rPr>
          <w:color w:val="0070C0"/>
        </w:rPr>
        <w:t xml:space="preserve">, </w:t>
      </w:r>
      <w:proofErr w:type="spellStart"/>
      <w:r>
        <w:rPr>
          <w:color w:val="0070C0"/>
        </w:rPr>
        <w:t>délamanide</w:t>
      </w:r>
      <w:proofErr w:type="spellEnd"/>
      <w:r>
        <w:rPr>
          <w:color w:val="0070C0"/>
        </w:rPr>
        <w:t xml:space="preserve"> etc.) et nécessite une prise en charge spécialisée, en hospitalisation. L’isolement respiratoire est strict. La durée du traitement est généralement de 6 mois, mais peut être prolongée selon le type de résistance, la tolérance observée et la réponse au traitement.</w:t>
      </w:r>
    </w:p>
    <w:p w14:paraId="5B08D280" w14:textId="77777777" w:rsidR="003208BA" w:rsidRDefault="003208BA" w:rsidP="00742634">
      <w:pPr>
        <w:spacing w:line="276" w:lineRule="auto"/>
        <w:rPr>
          <w:color w:val="0070C0"/>
        </w:rPr>
      </w:pPr>
    </w:p>
    <w:p w14:paraId="7C8054E2" w14:textId="77777777" w:rsidR="003208BA" w:rsidRDefault="003208BA" w:rsidP="009831F3">
      <w:pPr>
        <w:pStyle w:val="titredepartie"/>
      </w:pPr>
      <w:r>
        <w:t>PARTIE 4 : MESURES DE SANTE PUBLIQUE</w:t>
      </w:r>
    </w:p>
    <w:p w14:paraId="624560E1" w14:textId="09C497FC" w:rsidR="003208BA" w:rsidRDefault="003208BA">
      <w:pPr>
        <w:pStyle w:val="titredesous-partie"/>
        <w:numPr>
          <w:ilvl w:val="1"/>
          <w:numId w:val="39"/>
        </w:numPr>
        <w:ind w:left="426" w:hanging="284"/>
      </w:pPr>
      <w:r>
        <w:t>Vaccination</w:t>
      </w:r>
    </w:p>
    <w:p w14:paraId="1AA27E78" w14:textId="77777777" w:rsidR="003208BA" w:rsidRDefault="003208BA" w:rsidP="00742634">
      <w:pPr>
        <w:spacing w:line="276" w:lineRule="auto"/>
      </w:pPr>
      <w:r>
        <w:t xml:space="preserve">Objectifs : </w:t>
      </w:r>
    </w:p>
    <w:p w14:paraId="66DA7631" w14:textId="77777777" w:rsidR="003208BA" w:rsidRDefault="003208BA" w:rsidP="00742634">
      <w:pPr>
        <w:spacing w:line="276" w:lineRule="auto"/>
      </w:pPr>
      <w:r>
        <w:t>- Limiter le risque de tuberculose neuro-méningée (protection dans 90 % des cas).</w:t>
      </w:r>
    </w:p>
    <w:p w14:paraId="65F52345" w14:textId="77777777" w:rsidR="003208BA" w:rsidRDefault="003208BA" w:rsidP="00742634">
      <w:pPr>
        <w:spacing w:line="276" w:lineRule="auto"/>
      </w:pPr>
      <w:r>
        <w:t>- Limiter le risque de miliaire tuberculeuse (protection 70 % des cas).</w:t>
      </w:r>
    </w:p>
    <w:p w14:paraId="0856F65F" w14:textId="77777777" w:rsidR="003208BA" w:rsidRDefault="003208BA" w:rsidP="00742634">
      <w:pPr>
        <w:spacing w:line="276" w:lineRule="auto"/>
      </w:pPr>
      <w:r>
        <w:t>- Limiter le risque de tuberculose pulmonaire, mais protection dans seulement 50 % des cas.</w:t>
      </w:r>
    </w:p>
    <w:p w14:paraId="0B3647FF" w14:textId="77777777" w:rsidR="003208BA" w:rsidRDefault="003208BA" w:rsidP="00742634">
      <w:pPr>
        <w:spacing w:line="276" w:lineRule="auto"/>
      </w:pPr>
      <w:r>
        <w:t>- L’immunité conférée par la vaccination s’atténue en 10 à 15 ans.</w:t>
      </w:r>
    </w:p>
    <w:p w14:paraId="3C74BEEE" w14:textId="77777777" w:rsidR="003208BA" w:rsidRDefault="003208BA" w:rsidP="00742634">
      <w:pPr>
        <w:spacing w:line="276" w:lineRule="auto"/>
      </w:pPr>
    </w:p>
    <w:p w14:paraId="65CD7A43" w14:textId="77777777" w:rsidR="003208BA" w:rsidRDefault="003208BA" w:rsidP="00742634">
      <w:pPr>
        <w:spacing w:line="276" w:lineRule="auto"/>
      </w:pPr>
      <w:r>
        <w:t>Indications :</w:t>
      </w:r>
    </w:p>
    <w:p w14:paraId="16D85953" w14:textId="77777777" w:rsidR="003208BA" w:rsidRDefault="003208BA" w:rsidP="00742634">
      <w:pPr>
        <w:spacing w:line="276" w:lineRule="auto"/>
      </w:pPr>
      <w:r>
        <w:t>- N’est plus obligatoire pour les enfants et les adolescents depuis 2007.</w:t>
      </w:r>
    </w:p>
    <w:p w14:paraId="04E777BC" w14:textId="77777777" w:rsidR="003208BA" w:rsidRDefault="003208BA" w:rsidP="00742634">
      <w:pPr>
        <w:spacing w:line="276" w:lineRule="auto"/>
      </w:pPr>
      <w:r>
        <w:t>- N’est plus obligatoire pour les personnels de santé et les étudiants depuis mars 2010, sous réserve d’un test tuberculinique à l’embauche et avec discussion au cas par cas de l’intérêt du BCG.</w:t>
      </w:r>
    </w:p>
    <w:p w14:paraId="3EE90BB6" w14:textId="77777777" w:rsidR="003208BA" w:rsidRDefault="003208BA" w:rsidP="00742634">
      <w:pPr>
        <w:spacing w:line="276" w:lineRule="auto"/>
      </w:pPr>
      <w:r>
        <w:t xml:space="preserve">- Est recommandé pour les enfants âgés de moins de cinq ans qui présentent en outre un facteur de risque lié à leur environnement ou leurs proches/entourage (notamment un antécédent familial de tuberculose ou des liens avec un pays où la tuberculose est très fréquente). </w:t>
      </w:r>
    </w:p>
    <w:p w14:paraId="0D732999" w14:textId="77777777" w:rsidR="003208BA" w:rsidRDefault="003208BA">
      <w:pPr>
        <w:numPr>
          <w:ilvl w:val="0"/>
          <w:numId w:val="29"/>
        </w:numPr>
        <w:spacing w:line="276" w:lineRule="auto"/>
        <w:ind w:left="284" w:hanging="142"/>
      </w:pPr>
      <w:r>
        <w:t>Les enfants vivant en Île-de-France ne sont plus prioritaires pour la vaccination, en l’absence d’autres facteurs.</w:t>
      </w:r>
    </w:p>
    <w:p w14:paraId="160F9C50" w14:textId="77777777" w:rsidR="003208BA" w:rsidRDefault="003208BA">
      <w:pPr>
        <w:numPr>
          <w:ilvl w:val="0"/>
          <w:numId w:val="29"/>
        </w:numPr>
        <w:spacing w:line="276" w:lineRule="auto"/>
        <w:ind w:left="284" w:hanging="142"/>
      </w:pPr>
      <w:r>
        <w:t>Les enfants nés à Mayotte ou en Guyane doivent recevoir ce vaccin de manière prioritaire.</w:t>
      </w:r>
    </w:p>
    <w:p w14:paraId="6FEC78B5" w14:textId="77777777" w:rsidR="003208BA" w:rsidRDefault="003208BA" w:rsidP="00742634">
      <w:pPr>
        <w:spacing w:line="276" w:lineRule="auto"/>
      </w:pPr>
    </w:p>
    <w:p w14:paraId="5DDFBB2D" w14:textId="77777777" w:rsidR="003208BA" w:rsidRDefault="003208BA" w:rsidP="00742634">
      <w:pPr>
        <w:spacing w:line="276" w:lineRule="auto"/>
      </w:pPr>
      <w:r>
        <w:t>Modalités :</w:t>
      </w:r>
    </w:p>
    <w:p w14:paraId="6B1C9E43" w14:textId="14EF5205" w:rsidR="003208BA" w:rsidRDefault="003208BA" w:rsidP="00742634">
      <w:pPr>
        <w:spacing w:line="276" w:lineRule="auto"/>
      </w:pPr>
      <w:r>
        <w:t xml:space="preserve">- Le plus tôt possible (si possible à la naissance </w:t>
      </w:r>
      <w:r w:rsidR="009831F3">
        <w:sym w:font="Wingdings" w:char="F0E0"/>
      </w:r>
      <w:r>
        <w:t xml:space="preserve"> ne pas oublier de donner les informations adéquates pendant la grossesse si l’enfant à venir appartient à une catégorie à risque).</w:t>
      </w:r>
    </w:p>
    <w:p w14:paraId="43F06647" w14:textId="77777777" w:rsidR="003208BA" w:rsidRDefault="003208BA" w:rsidP="00742634">
      <w:pPr>
        <w:spacing w:line="276" w:lineRule="auto"/>
      </w:pPr>
      <w:r>
        <w:t>- Pas de test tuberculinique préalable si le nourrisson a moins de 3 mois.</w:t>
      </w:r>
    </w:p>
    <w:p w14:paraId="78908808" w14:textId="77777777" w:rsidR="003208BA" w:rsidRDefault="003208BA" w:rsidP="00742634">
      <w:pPr>
        <w:spacing w:line="276" w:lineRule="auto"/>
      </w:pPr>
      <w:r>
        <w:t>- Peut être réalisée jusqu’à l’âge de 15 ans après contrôle du test tuberculinique.</w:t>
      </w:r>
    </w:p>
    <w:p w14:paraId="5BBF9DBB" w14:textId="77777777" w:rsidR="003208BA" w:rsidRDefault="003208BA" w:rsidP="00742634">
      <w:pPr>
        <w:spacing w:line="276" w:lineRule="auto"/>
      </w:pPr>
      <w:r>
        <w:t>- Administration intradermique dans le deltoïde.</w:t>
      </w:r>
    </w:p>
    <w:p w14:paraId="6112EE77" w14:textId="77777777" w:rsidR="003208BA" w:rsidRDefault="003208BA" w:rsidP="00742634">
      <w:pPr>
        <w:spacing w:line="276" w:lineRule="auto"/>
      </w:pPr>
    </w:p>
    <w:p w14:paraId="2E533BC6" w14:textId="77777777" w:rsidR="003208BA" w:rsidRDefault="003208BA" w:rsidP="00742634">
      <w:pPr>
        <w:spacing w:line="276" w:lineRule="auto"/>
      </w:pPr>
      <w:r>
        <w:t>Complications possibles :</w:t>
      </w:r>
    </w:p>
    <w:p w14:paraId="4A28EE06" w14:textId="77777777" w:rsidR="003208BA" w:rsidRDefault="003208BA" w:rsidP="00742634">
      <w:pPr>
        <w:spacing w:line="276" w:lineRule="auto"/>
      </w:pPr>
      <w:r>
        <w:t>- Réaction inflammatoire locale (applications de compresses imbibées d’INH).</w:t>
      </w:r>
    </w:p>
    <w:p w14:paraId="1F4046E1" w14:textId="77777777" w:rsidR="003208BA" w:rsidRDefault="003208BA" w:rsidP="00742634">
      <w:pPr>
        <w:spacing w:line="276" w:lineRule="auto"/>
      </w:pPr>
      <w:r>
        <w:t>- Adénomégalies axillaires inflammatoires associées.</w:t>
      </w:r>
    </w:p>
    <w:p w14:paraId="7FEBF263" w14:textId="77777777" w:rsidR="003208BA" w:rsidRDefault="003208BA" w:rsidP="00742634">
      <w:pPr>
        <w:spacing w:line="276" w:lineRule="auto"/>
      </w:pPr>
      <w:r>
        <w:t xml:space="preserve">- </w:t>
      </w:r>
      <w:proofErr w:type="spellStart"/>
      <w:r>
        <w:t>BCGite</w:t>
      </w:r>
      <w:proofErr w:type="spellEnd"/>
      <w:r>
        <w:t xml:space="preserve"> disséminée (exceptionnelle, potentiellement létale).</w:t>
      </w:r>
    </w:p>
    <w:p w14:paraId="19BEB934" w14:textId="77777777" w:rsidR="003208BA" w:rsidRDefault="003208BA" w:rsidP="00742634">
      <w:pPr>
        <w:spacing w:line="276" w:lineRule="auto"/>
      </w:pPr>
    </w:p>
    <w:p w14:paraId="44D3AF78" w14:textId="77777777" w:rsidR="003208BA" w:rsidRDefault="003208BA" w:rsidP="00742634">
      <w:pPr>
        <w:spacing w:line="276" w:lineRule="auto"/>
      </w:pPr>
      <w:r>
        <w:t xml:space="preserve">Contre-indications : </w:t>
      </w:r>
    </w:p>
    <w:p w14:paraId="07FF758D" w14:textId="77777777" w:rsidR="003208BA" w:rsidRDefault="003208BA" w:rsidP="00742634">
      <w:pPr>
        <w:spacing w:line="276" w:lineRule="auto"/>
      </w:pPr>
      <w:r>
        <w:t>- Infection VIH : enfant infecté par le VIH ou né d’une mère infectée par le VIH, tant qu’il n’a pas été prouvé qu’il n’était pas lui-même infecté par le VIH. (</w:t>
      </w:r>
      <w:proofErr w:type="gramStart"/>
      <w:r>
        <w:t>le</w:t>
      </w:r>
      <w:proofErr w:type="gramEnd"/>
      <w:r>
        <w:t xml:space="preserve"> risque de </w:t>
      </w:r>
      <w:proofErr w:type="spellStart"/>
      <w:r>
        <w:t>BCGite</w:t>
      </w:r>
      <w:proofErr w:type="spellEnd"/>
      <w:r>
        <w:t xml:space="preserve"> disséminée l’emporte sur les bénéfices éventuels du vaccin.)</w:t>
      </w:r>
    </w:p>
    <w:p w14:paraId="6E4D455D" w14:textId="77777777" w:rsidR="003208BA" w:rsidRDefault="003208BA" w:rsidP="00742634">
      <w:pPr>
        <w:spacing w:line="276" w:lineRule="auto"/>
      </w:pPr>
      <w:r>
        <w:t>- Déficits immunitaires congénitaux ou acquis.</w:t>
      </w:r>
    </w:p>
    <w:p w14:paraId="256AE1E5" w14:textId="77777777" w:rsidR="003208BA" w:rsidRDefault="003208BA" w:rsidP="00742634">
      <w:pPr>
        <w:spacing w:line="276" w:lineRule="auto"/>
      </w:pPr>
      <w:r>
        <w:t>- Traitements immunosuppresseurs.</w:t>
      </w:r>
    </w:p>
    <w:p w14:paraId="1068D141" w14:textId="77777777" w:rsidR="003208BA" w:rsidRDefault="003208BA" w:rsidP="00742634">
      <w:pPr>
        <w:spacing w:line="276" w:lineRule="auto"/>
      </w:pPr>
      <w:r>
        <w:t>- Dermatoses étendues évolutives.</w:t>
      </w:r>
    </w:p>
    <w:p w14:paraId="203073E5" w14:textId="77777777" w:rsidR="003208BA" w:rsidRDefault="003208BA" w:rsidP="00742634">
      <w:pPr>
        <w:spacing w:line="276" w:lineRule="auto"/>
        <w:rPr>
          <w:b/>
          <w:bCs/>
          <w:smallCaps/>
        </w:rPr>
      </w:pPr>
    </w:p>
    <w:p w14:paraId="7DDAE464" w14:textId="3811BF40" w:rsidR="003208BA" w:rsidRDefault="003208BA">
      <w:pPr>
        <w:pStyle w:val="titredesous-partie"/>
        <w:numPr>
          <w:ilvl w:val="1"/>
          <w:numId w:val="39"/>
        </w:numPr>
        <w:ind w:left="426" w:hanging="284"/>
      </w:pPr>
      <w:r>
        <w:t>Déclaration obligatoire (DO)</w:t>
      </w:r>
    </w:p>
    <w:p w14:paraId="5178C61D" w14:textId="77777777" w:rsidR="003208BA" w:rsidRDefault="003208BA" w:rsidP="00742634">
      <w:pPr>
        <w:spacing w:line="276" w:lineRule="auto"/>
        <w:rPr>
          <w:u w:val="single"/>
        </w:rPr>
      </w:pPr>
      <w:r>
        <w:rPr>
          <w:u w:val="single"/>
        </w:rPr>
        <w:t>On distingue la notification anonyme à visée épidémiologique et le signalement nominatif permettant les enquêtes autour d’un cas</w:t>
      </w:r>
      <w:r>
        <w:t>.</w:t>
      </w:r>
    </w:p>
    <w:p w14:paraId="2155350E" w14:textId="77777777" w:rsidR="003208BA" w:rsidRDefault="003208BA" w:rsidP="00742634">
      <w:pPr>
        <w:spacing w:line="276" w:lineRule="auto"/>
        <w:rPr>
          <w:u w:val="single"/>
        </w:rPr>
      </w:pPr>
    </w:p>
    <w:p w14:paraId="5CE130DA" w14:textId="77777777" w:rsidR="003208BA" w:rsidRDefault="003208BA" w:rsidP="00742634">
      <w:pPr>
        <w:spacing w:line="276" w:lineRule="auto"/>
      </w:pPr>
      <w:r>
        <w:rPr>
          <w:u w:val="single"/>
        </w:rPr>
        <w:t>La notification anonyme</w:t>
      </w:r>
      <w:r>
        <w:t xml:space="preserve"> s’effectue auprès de l’ARS du département d’exercice du médecin dans un but épidémiologique :</w:t>
      </w:r>
    </w:p>
    <w:p w14:paraId="461C0212" w14:textId="77777777" w:rsidR="003208BA" w:rsidRDefault="003208BA" w:rsidP="00742634">
      <w:pPr>
        <w:spacing w:line="276" w:lineRule="auto"/>
        <w:jc w:val="left"/>
      </w:pPr>
      <w:r>
        <w:t>- Sur formulaire type (cf. annexe 1), anonyme, téléchargeable sur : https://www.formulaires.modernisation.gouv.fr/gf/cerfa_13351.do</w:t>
      </w:r>
    </w:p>
    <w:p w14:paraId="3B885570" w14:textId="77777777" w:rsidR="003208BA" w:rsidRDefault="003208BA" w:rsidP="00742634">
      <w:pPr>
        <w:spacing w:line="276" w:lineRule="auto"/>
      </w:pPr>
      <w:r>
        <w:t>- Puis l’information est relayée vers l’InVS (Santé publique France), pour effectuer un suivi épidémiologique.</w:t>
      </w:r>
    </w:p>
    <w:p w14:paraId="78428EEA" w14:textId="77777777" w:rsidR="003208BA" w:rsidRDefault="003208BA" w:rsidP="00742634">
      <w:pPr>
        <w:spacing w:line="276" w:lineRule="auto"/>
      </w:pPr>
    </w:p>
    <w:p w14:paraId="2C71900F" w14:textId="77777777" w:rsidR="003208BA" w:rsidRDefault="003208BA" w:rsidP="00742634">
      <w:pPr>
        <w:spacing w:line="276" w:lineRule="auto"/>
      </w:pPr>
      <w:r>
        <w:t>Cas à déclarer :</w:t>
      </w:r>
    </w:p>
    <w:p w14:paraId="1BB05C67" w14:textId="77777777" w:rsidR="003208BA" w:rsidRDefault="003208BA" w:rsidP="00742634">
      <w:pPr>
        <w:spacing w:line="276" w:lineRule="auto"/>
      </w:pPr>
      <w:r>
        <w:t>- TM confirmée ou suspectée (quel que soit l’âge et même si le patient est décédé) :</w:t>
      </w:r>
    </w:p>
    <w:p w14:paraId="57D5A3CC" w14:textId="77777777" w:rsidR="003208BA" w:rsidRDefault="003208BA">
      <w:pPr>
        <w:numPr>
          <w:ilvl w:val="0"/>
          <w:numId w:val="29"/>
        </w:numPr>
        <w:spacing w:line="276" w:lineRule="auto"/>
        <w:ind w:left="284" w:hanging="142"/>
      </w:pPr>
      <w:r>
        <w:t>Dans le but d’identifier les sujets contaminés.</w:t>
      </w:r>
    </w:p>
    <w:p w14:paraId="39F9B4C8" w14:textId="77777777" w:rsidR="003208BA" w:rsidRDefault="003208BA">
      <w:pPr>
        <w:numPr>
          <w:ilvl w:val="0"/>
          <w:numId w:val="29"/>
        </w:numPr>
        <w:spacing w:line="276" w:lineRule="auto"/>
        <w:ind w:left="284" w:hanging="142"/>
      </w:pPr>
      <w:r>
        <w:t>À partir du moment où un traitement a été débuté, même sans preuve bactériologique.</w:t>
      </w:r>
    </w:p>
    <w:p w14:paraId="3B99372C" w14:textId="77777777" w:rsidR="003208BA" w:rsidRDefault="003208BA">
      <w:pPr>
        <w:numPr>
          <w:ilvl w:val="0"/>
          <w:numId w:val="29"/>
        </w:numPr>
        <w:spacing w:line="276" w:lineRule="auto"/>
        <w:ind w:left="284" w:hanging="142"/>
      </w:pPr>
      <w:r>
        <w:t>Patient vivant ou décédé.</w:t>
      </w:r>
    </w:p>
    <w:p w14:paraId="7FE656A4" w14:textId="77777777" w:rsidR="003208BA" w:rsidRDefault="003208BA" w:rsidP="00742634">
      <w:pPr>
        <w:spacing w:line="276" w:lineRule="auto"/>
      </w:pPr>
      <w:r>
        <w:t>- ITL chez un enfant de moins de 15 ans :</w:t>
      </w:r>
    </w:p>
    <w:p w14:paraId="4296D29B" w14:textId="77777777" w:rsidR="003208BA" w:rsidRDefault="003208BA">
      <w:pPr>
        <w:numPr>
          <w:ilvl w:val="0"/>
          <w:numId w:val="29"/>
        </w:numPr>
        <w:spacing w:line="276" w:lineRule="auto"/>
        <w:ind w:left="284" w:hanging="142"/>
      </w:pPr>
      <w:r>
        <w:t>Dans le but d’identifier le sujet contaminant.</w:t>
      </w:r>
    </w:p>
    <w:p w14:paraId="2F1A560F" w14:textId="77777777" w:rsidR="003208BA" w:rsidRDefault="003208BA" w:rsidP="00742634">
      <w:pPr>
        <w:spacing w:line="276" w:lineRule="auto"/>
        <w:rPr>
          <w:u w:val="single"/>
        </w:rPr>
      </w:pPr>
    </w:p>
    <w:p w14:paraId="20643772" w14:textId="77777777" w:rsidR="003208BA" w:rsidRDefault="003208BA" w:rsidP="00742634">
      <w:pPr>
        <w:spacing w:line="276" w:lineRule="auto"/>
      </w:pPr>
      <w:r>
        <w:rPr>
          <w:u w:val="single"/>
        </w:rPr>
        <w:t>Par ailleurs, il convient de faire le plus rapidement possible un signalement nominatif</w:t>
      </w:r>
      <w:r>
        <w:t xml:space="preserve"> immédiat auprès du centre de lutte antituberculeuse (CLAT) du département du domicile du cas (en même temps que la DO à l’ARS) :</w:t>
      </w:r>
    </w:p>
    <w:p w14:paraId="3FAFDA85" w14:textId="77777777" w:rsidR="003208BA" w:rsidRDefault="003208BA" w:rsidP="00742634">
      <w:pPr>
        <w:spacing w:line="276" w:lineRule="auto"/>
      </w:pPr>
      <w:r>
        <w:t>- Par tout moyen (tél., fax, etc.).</w:t>
      </w:r>
    </w:p>
    <w:p w14:paraId="585EEC71" w14:textId="77777777" w:rsidR="003208BA" w:rsidRDefault="003208BA" w:rsidP="00742634">
      <w:pPr>
        <w:spacing w:line="276" w:lineRule="auto"/>
      </w:pPr>
      <w:r>
        <w:t>- Pas de formulaire type.</w:t>
      </w:r>
    </w:p>
    <w:p w14:paraId="4CA199DF" w14:textId="77777777" w:rsidR="003208BA" w:rsidRDefault="003208BA" w:rsidP="00742634">
      <w:pPr>
        <w:spacing w:line="276" w:lineRule="auto"/>
      </w:pPr>
      <w:r>
        <w:lastRenderedPageBreak/>
        <w:t>- Ce signalement non anonyme déclenche «</w:t>
      </w:r>
      <w:r>
        <w:rPr>
          <w:rFonts w:ascii="Arial" w:eastAsia="Arial" w:hAnsi="Arial" w:cs="Arial"/>
        </w:rPr>
        <w:t> </w:t>
      </w:r>
      <w:r>
        <w:rPr>
          <w:b/>
          <w:bCs/>
        </w:rPr>
        <w:t>l’enquête autour du cas</w:t>
      </w:r>
      <w:r>
        <w:rPr>
          <w:rFonts w:ascii="Arial" w:eastAsia="Arial" w:hAnsi="Arial" w:cs="Arial"/>
        </w:rPr>
        <w:t> </w:t>
      </w:r>
      <w:r>
        <w:t>» et doit permettre de mettre en œuvre la chimioprophylaxie des ITL et le traitement précoce des TM dépistées.</w:t>
      </w:r>
    </w:p>
    <w:p w14:paraId="6E98CC49" w14:textId="77777777" w:rsidR="003208BA" w:rsidRDefault="003208BA" w:rsidP="00742634">
      <w:pPr>
        <w:spacing w:line="276" w:lineRule="auto"/>
      </w:pPr>
      <w:r>
        <w:t>- Objectif : dépistage des sujets éventuellement contaminés, car vivant ou travaillant à proximité du cas index. Sont suspectés d’avoir été contaminés les sujets en contact étroit («</w:t>
      </w:r>
      <w:r>
        <w:rPr>
          <w:rFonts w:ascii="Arial" w:eastAsia="Arial" w:hAnsi="Arial" w:cs="Arial"/>
        </w:rPr>
        <w:t> </w:t>
      </w:r>
      <w:r>
        <w:t>bulle</w:t>
      </w:r>
      <w:r>
        <w:rPr>
          <w:rFonts w:ascii="Arial" w:eastAsia="Arial" w:hAnsi="Arial" w:cs="Arial"/>
        </w:rPr>
        <w:t> </w:t>
      </w:r>
      <w:r>
        <w:t>» de 2 m de diamètre) sur une durée cumulée de 8 h si l’examen direct du cas index était positif (tuberculose bacillifère), et de 40 h si l’ED était négatif (et la culture positive). Cette durée est raccourcie à 1 h en cas de tuberculose en milieu de soins.</w:t>
      </w:r>
    </w:p>
    <w:p w14:paraId="76E20946" w14:textId="77777777" w:rsidR="003208BA" w:rsidRDefault="003208BA" w:rsidP="00742634">
      <w:pPr>
        <w:spacing w:line="276" w:lineRule="auto"/>
      </w:pPr>
      <w:r>
        <w:t xml:space="preserve">- Modalités : </w:t>
      </w:r>
    </w:p>
    <w:p w14:paraId="588AACE7" w14:textId="77777777" w:rsidR="003208BA" w:rsidRDefault="003208BA">
      <w:pPr>
        <w:numPr>
          <w:ilvl w:val="0"/>
          <w:numId w:val="29"/>
        </w:numPr>
        <w:spacing w:line="276" w:lineRule="auto"/>
        <w:ind w:left="284" w:hanging="142"/>
      </w:pPr>
      <w:r>
        <w:t>Dès que possible dans le but de dépister une éventuelle TM : examen clinique, évaluation des risques, radiographie de thorax.</w:t>
      </w:r>
    </w:p>
    <w:p w14:paraId="5B17F81A" w14:textId="77777777" w:rsidR="003208BA" w:rsidRDefault="003208BA">
      <w:pPr>
        <w:numPr>
          <w:ilvl w:val="0"/>
          <w:numId w:val="29"/>
        </w:numPr>
        <w:spacing w:line="276" w:lineRule="auto"/>
        <w:ind w:left="284" w:hanging="142"/>
      </w:pPr>
      <w:r>
        <w:t>À 6-8 semaines du dernier contact avec le cas index pour le diagnostic de l’ITL : test IGRA OU IDR.</w:t>
      </w:r>
    </w:p>
    <w:p w14:paraId="4195E3A6" w14:textId="77777777" w:rsidR="003208BA" w:rsidRDefault="003208BA">
      <w:pPr>
        <w:numPr>
          <w:ilvl w:val="0"/>
          <w:numId w:val="29"/>
        </w:numPr>
        <w:spacing w:line="276" w:lineRule="auto"/>
        <w:ind w:left="284" w:hanging="142"/>
      </w:pPr>
      <w:r>
        <w:t>Suivi par examen clinique et radio à 12-24 mois uniquement si ITL non traitée.</w:t>
      </w:r>
    </w:p>
    <w:p w14:paraId="2E4B27DB" w14:textId="77777777" w:rsidR="003208BA" w:rsidRDefault="003208BA" w:rsidP="00742634">
      <w:pPr>
        <w:spacing w:line="276" w:lineRule="auto"/>
      </w:pPr>
      <w:r>
        <w:t xml:space="preserve">- Permet la </w:t>
      </w:r>
      <w:proofErr w:type="spellStart"/>
      <w:r>
        <w:t>chimio-prophylaxie</w:t>
      </w:r>
      <w:proofErr w:type="spellEnd"/>
      <w:r>
        <w:t xml:space="preserve"> des ITL et le traitement précoce des TM dépistées.</w:t>
      </w:r>
    </w:p>
    <w:p w14:paraId="1444BA27" w14:textId="77777777" w:rsidR="003208BA" w:rsidRDefault="003208BA" w:rsidP="00742634">
      <w:pPr>
        <w:spacing w:line="276" w:lineRule="auto"/>
        <w:ind w:left="720"/>
      </w:pPr>
    </w:p>
    <w:p w14:paraId="2BA6297C" w14:textId="77777777" w:rsidR="003208BA" w:rsidRDefault="003208BA" w:rsidP="00742634">
      <w:pPr>
        <w:spacing w:line="276" w:lineRule="auto"/>
      </w:pPr>
      <w:r>
        <w:t>La déclaration des «</w:t>
      </w:r>
      <w:r>
        <w:rPr>
          <w:rFonts w:ascii="Arial" w:eastAsia="Arial" w:hAnsi="Arial" w:cs="Arial"/>
        </w:rPr>
        <w:t> </w:t>
      </w:r>
      <w:r>
        <w:rPr>
          <w:b/>
          <w:bCs/>
        </w:rPr>
        <w:t>issues de traitement</w:t>
      </w:r>
      <w:r>
        <w:rPr>
          <w:rFonts w:ascii="Arial" w:eastAsia="Arial" w:hAnsi="Arial" w:cs="Arial"/>
        </w:rPr>
        <w:t> </w:t>
      </w:r>
      <w:r>
        <w:t>» :</w:t>
      </w:r>
    </w:p>
    <w:p w14:paraId="2092402F" w14:textId="77777777" w:rsidR="003208BA" w:rsidRDefault="003208BA" w:rsidP="00742634">
      <w:pPr>
        <w:spacing w:line="276" w:lineRule="auto"/>
      </w:pPr>
      <w:r>
        <w:t>- Auprès de l’ARS.</w:t>
      </w:r>
    </w:p>
    <w:p w14:paraId="25B4FF27" w14:textId="77777777" w:rsidR="003208BA" w:rsidRDefault="003208BA" w:rsidP="00742634">
      <w:pPr>
        <w:spacing w:line="276" w:lineRule="auto"/>
      </w:pPr>
      <w:r>
        <w:t>- Neuf à douze mois après avoir réalisé la DO.</w:t>
      </w:r>
    </w:p>
    <w:p w14:paraId="2BAD37DD" w14:textId="77777777" w:rsidR="003208BA" w:rsidRDefault="003208BA" w:rsidP="00742634">
      <w:pPr>
        <w:spacing w:line="276" w:lineRule="auto"/>
      </w:pPr>
      <w:r>
        <w:t xml:space="preserve">- L’objectif est de connaître la proportion de patients ayant achevé leur traitement dans les 12 mois suivant sa mise en œuvre, et si non, les raisons pour lesquelles le traitement n’a pas été achevé. </w:t>
      </w:r>
    </w:p>
    <w:p w14:paraId="2F44D1B5" w14:textId="77777777" w:rsidR="003208BA" w:rsidRDefault="003208BA" w:rsidP="00742634">
      <w:pPr>
        <w:spacing w:line="276" w:lineRule="auto"/>
        <w:rPr>
          <w:b/>
          <w:bCs/>
        </w:rPr>
      </w:pPr>
      <w:r>
        <w:br w:type="page"/>
      </w:r>
    </w:p>
    <w:p w14:paraId="1E25077C" w14:textId="77777777" w:rsidR="00E811C2" w:rsidRPr="00E811C2" w:rsidRDefault="003208BA" w:rsidP="00E811C2">
      <w:pPr>
        <w:pStyle w:val="p1"/>
        <w:rPr>
          <w:rFonts w:ascii="Trebuchet MS" w:hAnsi="Trebuchet MS"/>
          <w:sz w:val="20"/>
          <w:szCs w:val="20"/>
        </w:rPr>
      </w:pPr>
      <w:r w:rsidRPr="00E811C2">
        <w:rPr>
          <w:rFonts w:ascii="Trebuchet MS" w:hAnsi="Trebuchet MS"/>
          <w:sz w:val="20"/>
          <w:szCs w:val="20"/>
        </w:rPr>
        <w:lastRenderedPageBreak/>
        <w:t>Annexe 1 : formulaire de déclaration à l’ARS d’un cas de tuberculose.</w:t>
      </w:r>
      <w:r w:rsidR="00E811C2" w:rsidRPr="00E811C2">
        <w:rPr>
          <w:rFonts w:ascii="Trebuchet MS" w:hAnsi="Trebuchet MS"/>
          <w:sz w:val="20"/>
          <w:szCs w:val="20"/>
        </w:rPr>
        <w:t xml:space="preserve"> </w:t>
      </w:r>
      <w:proofErr w:type="gramStart"/>
      <w:r w:rsidR="00E811C2" w:rsidRPr="00E811C2">
        <w:rPr>
          <w:rFonts w:ascii="Trebuchet MS" w:hAnsi="Trebuchet MS"/>
          <w:sz w:val="20"/>
          <w:szCs w:val="20"/>
        </w:rPr>
        <w:t>télédéclaration</w:t>
      </w:r>
      <w:proofErr w:type="gramEnd"/>
      <w:r w:rsidR="00E811C2" w:rsidRPr="00E811C2">
        <w:rPr>
          <w:rFonts w:ascii="Trebuchet MS" w:hAnsi="Trebuchet MS"/>
          <w:sz w:val="20"/>
          <w:szCs w:val="20"/>
        </w:rPr>
        <w:t xml:space="preserve"> obligatoire sur e-DO avec carte CPS, exceptionnellement sur papier</w:t>
      </w:r>
    </w:p>
    <w:p w14:paraId="7E2DDDF9" w14:textId="0D9CDED7" w:rsidR="003208BA" w:rsidRDefault="003208BA" w:rsidP="009831F3">
      <w:pPr>
        <w:pStyle w:val="lgende"/>
      </w:pPr>
    </w:p>
    <w:p w14:paraId="40A995C3" w14:textId="77777777" w:rsidR="003208BA" w:rsidRDefault="003208BA" w:rsidP="00742634">
      <w:pPr>
        <w:spacing w:line="276" w:lineRule="auto"/>
        <w:jc w:val="center"/>
        <w:rPr>
          <w:rFonts w:ascii="Arial" w:eastAsia="Arial" w:hAnsi="Arial" w:cs="Arial"/>
          <w:b/>
          <w:bCs/>
          <w:sz w:val="22"/>
          <w:szCs w:val="22"/>
        </w:rPr>
      </w:pPr>
      <w:r>
        <w:rPr>
          <w:rFonts w:ascii="Arial" w:eastAsia="Arial" w:hAnsi="Arial" w:cs="Arial"/>
          <w:b/>
          <w:bCs/>
          <w:noProof/>
          <w:sz w:val="22"/>
          <w:szCs w:val="22"/>
        </w:rPr>
        <w:drawing>
          <wp:inline distT="0" distB="0" distL="0" distR="0" wp14:anchorId="2CA9AB8A" wp14:editId="37520A6E">
            <wp:extent cx="4491437" cy="6331772"/>
            <wp:effectExtent l="0" t="0" r="4445" b="5715"/>
            <wp:docPr id="19" name="image3.jpg" descr="C:\Users\User\Documents\Déclaration obligatoire.jpg"/>
            <wp:cNvGraphicFramePr/>
            <a:graphic xmlns:a="http://schemas.openxmlformats.org/drawingml/2006/main">
              <a:graphicData uri="http://schemas.openxmlformats.org/drawingml/2006/picture">
                <pic:pic xmlns:pic="http://schemas.openxmlformats.org/drawingml/2006/picture">
                  <pic:nvPicPr>
                    <pic:cNvPr id="0" name="image3.jpg" descr="C:\Users\User\Documents\Déclaration obligatoire.jpg"/>
                    <pic:cNvPicPr preferRelativeResize="0"/>
                  </pic:nvPicPr>
                  <pic:blipFill>
                    <a:blip r:embed="rId30"/>
                    <a:srcRect/>
                    <a:stretch>
                      <a:fillRect/>
                    </a:stretch>
                  </pic:blipFill>
                  <pic:spPr>
                    <a:xfrm>
                      <a:off x="0" y="0"/>
                      <a:ext cx="4510751" cy="6359000"/>
                    </a:xfrm>
                    <a:prstGeom prst="rect">
                      <a:avLst/>
                    </a:prstGeom>
                    <a:ln/>
                  </pic:spPr>
                </pic:pic>
              </a:graphicData>
            </a:graphic>
          </wp:inline>
        </w:drawing>
      </w:r>
    </w:p>
    <w:p w14:paraId="44E340DE" w14:textId="77777777" w:rsidR="003208BA" w:rsidRDefault="003208BA" w:rsidP="00742634">
      <w:pPr>
        <w:spacing w:line="276" w:lineRule="auto"/>
        <w:rPr>
          <w:rFonts w:ascii="Arial" w:eastAsia="Arial" w:hAnsi="Arial" w:cs="Arial"/>
          <w:b/>
          <w:bCs/>
          <w:smallCaps/>
          <w:sz w:val="22"/>
          <w:szCs w:val="22"/>
        </w:rPr>
      </w:pPr>
      <w:r>
        <w:br w:type="page"/>
      </w:r>
    </w:p>
    <w:p w14:paraId="5D3C551F" w14:textId="77777777" w:rsidR="003208BA" w:rsidRDefault="003208BA" w:rsidP="003208BA">
      <w:pPr>
        <w:spacing w:line="240" w:lineRule="auto"/>
        <w:rPr>
          <w:b/>
          <w:bCs/>
          <w:color w:val="0070C0"/>
        </w:rPr>
      </w:pPr>
      <w:r>
        <w:rPr>
          <w:b/>
          <w:bCs/>
          <w:color w:val="0070C0"/>
        </w:rPr>
        <w:lastRenderedPageBreak/>
        <w:t>QUESTIONS TOMBABLES</w:t>
      </w:r>
    </w:p>
    <w:p w14:paraId="6E9A633F" w14:textId="77777777" w:rsidR="003208BA" w:rsidRDefault="003208BA" w:rsidP="003208BA">
      <w:pPr>
        <w:spacing w:line="240" w:lineRule="auto"/>
        <w:rPr>
          <w:rFonts w:ascii="Arial" w:eastAsia="Arial" w:hAnsi="Arial" w:cs="Arial"/>
          <w:b/>
          <w:bCs/>
          <w:smallCaps/>
          <w:color w:val="3366FF"/>
        </w:rPr>
      </w:pPr>
    </w:p>
    <w:p w14:paraId="33DE51B0" w14:textId="77777777" w:rsidR="003208BA" w:rsidRDefault="003208BA">
      <w:pPr>
        <w:numPr>
          <w:ilvl w:val="0"/>
          <w:numId w:val="27"/>
        </w:numPr>
        <w:pBdr>
          <w:top w:val="nil"/>
          <w:left w:val="nil"/>
          <w:bottom w:val="nil"/>
          <w:right w:val="nil"/>
          <w:between w:val="nil"/>
        </w:pBdr>
        <w:spacing w:before="80" w:line="240" w:lineRule="auto"/>
        <w:jc w:val="left"/>
      </w:pPr>
      <w:r>
        <w:rPr>
          <w:b/>
          <w:bCs/>
        </w:rPr>
        <w:t>QRU</w:t>
      </w:r>
    </w:p>
    <w:p w14:paraId="72F092B1" w14:textId="77777777" w:rsidR="003208BA" w:rsidRDefault="003208BA" w:rsidP="003208BA">
      <w:pPr>
        <w:spacing w:line="276" w:lineRule="auto"/>
      </w:pPr>
      <w:bookmarkStart w:id="2" w:name="_heading=h.z76h7yrjgsl" w:colFirst="0" w:colLast="0"/>
      <w:bookmarkEnd w:id="2"/>
      <w:r>
        <w:t>Parmi les affirmations suivantes concernant les actions médico- administratives à mettre en œuvre lorsqu’est diagnostiquée une tuberculose, laquelle est juste</w:t>
      </w:r>
      <w:r>
        <w:rPr>
          <w:rFonts w:ascii="Arial" w:eastAsia="Arial" w:hAnsi="Arial" w:cs="Arial"/>
        </w:rPr>
        <w:t> </w:t>
      </w:r>
      <w:r>
        <w:t>?</w:t>
      </w:r>
    </w:p>
    <w:p w14:paraId="123894A1" w14:textId="77777777" w:rsidR="003208BA" w:rsidRDefault="003208BA">
      <w:pPr>
        <w:numPr>
          <w:ilvl w:val="0"/>
          <w:numId w:val="24"/>
        </w:numPr>
        <w:spacing w:line="276" w:lineRule="auto"/>
        <w:ind w:left="714" w:hanging="357"/>
      </w:pPr>
      <w:r>
        <w:t>La déclaration obligatoire se fait de manière anonyme directement à l’institut national de veille sanitaire</w:t>
      </w:r>
    </w:p>
    <w:p w14:paraId="1FAA8F93" w14:textId="77777777" w:rsidR="003208BA" w:rsidRDefault="003208BA">
      <w:pPr>
        <w:numPr>
          <w:ilvl w:val="0"/>
          <w:numId w:val="24"/>
        </w:numPr>
        <w:spacing w:line="276" w:lineRule="auto"/>
        <w:ind w:left="714" w:hanging="357"/>
      </w:pPr>
      <w:r>
        <w:t>Le signalement nominatif se fait auprès de la direction de l’hôpital dans lequel a été admis le patient</w:t>
      </w:r>
    </w:p>
    <w:p w14:paraId="6D52BEE2" w14:textId="77777777" w:rsidR="003208BA" w:rsidRDefault="003208BA">
      <w:pPr>
        <w:numPr>
          <w:ilvl w:val="0"/>
          <w:numId w:val="24"/>
        </w:numPr>
        <w:spacing w:line="276" w:lineRule="auto"/>
        <w:ind w:left="714" w:hanging="357"/>
      </w:pPr>
      <w:r>
        <w:t>Le signalement nominatif permet d’enclencher l’enquête autour d’un cas par le centre de lutte antituberculeuse (CLAT)</w:t>
      </w:r>
    </w:p>
    <w:p w14:paraId="1A71E50E" w14:textId="77777777" w:rsidR="003208BA" w:rsidRDefault="003208BA">
      <w:pPr>
        <w:numPr>
          <w:ilvl w:val="0"/>
          <w:numId w:val="24"/>
        </w:numPr>
        <w:spacing w:line="276" w:lineRule="auto"/>
        <w:ind w:left="714" w:hanging="357"/>
      </w:pPr>
      <w:r>
        <w:t>La déclaration de fin de traitement est à adresser à la pharmacie où le patient se fournit en antituberculeux</w:t>
      </w:r>
    </w:p>
    <w:p w14:paraId="1E6D14CB" w14:textId="77777777" w:rsidR="003208BA" w:rsidRDefault="003208BA">
      <w:pPr>
        <w:numPr>
          <w:ilvl w:val="0"/>
          <w:numId w:val="24"/>
        </w:numPr>
        <w:spacing w:line="276" w:lineRule="auto"/>
        <w:ind w:left="714" w:hanging="357"/>
      </w:pPr>
      <w:r>
        <w:t>Dans l’enquête autour d’un cas contagieux sont concernés les «</w:t>
      </w:r>
      <w:r>
        <w:rPr>
          <w:rFonts w:ascii="Arial" w:eastAsia="Arial" w:hAnsi="Arial" w:cs="Arial"/>
        </w:rPr>
        <w:t> </w:t>
      </w:r>
      <w:r>
        <w:t>contacts étroits</w:t>
      </w:r>
      <w:r>
        <w:rPr>
          <w:rFonts w:ascii="Arial" w:eastAsia="Arial" w:hAnsi="Arial" w:cs="Arial"/>
        </w:rPr>
        <w:t> </w:t>
      </w:r>
      <w:r>
        <w:t>» de ce cas index au cours de la dernière année</w:t>
      </w:r>
    </w:p>
    <w:p w14:paraId="59C366E4" w14:textId="77777777" w:rsidR="003208BA" w:rsidRDefault="003208BA" w:rsidP="003208BA">
      <w:pPr>
        <w:spacing w:line="276" w:lineRule="auto"/>
        <w:ind w:left="714"/>
      </w:pPr>
    </w:p>
    <w:p w14:paraId="384F2D0B" w14:textId="77777777" w:rsidR="003208BA" w:rsidRDefault="003208BA">
      <w:pPr>
        <w:numPr>
          <w:ilvl w:val="0"/>
          <w:numId w:val="27"/>
        </w:numPr>
        <w:pBdr>
          <w:top w:val="nil"/>
          <w:left w:val="nil"/>
          <w:bottom w:val="nil"/>
          <w:right w:val="nil"/>
          <w:between w:val="nil"/>
        </w:pBdr>
        <w:spacing w:before="80" w:line="276" w:lineRule="auto"/>
        <w:rPr>
          <w:b/>
          <w:bCs/>
        </w:rPr>
      </w:pPr>
      <w:r>
        <w:rPr>
          <w:b/>
          <w:bCs/>
        </w:rPr>
        <w:t>QRU</w:t>
      </w:r>
    </w:p>
    <w:p w14:paraId="507FCE45" w14:textId="77777777" w:rsidR="003208BA" w:rsidRDefault="003208BA" w:rsidP="003208BA">
      <w:pPr>
        <w:spacing w:line="276" w:lineRule="auto"/>
        <w:ind w:right="-142"/>
      </w:pPr>
      <w:bookmarkStart w:id="3" w:name="_heading=h.35zfwnqfbdnx" w:colFirst="0" w:colLast="0"/>
      <w:bookmarkEnd w:id="3"/>
      <w:r>
        <w:t>Concernant l’histoire naturelle de la tuberculose-maladie en France, quelle est la séquence la moins fréquente</w:t>
      </w:r>
      <w:r>
        <w:rPr>
          <w:rFonts w:ascii="Arial" w:eastAsia="Arial" w:hAnsi="Arial" w:cs="Arial"/>
        </w:rPr>
        <w:t> </w:t>
      </w:r>
      <w:r>
        <w:t>?</w:t>
      </w:r>
    </w:p>
    <w:tbl>
      <w:tblPr>
        <w:tblW w:w="9209"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1740"/>
        <w:gridCol w:w="1948"/>
        <w:gridCol w:w="1836"/>
        <w:gridCol w:w="1842"/>
        <w:gridCol w:w="1843"/>
      </w:tblGrid>
      <w:tr w:rsidR="003208BA" w14:paraId="4D3D3F5D" w14:textId="77777777" w:rsidTr="00D73350">
        <w:tc>
          <w:tcPr>
            <w:tcW w:w="1740" w:type="dxa"/>
            <w:vAlign w:val="center"/>
          </w:tcPr>
          <w:p w14:paraId="52190DA6" w14:textId="77777777" w:rsidR="003208BA" w:rsidRDefault="003208BA" w:rsidP="00A32E57">
            <w:pPr>
              <w:spacing w:line="276" w:lineRule="auto"/>
              <w:jc w:val="center"/>
              <w:rPr>
                <w:b/>
                <w:bCs/>
              </w:rPr>
            </w:pPr>
            <w:r>
              <w:rPr>
                <w:b/>
                <w:bCs/>
              </w:rPr>
              <w:t>Séquence A</w:t>
            </w:r>
          </w:p>
        </w:tc>
        <w:tc>
          <w:tcPr>
            <w:tcW w:w="1948" w:type="dxa"/>
            <w:vAlign w:val="center"/>
          </w:tcPr>
          <w:p w14:paraId="262D7851" w14:textId="77777777" w:rsidR="003208BA" w:rsidRDefault="003208BA" w:rsidP="00A32E57">
            <w:pPr>
              <w:spacing w:line="276" w:lineRule="auto"/>
              <w:jc w:val="center"/>
              <w:rPr>
                <w:b/>
                <w:bCs/>
              </w:rPr>
            </w:pPr>
            <w:r>
              <w:rPr>
                <w:b/>
                <w:bCs/>
              </w:rPr>
              <w:t>Séquence B</w:t>
            </w:r>
          </w:p>
        </w:tc>
        <w:tc>
          <w:tcPr>
            <w:tcW w:w="1836" w:type="dxa"/>
            <w:vAlign w:val="center"/>
          </w:tcPr>
          <w:p w14:paraId="396D7B31" w14:textId="77777777" w:rsidR="003208BA" w:rsidRDefault="003208BA" w:rsidP="00A32E57">
            <w:pPr>
              <w:spacing w:line="276" w:lineRule="auto"/>
              <w:jc w:val="center"/>
              <w:rPr>
                <w:b/>
                <w:bCs/>
              </w:rPr>
            </w:pPr>
            <w:r>
              <w:rPr>
                <w:b/>
                <w:bCs/>
              </w:rPr>
              <w:t>Séquence C</w:t>
            </w:r>
          </w:p>
        </w:tc>
        <w:tc>
          <w:tcPr>
            <w:tcW w:w="1842" w:type="dxa"/>
            <w:vAlign w:val="center"/>
          </w:tcPr>
          <w:p w14:paraId="381BD062" w14:textId="77777777" w:rsidR="003208BA" w:rsidRDefault="003208BA" w:rsidP="00A32E57">
            <w:pPr>
              <w:spacing w:line="276" w:lineRule="auto"/>
              <w:jc w:val="center"/>
              <w:rPr>
                <w:b/>
                <w:bCs/>
              </w:rPr>
            </w:pPr>
            <w:r>
              <w:rPr>
                <w:b/>
                <w:bCs/>
              </w:rPr>
              <w:t>Séquence D</w:t>
            </w:r>
          </w:p>
        </w:tc>
        <w:tc>
          <w:tcPr>
            <w:tcW w:w="1843" w:type="dxa"/>
            <w:vAlign w:val="center"/>
          </w:tcPr>
          <w:p w14:paraId="1E160151" w14:textId="77777777" w:rsidR="003208BA" w:rsidRDefault="003208BA" w:rsidP="00A32E57">
            <w:pPr>
              <w:spacing w:line="276" w:lineRule="auto"/>
              <w:jc w:val="center"/>
              <w:rPr>
                <w:b/>
                <w:bCs/>
              </w:rPr>
            </w:pPr>
            <w:r>
              <w:rPr>
                <w:b/>
                <w:bCs/>
              </w:rPr>
              <w:t>Séquence E</w:t>
            </w:r>
          </w:p>
        </w:tc>
      </w:tr>
      <w:tr w:rsidR="003208BA" w14:paraId="0B62A171" w14:textId="77777777" w:rsidTr="00D73350">
        <w:tc>
          <w:tcPr>
            <w:tcW w:w="1740" w:type="dxa"/>
            <w:vAlign w:val="center"/>
          </w:tcPr>
          <w:p w14:paraId="41B4C2CE" w14:textId="77777777" w:rsidR="003208BA" w:rsidRDefault="003208BA" w:rsidP="00A32E57">
            <w:pPr>
              <w:spacing w:line="276" w:lineRule="auto"/>
              <w:jc w:val="center"/>
            </w:pPr>
            <w:r>
              <w:t>Contamination</w:t>
            </w:r>
          </w:p>
        </w:tc>
        <w:tc>
          <w:tcPr>
            <w:tcW w:w="1948" w:type="dxa"/>
            <w:vAlign w:val="center"/>
          </w:tcPr>
          <w:p w14:paraId="4EA22184" w14:textId="77777777" w:rsidR="003208BA" w:rsidRDefault="003208BA" w:rsidP="00A32E57">
            <w:pPr>
              <w:spacing w:line="276" w:lineRule="auto"/>
              <w:jc w:val="center"/>
            </w:pPr>
            <w:r>
              <w:t>Contamination</w:t>
            </w:r>
          </w:p>
        </w:tc>
        <w:tc>
          <w:tcPr>
            <w:tcW w:w="1836" w:type="dxa"/>
            <w:vAlign w:val="center"/>
          </w:tcPr>
          <w:p w14:paraId="3CECA623" w14:textId="72E4F8D8" w:rsidR="003208BA" w:rsidRDefault="003208BA" w:rsidP="00A32E57">
            <w:pPr>
              <w:spacing w:line="276" w:lineRule="auto"/>
              <w:jc w:val="center"/>
            </w:pPr>
            <w:r>
              <w:t>Contamination</w:t>
            </w:r>
          </w:p>
        </w:tc>
        <w:tc>
          <w:tcPr>
            <w:tcW w:w="1842" w:type="dxa"/>
            <w:vAlign w:val="center"/>
          </w:tcPr>
          <w:p w14:paraId="5DAE56BE" w14:textId="77777777" w:rsidR="003208BA" w:rsidRDefault="003208BA" w:rsidP="00A32E57">
            <w:pPr>
              <w:spacing w:line="276" w:lineRule="auto"/>
              <w:jc w:val="center"/>
            </w:pPr>
            <w:r>
              <w:t>Contamination</w:t>
            </w:r>
          </w:p>
        </w:tc>
        <w:tc>
          <w:tcPr>
            <w:tcW w:w="1843" w:type="dxa"/>
            <w:vAlign w:val="center"/>
          </w:tcPr>
          <w:p w14:paraId="0442A28D" w14:textId="77777777" w:rsidR="003208BA" w:rsidRDefault="003208BA" w:rsidP="00A32E57">
            <w:pPr>
              <w:spacing w:line="276" w:lineRule="auto"/>
              <w:jc w:val="center"/>
            </w:pPr>
            <w:r>
              <w:t>Contamination</w:t>
            </w:r>
          </w:p>
        </w:tc>
      </w:tr>
      <w:tr w:rsidR="003208BA" w14:paraId="440DAC64" w14:textId="77777777" w:rsidTr="00D73350">
        <w:tc>
          <w:tcPr>
            <w:tcW w:w="1740" w:type="dxa"/>
            <w:vAlign w:val="center"/>
          </w:tcPr>
          <w:p w14:paraId="61D81197" w14:textId="77777777" w:rsidR="003208BA" w:rsidRDefault="003208BA" w:rsidP="00A32E57">
            <w:pPr>
              <w:spacing w:line="276" w:lineRule="auto"/>
              <w:jc w:val="center"/>
            </w:pPr>
            <w:r>
              <w:t>Primo infection patente</w:t>
            </w:r>
          </w:p>
        </w:tc>
        <w:tc>
          <w:tcPr>
            <w:tcW w:w="1948" w:type="dxa"/>
            <w:vAlign w:val="center"/>
          </w:tcPr>
          <w:p w14:paraId="3927A7C5" w14:textId="77777777" w:rsidR="003208BA" w:rsidRDefault="003208BA" w:rsidP="00A32E57">
            <w:pPr>
              <w:spacing w:line="276" w:lineRule="auto"/>
              <w:jc w:val="center"/>
            </w:pPr>
            <w:r>
              <w:t>Primo infection asymptomatique</w:t>
            </w:r>
          </w:p>
        </w:tc>
        <w:tc>
          <w:tcPr>
            <w:tcW w:w="1836" w:type="dxa"/>
            <w:vAlign w:val="center"/>
          </w:tcPr>
          <w:p w14:paraId="415C0935" w14:textId="77777777" w:rsidR="003208BA" w:rsidRDefault="003208BA" w:rsidP="00A32E57">
            <w:pPr>
              <w:spacing w:line="276" w:lineRule="auto"/>
              <w:jc w:val="center"/>
            </w:pPr>
            <w:r>
              <w:t>Primo infection asymptomatique</w:t>
            </w:r>
          </w:p>
        </w:tc>
        <w:tc>
          <w:tcPr>
            <w:tcW w:w="1842" w:type="dxa"/>
            <w:vAlign w:val="center"/>
          </w:tcPr>
          <w:p w14:paraId="02DA0B87" w14:textId="77777777" w:rsidR="003208BA" w:rsidRDefault="003208BA" w:rsidP="00A32E57">
            <w:pPr>
              <w:spacing w:line="276" w:lineRule="auto"/>
              <w:jc w:val="center"/>
            </w:pPr>
            <w:r>
              <w:t>Primo infection asymptomatique</w:t>
            </w:r>
          </w:p>
        </w:tc>
        <w:tc>
          <w:tcPr>
            <w:tcW w:w="1843" w:type="dxa"/>
            <w:vAlign w:val="center"/>
          </w:tcPr>
          <w:p w14:paraId="01F8E249" w14:textId="77777777" w:rsidR="003208BA" w:rsidRDefault="003208BA" w:rsidP="00A32E57">
            <w:pPr>
              <w:spacing w:line="276" w:lineRule="auto"/>
              <w:jc w:val="center"/>
            </w:pPr>
            <w:r>
              <w:t>Primo infection asymptomatique</w:t>
            </w:r>
          </w:p>
        </w:tc>
      </w:tr>
      <w:tr w:rsidR="003208BA" w14:paraId="3262E559" w14:textId="77777777" w:rsidTr="00D73350">
        <w:tc>
          <w:tcPr>
            <w:tcW w:w="1740" w:type="dxa"/>
            <w:vAlign w:val="center"/>
          </w:tcPr>
          <w:p w14:paraId="5B9B46B2" w14:textId="77777777" w:rsidR="003208BA" w:rsidRDefault="003208BA" w:rsidP="00A32E57">
            <w:pPr>
              <w:spacing w:line="276" w:lineRule="auto"/>
              <w:jc w:val="center"/>
            </w:pPr>
            <w:r>
              <w:t>Tuberculose maladie</w:t>
            </w:r>
          </w:p>
        </w:tc>
        <w:tc>
          <w:tcPr>
            <w:tcW w:w="1948" w:type="dxa"/>
            <w:vAlign w:val="center"/>
          </w:tcPr>
          <w:p w14:paraId="6EF41312" w14:textId="77777777" w:rsidR="003208BA" w:rsidRDefault="003208BA" w:rsidP="00A32E57">
            <w:pPr>
              <w:spacing w:line="276" w:lineRule="auto"/>
              <w:jc w:val="center"/>
            </w:pPr>
            <w:r>
              <w:t>Infection tuberculeuse latente</w:t>
            </w:r>
          </w:p>
        </w:tc>
        <w:tc>
          <w:tcPr>
            <w:tcW w:w="1836" w:type="dxa"/>
            <w:vAlign w:val="center"/>
          </w:tcPr>
          <w:p w14:paraId="248C95C6" w14:textId="77777777" w:rsidR="003208BA" w:rsidRDefault="003208BA" w:rsidP="00A32E57">
            <w:pPr>
              <w:spacing w:line="276" w:lineRule="auto"/>
              <w:jc w:val="center"/>
            </w:pPr>
            <w:r>
              <w:t>Infection tuberculeuse latente</w:t>
            </w:r>
          </w:p>
        </w:tc>
        <w:tc>
          <w:tcPr>
            <w:tcW w:w="1842" w:type="dxa"/>
            <w:vAlign w:val="center"/>
          </w:tcPr>
          <w:p w14:paraId="405A86B3" w14:textId="77777777" w:rsidR="003208BA" w:rsidRDefault="003208BA" w:rsidP="00A32E57">
            <w:pPr>
              <w:spacing w:line="276" w:lineRule="auto"/>
              <w:jc w:val="center"/>
            </w:pPr>
            <w:r>
              <w:t>Infection tuberculeuse latente</w:t>
            </w:r>
          </w:p>
        </w:tc>
        <w:tc>
          <w:tcPr>
            <w:tcW w:w="1843" w:type="dxa"/>
            <w:vAlign w:val="center"/>
          </w:tcPr>
          <w:p w14:paraId="6BEE5C96" w14:textId="77777777" w:rsidR="003208BA" w:rsidRDefault="003208BA" w:rsidP="00A32E57">
            <w:pPr>
              <w:spacing w:line="276" w:lineRule="auto"/>
              <w:jc w:val="center"/>
            </w:pPr>
            <w:r>
              <w:t>Infection tuberculeuse latente</w:t>
            </w:r>
          </w:p>
        </w:tc>
      </w:tr>
      <w:tr w:rsidR="003208BA" w14:paraId="4656EFD4" w14:textId="77777777" w:rsidTr="00D73350">
        <w:tc>
          <w:tcPr>
            <w:tcW w:w="1740" w:type="dxa"/>
            <w:vAlign w:val="center"/>
          </w:tcPr>
          <w:p w14:paraId="17054EBE" w14:textId="77777777" w:rsidR="003208BA" w:rsidRDefault="003208BA" w:rsidP="00A32E57">
            <w:pPr>
              <w:spacing w:line="276" w:lineRule="auto"/>
              <w:jc w:val="center"/>
            </w:pPr>
          </w:p>
        </w:tc>
        <w:tc>
          <w:tcPr>
            <w:tcW w:w="1948" w:type="dxa"/>
            <w:vAlign w:val="center"/>
          </w:tcPr>
          <w:p w14:paraId="41AA8678" w14:textId="77777777" w:rsidR="003208BA" w:rsidRDefault="003208BA" w:rsidP="00A32E57">
            <w:pPr>
              <w:spacing w:line="276" w:lineRule="auto"/>
              <w:jc w:val="center"/>
            </w:pPr>
          </w:p>
        </w:tc>
        <w:tc>
          <w:tcPr>
            <w:tcW w:w="1836" w:type="dxa"/>
            <w:vAlign w:val="center"/>
          </w:tcPr>
          <w:p w14:paraId="45F59351" w14:textId="77777777" w:rsidR="003208BA" w:rsidRDefault="003208BA" w:rsidP="00A32E57">
            <w:pPr>
              <w:spacing w:line="276" w:lineRule="auto"/>
              <w:jc w:val="center"/>
            </w:pPr>
            <w:r>
              <w:t>Tuberculose maladie pulmonaire</w:t>
            </w:r>
          </w:p>
        </w:tc>
        <w:tc>
          <w:tcPr>
            <w:tcW w:w="1842" w:type="dxa"/>
            <w:vAlign w:val="center"/>
          </w:tcPr>
          <w:p w14:paraId="79216F93" w14:textId="77777777" w:rsidR="003208BA" w:rsidRDefault="003208BA" w:rsidP="00A32E57">
            <w:pPr>
              <w:spacing w:line="276" w:lineRule="auto"/>
              <w:jc w:val="center"/>
            </w:pPr>
            <w:r>
              <w:t>Tuberculose maladie extra-pulmonaire</w:t>
            </w:r>
          </w:p>
        </w:tc>
        <w:tc>
          <w:tcPr>
            <w:tcW w:w="1843" w:type="dxa"/>
            <w:vAlign w:val="center"/>
          </w:tcPr>
          <w:p w14:paraId="12C262DA" w14:textId="77777777" w:rsidR="003208BA" w:rsidRDefault="003208BA" w:rsidP="00A32E57">
            <w:pPr>
              <w:spacing w:line="276" w:lineRule="auto"/>
              <w:jc w:val="center"/>
            </w:pPr>
            <w:r>
              <w:t>Tuberculose maladie pulmonaire</w:t>
            </w:r>
          </w:p>
        </w:tc>
      </w:tr>
      <w:tr w:rsidR="003208BA" w14:paraId="3A287ED1" w14:textId="77777777" w:rsidTr="00D73350">
        <w:tc>
          <w:tcPr>
            <w:tcW w:w="1740" w:type="dxa"/>
            <w:vAlign w:val="center"/>
          </w:tcPr>
          <w:p w14:paraId="103B7F6B" w14:textId="77777777" w:rsidR="003208BA" w:rsidRDefault="003208BA" w:rsidP="00A32E57">
            <w:pPr>
              <w:spacing w:line="276" w:lineRule="auto"/>
              <w:jc w:val="center"/>
            </w:pPr>
          </w:p>
        </w:tc>
        <w:tc>
          <w:tcPr>
            <w:tcW w:w="1948" w:type="dxa"/>
            <w:vAlign w:val="center"/>
          </w:tcPr>
          <w:p w14:paraId="5593F8D2" w14:textId="77777777" w:rsidR="003208BA" w:rsidRDefault="003208BA" w:rsidP="00A32E57">
            <w:pPr>
              <w:spacing w:line="276" w:lineRule="auto"/>
              <w:jc w:val="center"/>
            </w:pPr>
          </w:p>
        </w:tc>
        <w:tc>
          <w:tcPr>
            <w:tcW w:w="1836" w:type="dxa"/>
            <w:vAlign w:val="center"/>
          </w:tcPr>
          <w:p w14:paraId="28BD7F09" w14:textId="77777777" w:rsidR="003208BA" w:rsidRDefault="003208BA" w:rsidP="00A32E57">
            <w:pPr>
              <w:spacing w:line="276" w:lineRule="auto"/>
              <w:jc w:val="center"/>
            </w:pPr>
            <w:r>
              <w:t>Décès</w:t>
            </w:r>
          </w:p>
        </w:tc>
        <w:tc>
          <w:tcPr>
            <w:tcW w:w="1842" w:type="dxa"/>
            <w:vAlign w:val="center"/>
          </w:tcPr>
          <w:p w14:paraId="08BF4195" w14:textId="77777777" w:rsidR="003208BA" w:rsidRDefault="003208BA" w:rsidP="00A32E57">
            <w:pPr>
              <w:spacing w:line="276" w:lineRule="auto"/>
              <w:jc w:val="center"/>
            </w:pPr>
          </w:p>
        </w:tc>
        <w:tc>
          <w:tcPr>
            <w:tcW w:w="1843" w:type="dxa"/>
            <w:vAlign w:val="center"/>
          </w:tcPr>
          <w:p w14:paraId="2C43A548" w14:textId="77777777" w:rsidR="003208BA" w:rsidRDefault="003208BA" w:rsidP="00A32E57">
            <w:pPr>
              <w:spacing w:line="276" w:lineRule="auto"/>
              <w:jc w:val="center"/>
            </w:pPr>
          </w:p>
        </w:tc>
      </w:tr>
    </w:tbl>
    <w:p w14:paraId="3E95F297" w14:textId="77777777" w:rsidR="003208BA" w:rsidRDefault="003208BA" w:rsidP="003208BA">
      <w:pPr>
        <w:pBdr>
          <w:top w:val="nil"/>
          <w:left w:val="nil"/>
          <w:bottom w:val="nil"/>
          <w:right w:val="nil"/>
          <w:between w:val="nil"/>
        </w:pBdr>
        <w:spacing w:before="80" w:line="276" w:lineRule="auto"/>
        <w:ind w:left="360"/>
        <w:jc w:val="left"/>
        <w:rPr>
          <w:b/>
          <w:bCs/>
        </w:rPr>
      </w:pPr>
    </w:p>
    <w:p w14:paraId="19885C74" w14:textId="77777777" w:rsidR="003208BA" w:rsidRDefault="003208BA">
      <w:pPr>
        <w:numPr>
          <w:ilvl w:val="0"/>
          <w:numId w:val="27"/>
        </w:numPr>
        <w:pBdr>
          <w:top w:val="nil"/>
          <w:left w:val="nil"/>
          <w:bottom w:val="nil"/>
          <w:right w:val="nil"/>
          <w:between w:val="nil"/>
        </w:pBdr>
        <w:spacing w:before="80" w:line="276" w:lineRule="auto"/>
        <w:jc w:val="left"/>
        <w:rPr>
          <w:b/>
          <w:bCs/>
        </w:rPr>
      </w:pPr>
      <w:r>
        <w:rPr>
          <w:b/>
          <w:bCs/>
        </w:rPr>
        <w:t>QROC</w:t>
      </w:r>
    </w:p>
    <w:p w14:paraId="1F4FA090" w14:textId="77777777" w:rsidR="003208BA" w:rsidRDefault="003208BA" w:rsidP="003208BA">
      <w:pPr>
        <w:spacing w:line="276" w:lineRule="auto"/>
      </w:pPr>
      <w:r>
        <w:t xml:space="preserve">Vous avez instauré un traitement antituberculeux classique associant isoniazide (INH) + rifampicine (RMP) + </w:t>
      </w:r>
      <w:proofErr w:type="spellStart"/>
      <w:r>
        <w:t>éthambutol</w:t>
      </w:r>
      <w:proofErr w:type="spellEnd"/>
      <w:r>
        <w:t xml:space="preserve"> (EMB) + </w:t>
      </w:r>
      <w:proofErr w:type="spellStart"/>
      <w:r>
        <w:t>pyrazinamide</w:t>
      </w:r>
      <w:proofErr w:type="spellEnd"/>
      <w:r>
        <w:t xml:space="preserve"> (PZA) pendant 2 mois, suivi par une bithérapie INH+RMP pendant 4 mois chez une femme de 32 ans présentant une tuberculose pulmonaire commune. Elle revient en consultation après son passage à la bithérapie. Elle vous dit qu’elle supporte parfaitement le traitement, mais qu’elle vient de découvrir qu’elle était enceinte. Modifiez-vous le traitement antituberculeux</w:t>
      </w:r>
      <w:r>
        <w:rPr>
          <w:rFonts w:ascii="Arial" w:eastAsia="Arial" w:hAnsi="Arial" w:cs="Arial"/>
        </w:rPr>
        <w:t> </w:t>
      </w:r>
      <w:r>
        <w:t>?</w:t>
      </w:r>
    </w:p>
    <w:p w14:paraId="4CCF86A9" w14:textId="77777777" w:rsidR="003208BA" w:rsidRDefault="003208BA" w:rsidP="003208BA">
      <w:pPr>
        <w:spacing w:line="276" w:lineRule="auto"/>
      </w:pPr>
    </w:p>
    <w:p w14:paraId="0CEA0D52" w14:textId="77777777" w:rsidR="009831F3" w:rsidRDefault="009831F3">
      <w:pPr>
        <w:spacing w:after="160"/>
        <w:jc w:val="left"/>
        <w:rPr>
          <w:b/>
          <w:bCs/>
          <w:color w:val="0070C0"/>
        </w:rPr>
      </w:pPr>
      <w:r>
        <w:rPr>
          <w:b/>
          <w:bCs/>
          <w:color w:val="0070C0"/>
        </w:rPr>
        <w:br w:type="page"/>
      </w:r>
    </w:p>
    <w:p w14:paraId="506DCCC6" w14:textId="520B0C77" w:rsidR="003208BA" w:rsidRDefault="003208BA" w:rsidP="003208BA">
      <w:pPr>
        <w:keepNext/>
        <w:pBdr>
          <w:top w:val="nil"/>
          <w:left w:val="nil"/>
          <w:bottom w:val="nil"/>
          <w:right w:val="nil"/>
          <w:between w:val="nil"/>
        </w:pBdr>
        <w:tabs>
          <w:tab w:val="left" w:pos="284"/>
        </w:tabs>
        <w:spacing w:before="60" w:line="276" w:lineRule="auto"/>
        <w:rPr>
          <w:b/>
          <w:bCs/>
          <w:color w:val="0070C0"/>
        </w:rPr>
      </w:pPr>
      <w:r>
        <w:rPr>
          <w:b/>
          <w:bCs/>
          <w:color w:val="0070C0"/>
        </w:rPr>
        <w:lastRenderedPageBreak/>
        <w:t>DCP</w:t>
      </w:r>
    </w:p>
    <w:p w14:paraId="1F55976E" w14:textId="77777777" w:rsidR="003208BA" w:rsidRDefault="003208BA">
      <w:pPr>
        <w:numPr>
          <w:ilvl w:val="0"/>
          <w:numId w:val="27"/>
        </w:numPr>
        <w:pBdr>
          <w:top w:val="nil"/>
          <w:left w:val="nil"/>
          <w:bottom w:val="nil"/>
          <w:right w:val="nil"/>
          <w:between w:val="nil"/>
        </w:pBdr>
        <w:spacing w:before="80" w:line="276" w:lineRule="auto"/>
        <w:jc w:val="left"/>
        <w:rPr>
          <w:b/>
          <w:bCs/>
        </w:rPr>
      </w:pPr>
      <w:r>
        <w:rPr>
          <w:b/>
          <w:bCs/>
        </w:rPr>
        <w:t xml:space="preserve">QRM </w:t>
      </w:r>
    </w:p>
    <w:p w14:paraId="319F2616" w14:textId="77777777" w:rsidR="003208BA" w:rsidRDefault="003208BA" w:rsidP="003208BA">
      <w:pPr>
        <w:spacing w:line="276" w:lineRule="auto"/>
      </w:pPr>
      <w:r>
        <w:t>Un homme de 39 ans consulte, car le traitement de 1</w:t>
      </w:r>
      <w:r>
        <w:rPr>
          <w:vertAlign w:val="superscript"/>
        </w:rPr>
        <w:t>re</w:t>
      </w:r>
      <w:r>
        <w:t xml:space="preserve"> ligne (amoxicilline) et de 2</w:t>
      </w:r>
      <w:r>
        <w:rPr>
          <w:vertAlign w:val="superscript"/>
        </w:rPr>
        <w:t>e</w:t>
      </w:r>
      <w:r>
        <w:t xml:space="preserve"> ligne (macrolide) mis en place pour une pneumonie communautaire d’allure banale est inefficace.</w:t>
      </w:r>
    </w:p>
    <w:p w14:paraId="4184ECA3" w14:textId="77777777" w:rsidR="003208BA" w:rsidRDefault="003208BA" w:rsidP="003208BA">
      <w:pPr>
        <w:spacing w:line="276" w:lineRule="auto"/>
      </w:pPr>
      <w:r>
        <w:t>Voici son cliché de thorax complété par un scanner thoracique.</w:t>
      </w:r>
    </w:p>
    <w:p w14:paraId="23771078" w14:textId="77777777" w:rsidR="003208BA" w:rsidRDefault="003208BA" w:rsidP="003208BA">
      <w:pPr>
        <w:spacing w:line="276" w:lineRule="auto"/>
        <w:jc w:val="center"/>
      </w:pPr>
      <w:r>
        <w:rPr>
          <w:noProof/>
        </w:rPr>
        <w:drawing>
          <wp:inline distT="0" distB="0" distL="0" distR="0" wp14:anchorId="59E35000" wp14:editId="0080E546">
            <wp:extent cx="4428000" cy="2491725"/>
            <wp:effectExtent l="0" t="0" r="0" b="0"/>
            <wp:docPr id="20" name="image7.jpg" descr="Une image contenant film radiographique, Imagerie médicale, radiologie, radiographi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7.jpg" descr="Une image contenant film radiographique, Imagerie médicale, radiologie, radiographie&#10;&#10;Description générée automatiquement"/>
                    <pic:cNvPicPr preferRelativeResize="0"/>
                  </pic:nvPicPr>
                  <pic:blipFill>
                    <a:blip r:embed="rId31"/>
                    <a:srcRect/>
                    <a:stretch>
                      <a:fillRect/>
                    </a:stretch>
                  </pic:blipFill>
                  <pic:spPr>
                    <a:xfrm>
                      <a:off x="0" y="0"/>
                      <a:ext cx="4428000" cy="2491725"/>
                    </a:xfrm>
                    <a:prstGeom prst="rect">
                      <a:avLst/>
                    </a:prstGeom>
                    <a:ln/>
                  </pic:spPr>
                </pic:pic>
              </a:graphicData>
            </a:graphic>
          </wp:inline>
        </w:drawing>
      </w:r>
    </w:p>
    <w:p w14:paraId="29BF8A9C" w14:textId="77777777" w:rsidR="003208BA" w:rsidRDefault="003208BA" w:rsidP="003208BA">
      <w:pPr>
        <w:spacing w:line="276" w:lineRule="auto"/>
      </w:pPr>
      <w:r>
        <w:t>Quelle(s) affirmation(s) est/sont juste(s) concernant cette imagerie</w:t>
      </w:r>
      <w:r>
        <w:rPr>
          <w:rFonts w:ascii="Arial" w:eastAsia="Arial" w:hAnsi="Arial" w:cs="Arial"/>
        </w:rPr>
        <w:t> </w:t>
      </w:r>
      <w:r>
        <w:t>?</w:t>
      </w:r>
    </w:p>
    <w:p w14:paraId="3435534C" w14:textId="77777777" w:rsidR="003208BA" w:rsidRDefault="003208BA">
      <w:pPr>
        <w:numPr>
          <w:ilvl w:val="0"/>
          <w:numId w:val="25"/>
        </w:numPr>
        <w:pBdr>
          <w:top w:val="nil"/>
          <w:left w:val="nil"/>
          <w:bottom w:val="nil"/>
          <w:right w:val="nil"/>
          <w:between w:val="nil"/>
        </w:pBdr>
        <w:spacing w:line="276" w:lineRule="auto"/>
      </w:pPr>
      <w:r>
        <w:t>Condensation alvéolaire lobaire supérieur droite</w:t>
      </w:r>
    </w:p>
    <w:p w14:paraId="7CC94F2A" w14:textId="77777777" w:rsidR="003208BA" w:rsidRDefault="003208BA">
      <w:pPr>
        <w:numPr>
          <w:ilvl w:val="0"/>
          <w:numId w:val="25"/>
        </w:numPr>
        <w:pBdr>
          <w:top w:val="nil"/>
          <w:left w:val="nil"/>
          <w:bottom w:val="nil"/>
          <w:right w:val="nil"/>
          <w:between w:val="nil"/>
        </w:pBdr>
        <w:spacing w:line="276" w:lineRule="auto"/>
      </w:pPr>
      <w:r>
        <w:t>Infiltrats du lobe supérieur droit</w:t>
      </w:r>
    </w:p>
    <w:p w14:paraId="51EF062D" w14:textId="77777777" w:rsidR="003208BA" w:rsidRDefault="003208BA">
      <w:pPr>
        <w:numPr>
          <w:ilvl w:val="0"/>
          <w:numId w:val="25"/>
        </w:numPr>
        <w:pBdr>
          <w:top w:val="nil"/>
          <w:left w:val="nil"/>
          <w:bottom w:val="nil"/>
          <w:right w:val="nil"/>
          <w:between w:val="nil"/>
        </w:pBdr>
        <w:spacing w:line="276" w:lineRule="auto"/>
      </w:pPr>
      <w:r>
        <w:t>Nodules excavés bilatéraux</w:t>
      </w:r>
    </w:p>
    <w:p w14:paraId="59CCD95E" w14:textId="77777777" w:rsidR="003208BA" w:rsidRDefault="003208BA">
      <w:pPr>
        <w:numPr>
          <w:ilvl w:val="0"/>
          <w:numId w:val="25"/>
        </w:numPr>
        <w:pBdr>
          <w:top w:val="nil"/>
          <w:left w:val="nil"/>
          <w:bottom w:val="nil"/>
          <w:right w:val="nil"/>
          <w:between w:val="nil"/>
        </w:pBdr>
        <w:spacing w:line="276" w:lineRule="auto"/>
      </w:pPr>
      <w:r>
        <w:t>Opacité systématisée non rétractile lobaire supérieure droite</w:t>
      </w:r>
    </w:p>
    <w:p w14:paraId="22BBD001" w14:textId="77777777" w:rsidR="003208BA" w:rsidRDefault="003208BA">
      <w:pPr>
        <w:numPr>
          <w:ilvl w:val="0"/>
          <w:numId w:val="25"/>
        </w:numPr>
        <w:pBdr>
          <w:top w:val="nil"/>
          <w:left w:val="nil"/>
          <w:bottom w:val="nil"/>
          <w:right w:val="nil"/>
          <w:between w:val="nil"/>
        </w:pBdr>
        <w:spacing w:line="276" w:lineRule="auto"/>
      </w:pPr>
      <w:r>
        <w:t>Présence d’un bronchogramme aérien</w:t>
      </w:r>
    </w:p>
    <w:p w14:paraId="1A277C93" w14:textId="77777777" w:rsidR="003208BA" w:rsidRDefault="003208BA" w:rsidP="003208BA">
      <w:pPr>
        <w:pBdr>
          <w:top w:val="nil"/>
          <w:left w:val="nil"/>
          <w:bottom w:val="nil"/>
          <w:right w:val="nil"/>
          <w:between w:val="nil"/>
        </w:pBdr>
        <w:spacing w:line="276" w:lineRule="auto"/>
        <w:ind w:left="720"/>
      </w:pPr>
    </w:p>
    <w:p w14:paraId="77E2CE71" w14:textId="77777777" w:rsidR="003208BA" w:rsidRDefault="003208BA">
      <w:pPr>
        <w:numPr>
          <w:ilvl w:val="0"/>
          <w:numId w:val="27"/>
        </w:numPr>
        <w:pBdr>
          <w:top w:val="nil"/>
          <w:left w:val="nil"/>
          <w:bottom w:val="nil"/>
          <w:right w:val="nil"/>
          <w:between w:val="nil"/>
        </w:pBdr>
        <w:spacing w:before="80" w:line="276" w:lineRule="auto"/>
        <w:jc w:val="left"/>
        <w:rPr>
          <w:b/>
          <w:bCs/>
        </w:rPr>
      </w:pPr>
      <w:r>
        <w:rPr>
          <w:b/>
          <w:bCs/>
        </w:rPr>
        <w:t>QROC</w:t>
      </w:r>
    </w:p>
    <w:p w14:paraId="5316CA59" w14:textId="77777777" w:rsidR="003208BA" w:rsidRDefault="003208BA" w:rsidP="003208BA">
      <w:pPr>
        <w:spacing w:line="276" w:lineRule="auto"/>
      </w:pPr>
      <w:r>
        <w:t xml:space="preserve">L’absence de réponse à un traitement antibiotique bien conduit fait suspecter une tuberculose. L’examen des expectorations et du produit d’aspiration par bronchoscopie souple sont restés négatifs. Finalement une nouvelle bronchoscopie est pratiquée pour réalisation de biopsies </w:t>
      </w:r>
      <w:proofErr w:type="spellStart"/>
      <w:r>
        <w:t>transbronchiques</w:t>
      </w:r>
      <w:proofErr w:type="spellEnd"/>
      <w:r>
        <w:t>, dont le résultat est le suivant : «</w:t>
      </w:r>
      <w:r>
        <w:rPr>
          <w:rFonts w:ascii="Arial" w:eastAsia="Arial" w:hAnsi="Arial" w:cs="Arial"/>
        </w:rPr>
        <w:t> </w:t>
      </w:r>
      <w:r>
        <w:t xml:space="preserve">- parenchyme pulmonaire remanié par un large territoire de nécrose éosinophile, </w:t>
      </w:r>
      <w:proofErr w:type="spellStart"/>
      <w:r>
        <w:t>focalement</w:t>
      </w:r>
      <w:proofErr w:type="spellEnd"/>
      <w:r>
        <w:t xml:space="preserve"> d’allure ischémique, pouvant être compatible avec une nécrose de type caséeux. Il n’a pas été observé de granulome macrophagique ou de cellules géantes multinucléées. Il n’a pas été observé de territoire suspect de malignité. Les colorations spéciales de Ziehl n’ont pas permis de mettre en évidence d’agent pathogène, notamment de mycobactéries</w:t>
      </w:r>
      <w:r>
        <w:rPr>
          <w:rFonts w:ascii="Arial" w:eastAsia="Arial" w:hAnsi="Arial" w:cs="Arial"/>
        </w:rPr>
        <w:t> </w:t>
      </w:r>
      <w:r>
        <w:t>». Ce résultat élimine-t-il une lésion tuberculeuse</w:t>
      </w:r>
      <w:r>
        <w:rPr>
          <w:rFonts w:ascii="Arial" w:eastAsia="Arial" w:hAnsi="Arial" w:cs="Arial"/>
        </w:rPr>
        <w:t> </w:t>
      </w:r>
      <w:r>
        <w:t>?</w:t>
      </w:r>
    </w:p>
    <w:p w14:paraId="4C71F0BA" w14:textId="4A2CE909" w:rsidR="003208BA" w:rsidRDefault="009831F3" w:rsidP="009831F3">
      <w:pPr>
        <w:spacing w:after="160"/>
        <w:jc w:val="left"/>
      </w:pPr>
      <w:r>
        <w:br w:type="page"/>
      </w:r>
    </w:p>
    <w:p w14:paraId="1D8C6A59" w14:textId="77777777" w:rsidR="003208BA" w:rsidRDefault="003208BA">
      <w:pPr>
        <w:numPr>
          <w:ilvl w:val="0"/>
          <w:numId w:val="27"/>
        </w:numPr>
        <w:pBdr>
          <w:top w:val="nil"/>
          <w:left w:val="nil"/>
          <w:bottom w:val="nil"/>
          <w:right w:val="nil"/>
          <w:between w:val="nil"/>
        </w:pBdr>
        <w:spacing w:before="80" w:line="276" w:lineRule="auto"/>
        <w:jc w:val="left"/>
        <w:rPr>
          <w:b/>
          <w:bCs/>
        </w:rPr>
      </w:pPr>
      <w:r>
        <w:rPr>
          <w:b/>
          <w:bCs/>
        </w:rPr>
        <w:lastRenderedPageBreak/>
        <w:t xml:space="preserve">QRU </w:t>
      </w:r>
    </w:p>
    <w:p w14:paraId="2ED8958D" w14:textId="77777777" w:rsidR="003208BA" w:rsidRDefault="003208BA" w:rsidP="003208BA">
      <w:pPr>
        <w:spacing w:line="276" w:lineRule="auto"/>
      </w:pPr>
      <w:bookmarkStart w:id="4" w:name="_heading=h.gwxqer5hnevl" w:colFirst="0" w:colLast="0"/>
      <w:bookmarkEnd w:id="4"/>
      <w:r>
        <w:t>Un patient âgé de 35 ans consulte, car il tousse depuis maintenant près de deux mois. Cette toux n’est pas productive. Au cours de ces deux derniers mois, il vous dit avoir perdu 1 kg. Cette toux l’a conduit à diminuer son tabagisme qui est passé de deux paquets/jour à un paquet/jour. Devant cette toux chronique vous prescrivez la réalisation d’un cliché de thorax que voici :</w:t>
      </w:r>
    </w:p>
    <w:p w14:paraId="45EE050F" w14:textId="77777777" w:rsidR="003208BA" w:rsidRDefault="003208BA" w:rsidP="003208BA">
      <w:pPr>
        <w:spacing w:line="276" w:lineRule="auto"/>
        <w:jc w:val="center"/>
      </w:pPr>
      <w:r>
        <w:rPr>
          <w:noProof/>
        </w:rPr>
        <w:drawing>
          <wp:inline distT="0" distB="0" distL="0" distR="0" wp14:anchorId="6BE856AA" wp14:editId="4B51A65A">
            <wp:extent cx="3564000" cy="3769603"/>
            <wp:effectExtent l="0" t="0" r="0" b="0"/>
            <wp:docPr id="21" name="image6.png" descr="Une image contenant film radiographique, nature, chute d’eau, flou&#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6.png" descr="Une image contenant film radiographique, nature, chute d’eau, flou&#10;&#10;Description générée automatiquement"/>
                    <pic:cNvPicPr preferRelativeResize="0"/>
                  </pic:nvPicPr>
                  <pic:blipFill>
                    <a:blip r:embed="rId32"/>
                    <a:srcRect/>
                    <a:stretch>
                      <a:fillRect/>
                    </a:stretch>
                  </pic:blipFill>
                  <pic:spPr>
                    <a:xfrm>
                      <a:off x="0" y="0"/>
                      <a:ext cx="3564000" cy="3769603"/>
                    </a:xfrm>
                    <a:prstGeom prst="rect">
                      <a:avLst/>
                    </a:prstGeom>
                    <a:ln/>
                  </pic:spPr>
                </pic:pic>
              </a:graphicData>
            </a:graphic>
          </wp:inline>
        </w:drawing>
      </w:r>
    </w:p>
    <w:p w14:paraId="5744EB30" w14:textId="77777777" w:rsidR="003208BA" w:rsidRDefault="003208BA" w:rsidP="003208BA">
      <w:pPr>
        <w:spacing w:line="276" w:lineRule="auto"/>
      </w:pPr>
    </w:p>
    <w:p w14:paraId="09FF6902" w14:textId="77777777" w:rsidR="003208BA" w:rsidRDefault="003208BA" w:rsidP="003208BA">
      <w:pPr>
        <w:spacing w:line="276" w:lineRule="auto"/>
      </w:pPr>
      <w:r>
        <w:t>Quelle est l’hypothèse diagnostique la plus probable</w:t>
      </w:r>
      <w:r>
        <w:rPr>
          <w:rFonts w:ascii="Arial" w:eastAsia="Arial" w:hAnsi="Arial" w:cs="Arial"/>
        </w:rPr>
        <w:t> </w:t>
      </w:r>
      <w:r>
        <w:t>?</w:t>
      </w:r>
    </w:p>
    <w:p w14:paraId="266C19AA" w14:textId="77777777" w:rsidR="003208BA" w:rsidRDefault="003208BA">
      <w:pPr>
        <w:numPr>
          <w:ilvl w:val="0"/>
          <w:numId w:val="26"/>
        </w:numPr>
        <w:spacing w:line="276" w:lineRule="auto"/>
      </w:pPr>
      <w:r>
        <w:t>Pneumonie franche lobaire aiguë</w:t>
      </w:r>
    </w:p>
    <w:p w14:paraId="1C21617B" w14:textId="77777777" w:rsidR="003208BA" w:rsidRDefault="003208BA">
      <w:pPr>
        <w:numPr>
          <w:ilvl w:val="0"/>
          <w:numId w:val="26"/>
        </w:numPr>
        <w:spacing w:line="276" w:lineRule="auto"/>
      </w:pPr>
      <w:r>
        <w:t>Exacerbation de BPCO</w:t>
      </w:r>
    </w:p>
    <w:p w14:paraId="47A5738A" w14:textId="77777777" w:rsidR="003208BA" w:rsidRDefault="003208BA">
      <w:pPr>
        <w:numPr>
          <w:ilvl w:val="0"/>
          <w:numId w:val="26"/>
        </w:numPr>
        <w:spacing w:line="276" w:lineRule="auto"/>
      </w:pPr>
      <w:r>
        <w:t>Toux sur probable reflux gastro-œsophagien.</w:t>
      </w:r>
    </w:p>
    <w:p w14:paraId="314E5664" w14:textId="77777777" w:rsidR="003208BA" w:rsidRDefault="003208BA">
      <w:pPr>
        <w:numPr>
          <w:ilvl w:val="0"/>
          <w:numId w:val="26"/>
        </w:numPr>
        <w:spacing w:line="276" w:lineRule="auto"/>
      </w:pPr>
      <w:r>
        <w:t>Tuberculose</w:t>
      </w:r>
    </w:p>
    <w:p w14:paraId="25550B54" w14:textId="77777777" w:rsidR="003208BA" w:rsidRDefault="003208BA">
      <w:pPr>
        <w:numPr>
          <w:ilvl w:val="0"/>
          <w:numId w:val="26"/>
        </w:numPr>
        <w:spacing w:line="276" w:lineRule="auto"/>
      </w:pPr>
      <w:r>
        <w:t>Cancer pulmonaire avec métastases pulmonaires</w:t>
      </w:r>
    </w:p>
    <w:p w14:paraId="4AA0568E" w14:textId="77777777" w:rsidR="003208BA" w:rsidRDefault="003208BA" w:rsidP="003208BA">
      <w:pPr>
        <w:spacing w:line="276" w:lineRule="auto"/>
        <w:jc w:val="left"/>
        <w:rPr>
          <w:b/>
          <w:bCs/>
          <w:color w:val="0F4761"/>
        </w:rPr>
      </w:pPr>
      <w:r>
        <w:br w:type="page"/>
      </w:r>
    </w:p>
    <w:p w14:paraId="0425528B" w14:textId="77777777" w:rsidR="003208BA" w:rsidRDefault="003208BA" w:rsidP="003208BA">
      <w:pPr>
        <w:spacing w:line="276" w:lineRule="auto"/>
        <w:rPr>
          <w:b/>
          <w:bCs/>
          <w:smallCaps/>
          <w:color w:val="0070C0"/>
        </w:rPr>
      </w:pPr>
      <w:r>
        <w:rPr>
          <w:b/>
          <w:bCs/>
          <w:smallCaps/>
          <w:color w:val="0070C0"/>
        </w:rPr>
        <w:lastRenderedPageBreak/>
        <w:t>RÉPONSES</w:t>
      </w:r>
    </w:p>
    <w:p w14:paraId="26DC4084" w14:textId="77777777" w:rsidR="003208BA" w:rsidRDefault="003208BA" w:rsidP="003208BA">
      <w:pPr>
        <w:spacing w:line="276" w:lineRule="auto"/>
        <w:rPr>
          <w:b/>
          <w:bCs/>
          <w:smallCaps/>
          <w:color w:val="0070C0"/>
        </w:rPr>
      </w:pPr>
    </w:p>
    <w:p w14:paraId="6AA3CD42" w14:textId="77777777" w:rsidR="003208BA" w:rsidRDefault="003208BA">
      <w:pPr>
        <w:numPr>
          <w:ilvl w:val="0"/>
          <w:numId w:val="28"/>
        </w:numPr>
        <w:pBdr>
          <w:top w:val="nil"/>
          <w:left w:val="nil"/>
          <w:bottom w:val="nil"/>
          <w:right w:val="nil"/>
          <w:between w:val="nil"/>
        </w:pBdr>
        <w:spacing w:before="80" w:line="276" w:lineRule="auto"/>
        <w:jc w:val="left"/>
        <w:rPr>
          <w:b/>
          <w:bCs/>
        </w:rPr>
      </w:pPr>
      <w:r>
        <w:rPr>
          <w:b/>
          <w:bCs/>
        </w:rPr>
        <w:t>QRU</w:t>
      </w:r>
    </w:p>
    <w:p w14:paraId="29065DDB" w14:textId="77777777" w:rsidR="003208BA" w:rsidRDefault="003208BA" w:rsidP="003208BA">
      <w:pPr>
        <w:spacing w:line="276" w:lineRule="auto"/>
      </w:pPr>
      <w:r>
        <w:t>Réponse : C</w:t>
      </w:r>
    </w:p>
    <w:p w14:paraId="6FE73605" w14:textId="77777777" w:rsidR="009831F3" w:rsidRDefault="003208BA" w:rsidP="003208BA">
      <w:pPr>
        <w:spacing w:line="276" w:lineRule="auto"/>
      </w:pPr>
      <w:r>
        <w:t xml:space="preserve">Commentaire : </w:t>
      </w:r>
    </w:p>
    <w:p w14:paraId="744B5E37" w14:textId="7627CCC2" w:rsidR="003208BA" w:rsidRDefault="003208BA" w:rsidP="003208BA">
      <w:pPr>
        <w:spacing w:line="276" w:lineRule="auto"/>
      </w:pPr>
      <w:r>
        <w:t>La déclaration obligatoire est à adresser à la l’ARS qui l’adresse à des fins épidémiologiques à «</w:t>
      </w:r>
      <w:r>
        <w:rPr>
          <w:rFonts w:ascii="Arial" w:eastAsia="Arial" w:hAnsi="Arial" w:cs="Arial"/>
        </w:rPr>
        <w:t> </w:t>
      </w:r>
      <w:r>
        <w:t>Santé publique France</w:t>
      </w:r>
      <w:r>
        <w:rPr>
          <w:rFonts w:ascii="Arial" w:eastAsia="Arial" w:hAnsi="Arial" w:cs="Arial"/>
        </w:rPr>
        <w:t> </w:t>
      </w:r>
      <w:r>
        <w:t>», anciennement Institut National de Veille Sanitaire.</w:t>
      </w:r>
    </w:p>
    <w:p w14:paraId="0A6A6503" w14:textId="77777777" w:rsidR="003208BA" w:rsidRDefault="003208BA" w:rsidP="003208BA">
      <w:pPr>
        <w:spacing w:line="276" w:lineRule="auto"/>
      </w:pPr>
      <w:r>
        <w:t>Le signalement nominatif se fait auprès du CLAT. La déclaration de fin de traitement s’adresse à l’ARS. Lorsqu’on diagnostique un cas index contagieux on considère qu’il est contagieux depuis trois mois et l’enquête concernera donc les «</w:t>
      </w:r>
      <w:r>
        <w:rPr>
          <w:rFonts w:ascii="Arial" w:eastAsia="Arial" w:hAnsi="Arial" w:cs="Arial"/>
        </w:rPr>
        <w:t> </w:t>
      </w:r>
      <w:r>
        <w:t>contacts étroits</w:t>
      </w:r>
      <w:r>
        <w:rPr>
          <w:rFonts w:ascii="Arial" w:eastAsia="Arial" w:hAnsi="Arial" w:cs="Arial"/>
        </w:rPr>
        <w:t> </w:t>
      </w:r>
      <w:r>
        <w:t>» des trois derniers mois.</w:t>
      </w:r>
    </w:p>
    <w:p w14:paraId="2EB1CF7A" w14:textId="77777777" w:rsidR="003208BA" w:rsidRDefault="003208BA" w:rsidP="003208BA">
      <w:pPr>
        <w:spacing w:line="276" w:lineRule="auto"/>
      </w:pPr>
    </w:p>
    <w:p w14:paraId="76713550" w14:textId="77777777" w:rsidR="003208BA" w:rsidRDefault="003208BA">
      <w:pPr>
        <w:numPr>
          <w:ilvl w:val="0"/>
          <w:numId w:val="28"/>
        </w:numPr>
        <w:pBdr>
          <w:top w:val="nil"/>
          <w:left w:val="nil"/>
          <w:bottom w:val="nil"/>
          <w:right w:val="nil"/>
          <w:between w:val="nil"/>
        </w:pBdr>
        <w:spacing w:before="80" w:line="276" w:lineRule="auto"/>
        <w:jc w:val="left"/>
        <w:rPr>
          <w:b/>
          <w:bCs/>
        </w:rPr>
      </w:pPr>
      <w:r>
        <w:rPr>
          <w:b/>
          <w:bCs/>
        </w:rPr>
        <w:t>QRU</w:t>
      </w:r>
    </w:p>
    <w:p w14:paraId="70172E87" w14:textId="77777777" w:rsidR="003208BA" w:rsidRDefault="003208BA" w:rsidP="003208BA">
      <w:pPr>
        <w:spacing w:line="276" w:lineRule="auto"/>
      </w:pPr>
      <w:r>
        <w:t>Réponse : Séquence C</w:t>
      </w:r>
    </w:p>
    <w:p w14:paraId="12AF4425" w14:textId="77777777" w:rsidR="009831F3" w:rsidRDefault="003208BA" w:rsidP="003208BA">
      <w:pPr>
        <w:spacing w:line="276" w:lineRule="auto"/>
      </w:pPr>
      <w:r>
        <w:t xml:space="preserve">Commentaire : </w:t>
      </w:r>
    </w:p>
    <w:p w14:paraId="4460E39C" w14:textId="68D60918" w:rsidR="003208BA" w:rsidRDefault="009831F3" w:rsidP="003208BA">
      <w:pPr>
        <w:spacing w:line="276" w:lineRule="auto"/>
      </w:pPr>
      <w:r>
        <w:t>L</w:t>
      </w:r>
      <w:r w:rsidR="003208BA">
        <w:t>e seul piège est la séquence C. La séquence est juste, sauf le décès. La plupart de cas de tuberculose dans le monde ne conduisent pas au décès. Même en l’absence de traitement antituberculeux certains patients survivent avec des séquelles pulmonaires plus ou moins sévères.</w:t>
      </w:r>
    </w:p>
    <w:p w14:paraId="5408A72B" w14:textId="77777777" w:rsidR="003208BA" w:rsidRDefault="003208BA" w:rsidP="003208BA">
      <w:pPr>
        <w:spacing w:line="276" w:lineRule="auto"/>
      </w:pPr>
    </w:p>
    <w:p w14:paraId="6B02121B" w14:textId="77777777" w:rsidR="003208BA" w:rsidRDefault="003208BA">
      <w:pPr>
        <w:numPr>
          <w:ilvl w:val="0"/>
          <w:numId w:val="28"/>
        </w:numPr>
        <w:pBdr>
          <w:top w:val="nil"/>
          <w:left w:val="nil"/>
          <w:bottom w:val="nil"/>
          <w:right w:val="nil"/>
          <w:between w:val="nil"/>
        </w:pBdr>
        <w:spacing w:before="80" w:line="276" w:lineRule="auto"/>
        <w:jc w:val="left"/>
        <w:rPr>
          <w:b/>
          <w:bCs/>
        </w:rPr>
      </w:pPr>
      <w:r>
        <w:rPr>
          <w:b/>
          <w:bCs/>
        </w:rPr>
        <w:t>QROC</w:t>
      </w:r>
    </w:p>
    <w:p w14:paraId="497D8ED1" w14:textId="77777777" w:rsidR="003208BA" w:rsidRDefault="003208BA" w:rsidP="003208BA">
      <w:pPr>
        <w:spacing w:line="276" w:lineRule="auto"/>
      </w:pPr>
      <w:r>
        <w:t>Réponse : non</w:t>
      </w:r>
    </w:p>
    <w:p w14:paraId="68B7D8AD" w14:textId="77777777" w:rsidR="009831F3" w:rsidRDefault="003208BA" w:rsidP="003208BA">
      <w:pPr>
        <w:spacing w:line="276" w:lineRule="auto"/>
      </w:pPr>
      <w:r>
        <w:t xml:space="preserve">Commentaire : </w:t>
      </w:r>
    </w:p>
    <w:p w14:paraId="70DCCF40" w14:textId="5BEAAA8B" w:rsidR="003208BA" w:rsidRDefault="009831F3" w:rsidP="003208BA">
      <w:pPr>
        <w:spacing w:line="276" w:lineRule="auto"/>
      </w:pPr>
      <w:r>
        <w:t>L</w:t>
      </w:r>
      <w:r w:rsidR="003208BA">
        <w:t>e traitement antibiotique de la tuberculose de la femme enceinte ne diffère pas du traitement classique. Une vitaminothérapie B6 est ajoutée en adjuvant pour prévenir les polyneuropathies.</w:t>
      </w:r>
    </w:p>
    <w:p w14:paraId="6207B698" w14:textId="77777777" w:rsidR="003208BA" w:rsidRDefault="003208BA" w:rsidP="003208BA">
      <w:pPr>
        <w:spacing w:line="276" w:lineRule="auto"/>
      </w:pPr>
    </w:p>
    <w:p w14:paraId="5CF4D83B" w14:textId="77777777" w:rsidR="003208BA" w:rsidRDefault="003208BA" w:rsidP="003208BA">
      <w:pPr>
        <w:keepNext/>
        <w:pBdr>
          <w:top w:val="nil"/>
          <w:left w:val="nil"/>
          <w:bottom w:val="nil"/>
          <w:right w:val="nil"/>
          <w:between w:val="nil"/>
        </w:pBdr>
        <w:tabs>
          <w:tab w:val="left" w:pos="284"/>
        </w:tabs>
        <w:spacing w:before="60" w:line="276" w:lineRule="auto"/>
        <w:rPr>
          <w:b/>
          <w:bCs/>
          <w:color w:val="0070C0"/>
        </w:rPr>
      </w:pPr>
      <w:r>
        <w:rPr>
          <w:b/>
          <w:bCs/>
          <w:color w:val="0070C0"/>
        </w:rPr>
        <w:t>DCP</w:t>
      </w:r>
    </w:p>
    <w:p w14:paraId="381848AB" w14:textId="77777777" w:rsidR="003208BA" w:rsidRDefault="003208BA">
      <w:pPr>
        <w:numPr>
          <w:ilvl w:val="0"/>
          <w:numId w:val="28"/>
        </w:numPr>
        <w:pBdr>
          <w:top w:val="nil"/>
          <w:left w:val="nil"/>
          <w:bottom w:val="nil"/>
          <w:right w:val="nil"/>
          <w:between w:val="nil"/>
        </w:pBdr>
        <w:spacing w:before="80" w:line="276" w:lineRule="auto"/>
        <w:jc w:val="left"/>
        <w:rPr>
          <w:b/>
          <w:bCs/>
        </w:rPr>
      </w:pPr>
      <w:r>
        <w:rPr>
          <w:b/>
          <w:bCs/>
        </w:rPr>
        <w:t xml:space="preserve">QRM </w:t>
      </w:r>
    </w:p>
    <w:p w14:paraId="16A89DEB" w14:textId="77777777" w:rsidR="003208BA" w:rsidRDefault="003208BA" w:rsidP="003208BA">
      <w:pPr>
        <w:spacing w:line="276" w:lineRule="auto"/>
      </w:pPr>
      <w:r>
        <w:t>Réponse : ABDE</w:t>
      </w:r>
    </w:p>
    <w:p w14:paraId="5DBEF305" w14:textId="77777777" w:rsidR="003208BA" w:rsidRDefault="003208BA" w:rsidP="003208BA">
      <w:pPr>
        <w:spacing w:line="276" w:lineRule="auto"/>
      </w:pPr>
    </w:p>
    <w:p w14:paraId="017DFEEE" w14:textId="77777777" w:rsidR="003208BA" w:rsidRDefault="003208BA">
      <w:pPr>
        <w:numPr>
          <w:ilvl w:val="0"/>
          <w:numId w:val="28"/>
        </w:numPr>
        <w:pBdr>
          <w:top w:val="nil"/>
          <w:left w:val="nil"/>
          <w:bottom w:val="nil"/>
          <w:right w:val="nil"/>
          <w:between w:val="nil"/>
        </w:pBdr>
        <w:spacing w:before="80" w:line="276" w:lineRule="auto"/>
        <w:jc w:val="left"/>
        <w:rPr>
          <w:b/>
          <w:bCs/>
        </w:rPr>
      </w:pPr>
      <w:r>
        <w:rPr>
          <w:b/>
          <w:bCs/>
        </w:rPr>
        <w:t>QROC</w:t>
      </w:r>
    </w:p>
    <w:p w14:paraId="59A9AA74" w14:textId="77777777" w:rsidR="003208BA" w:rsidRDefault="003208BA" w:rsidP="003208BA">
      <w:pPr>
        <w:spacing w:line="276" w:lineRule="auto"/>
      </w:pPr>
      <w:r>
        <w:t>Réponse : non</w:t>
      </w:r>
    </w:p>
    <w:p w14:paraId="5CFD149C" w14:textId="77777777" w:rsidR="003208BA" w:rsidRDefault="003208BA" w:rsidP="003208BA">
      <w:pPr>
        <w:spacing w:line="276" w:lineRule="auto"/>
      </w:pPr>
    </w:p>
    <w:p w14:paraId="740C7C43" w14:textId="77777777" w:rsidR="003208BA" w:rsidRDefault="003208BA">
      <w:pPr>
        <w:numPr>
          <w:ilvl w:val="0"/>
          <w:numId w:val="28"/>
        </w:numPr>
        <w:pBdr>
          <w:top w:val="nil"/>
          <w:left w:val="nil"/>
          <w:bottom w:val="nil"/>
          <w:right w:val="nil"/>
          <w:between w:val="nil"/>
        </w:pBdr>
        <w:spacing w:before="80" w:line="276" w:lineRule="auto"/>
        <w:jc w:val="left"/>
        <w:rPr>
          <w:b/>
          <w:bCs/>
        </w:rPr>
      </w:pPr>
      <w:r>
        <w:rPr>
          <w:b/>
          <w:bCs/>
        </w:rPr>
        <w:t xml:space="preserve">QRU </w:t>
      </w:r>
    </w:p>
    <w:p w14:paraId="1E07FD25" w14:textId="77777777" w:rsidR="003208BA" w:rsidRDefault="003208BA" w:rsidP="003208BA">
      <w:pPr>
        <w:spacing w:line="276" w:lineRule="auto"/>
      </w:pPr>
      <w:r>
        <w:t>Réponse : D</w:t>
      </w:r>
    </w:p>
    <w:p w14:paraId="466143DD" w14:textId="77777777" w:rsidR="009831F3" w:rsidRDefault="003208BA" w:rsidP="003208BA">
      <w:pPr>
        <w:spacing w:line="276" w:lineRule="auto"/>
      </w:pPr>
      <w:r>
        <w:t xml:space="preserve">Commentaire : </w:t>
      </w:r>
    </w:p>
    <w:p w14:paraId="33873003" w14:textId="37F4D377" w:rsidR="003208BA" w:rsidRDefault="003208BA" w:rsidP="003208BA">
      <w:pPr>
        <w:spacing w:line="276" w:lineRule="auto"/>
      </w:pPr>
      <w:r>
        <w:t>Toux + altération de l’état général + infiltrats lobaires supérieurs = tuberculose jusqu’à preuve du contraire.</w:t>
      </w:r>
    </w:p>
    <w:p w14:paraId="6F63979B" w14:textId="34FA2F96" w:rsidR="00EE0D03" w:rsidRPr="00362251" w:rsidRDefault="00EE0D03" w:rsidP="003208BA">
      <w:pPr>
        <w:spacing w:line="276" w:lineRule="auto"/>
      </w:pPr>
    </w:p>
    <w:sectPr w:rsidR="00EE0D03" w:rsidRPr="00362251" w:rsidSect="00876EF8">
      <w:headerReference w:type="even" r:id="rId33"/>
      <w:headerReference w:type="default" r:id="rId34"/>
      <w:footerReference w:type="even" r:id="rId35"/>
      <w:footerReference w:type="default" r:id="rId36"/>
      <w:headerReference w:type="first" r:id="rId37"/>
      <w:footerReference w:type="first" r:id="rId38"/>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2B6BEE" w14:textId="77777777" w:rsidR="00013363" w:rsidRDefault="00013363" w:rsidP="00116864">
      <w:r>
        <w:separator/>
      </w:r>
    </w:p>
  </w:endnote>
  <w:endnote w:type="continuationSeparator" w:id="0">
    <w:p w14:paraId="7541A25D" w14:textId="77777777" w:rsidR="00013363" w:rsidRDefault="00013363" w:rsidP="0011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C3781B" w14:textId="77777777" w:rsidR="009C7096" w:rsidRDefault="009C7096">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C4FF0B" w14:textId="77777777" w:rsidR="009C7096" w:rsidRDefault="009C7096">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59A379" w14:textId="77777777" w:rsidR="009C7096" w:rsidRDefault="009C7096">
    <w:pPr>
      <w:pStyle w:val="Pieddepag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BC0121E" w14:textId="77777777" w:rsidR="00013363" w:rsidRDefault="00013363" w:rsidP="00116864">
      <w:r>
        <w:separator/>
      </w:r>
    </w:p>
  </w:footnote>
  <w:footnote w:type="continuationSeparator" w:id="0">
    <w:p w14:paraId="73E414C6" w14:textId="77777777" w:rsidR="00013363" w:rsidRDefault="00013363" w:rsidP="00116864">
      <w:r>
        <w:continuationSeparator/>
      </w:r>
    </w:p>
  </w:footnote>
  <w:footnote w:id="1">
    <w:p w14:paraId="369A83B2" w14:textId="77777777" w:rsidR="003208BA" w:rsidRDefault="003208BA" w:rsidP="00605916">
      <w:pPr>
        <w:pStyle w:val="pieddepage"/>
      </w:pPr>
      <w:r>
        <w:rPr>
          <w:vertAlign w:val="superscript"/>
        </w:rPr>
        <w:footnoteRef/>
      </w:r>
      <w:r>
        <w:t xml:space="preserve"> Soit 4 </w:t>
      </w:r>
      <w:proofErr w:type="spellStart"/>
      <w:r>
        <w:t>cp</w:t>
      </w:r>
      <w:proofErr w:type="spellEnd"/>
      <w:r>
        <w:t xml:space="preserve">/j en deçà de 50 kg, 5cp/j de 50 à 60 kg, 6 </w:t>
      </w:r>
      <w:proofErr w:type="spellStart"/>
      <w:r>
        <w:t>cp</w:t>
      </w:r>
      <w:proofErr w:type="spellEnd"/>
      <w:r>
        <w:t xml:space="preserve">/j de 60 à 70 kg et 7 </w:t>
      </w:r>
      <w:proofErr w:type="spellStart"/>
      <w:r>
        <w:t>cp</w:t>
      </w:r>
      <w:proofErr w:type="spellEnd"/>
      <w:r>
        <w:t>/j au-delà de 70 kg</w:t>
      </w:r>
    </w:p>
  </w:footnote>
  <w:footnote w:id="2">
    <w:p w14:paraId="60BB1123" w14:textId="77777777" w:rsidR="003208BA" w:rsidRDefault="003208BA" w:rsidP="00605916">
      <w:pPr>
        <w:pStyle w:val="pieddepage"/>
      </w:pPr>
      <w:r>
        <w:rPr>
          <w:vertAlign w:val="superscript"/>
        </w:rPr>
        <w:footnoteRef/>
      </w:r>
      <w:r>
        <w:t xml:space="preserve"> Soit en général 2 </w:t>
      </w:r>
      <w:proofErr w:type="spellStart"/>
      <w:r>
        <w:t>cp</w:t>
      </w:r>
      <w:proofErr w:type="spellEnd"/>
      <w:r>
        <w:t>/j pour un adulte.</w:t>
      </w:r>
    </w:p>
    <w:p w14:paraId="038D64E1" w14:textId="77777777" w:rsidR="003208BA" w:rsidRDefault="003208BA" w:rsidP="003208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806089" w14:textId="77777777" w:rsidR="009C7096" w:rsidRDefault="009C709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389948" w14:textId="77777777" w:rsidR="009C7096" w:rsidRPr="00F201C7" w:rsidRDefault="009C7096" w:rsidP="009C7096">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540B953C" w14:textId="77777777" w:rsidR="009C7096" w:rsidRDefault="009C7096">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FE0BA4" w14:textId="77777777" w:rsidR="009C7096" w:rsidRDefault="009C709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7F52CE"/>
    <w:multiLevelType w:val="multilevel"/>
    <w:tmpl w:val="D2C0C88C"/>
    <w:lvl w:ilvl="0">
      <w:start w:val="1"/>
      <w:numFmt w:val="bullet"/>
      <w:lvlText w:val="o"/>
      <w:lvlJc w:val="left"/>
      <w:pPr>
        <w:ind w:left="720" w:hanging="360"/>
      </w:pPr>
      <w:rPr>
        <w:rFonts w:ascii="Courier New" w:eastAsia="Courier New" w:hAnsi="Courier New" w:cs="Courier New"/>
      </w:rPr>
    </w:lvl>
    <w:lvl w:ilvl="1">
      <w:numFmt w:val="bullet"/>
      <w:lvlText w:val="●"/>
      <w:lvlJc w:val="left"/>
      <w:pPr>
        <w:ind w:left="1440" w:hanging="360"/>
      </w:pPr>
      <w:rPr>
        <w:rFonts w:ascii="Noto Sans Symbols" w:eastAsia="Noto Sans Symbols" w:hAnsi="Noto Sans Symbols" w:cs="Noto Sans Symbols"/>
        <w:b w:val="0"/>
        <w:bCs w:val="0"/>
        <w:i w:val="0"/>
        <w:iCs w:val="0"/>
        <w:color w:val="000000"/>
        <w:sz w:val="20"/>
        <w:szCs w:val="2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820E21"/>
    <w:multiLevelType w:val="multilevel"/>
    <w:tmpl w:val="5F2C9890"/>
    <w:lvl w:ilvl="0">
      <w:start w:val="1"/>
      <w:numFmt w:val="bullet"/>
      <w:lvlText w:val="o"/>
      <w:lvlJc w:val="left"/>
      <w:pPr>
        <w:ind w:left="720" w:hanging="360"/>
      </w:pPr>
      <w:rPr>
        <w:rFonts w:ascii="Courier New" w:eastAsia="Courier New" w:hAnsi="Courier New" w:cs="Courier New"/>
      </w:rPr>
    </w:lvl>
    <w:lvl w:ilvl="1">
      <w:numFmt w:val="bullet"/>
      <w:lvlText w:val="●"/>
      <w:lvlJc w:val="left"/>
      <w:pPr>
        <w:ind w:left="1440" w:hanging="360"/>
      </w:pPr>
      <w:rPr>
        <w:rFonts w:ascii="Noto Sans Symbols" w:eastAsia="Noto Sans Symbols" w:hAnsi="Noto Sans Symbols" w:cs="Noto Sans Symbols"/>
        <w:b w:val="0"/>
        <w:bCs w:val="0"/>
        <w:i w:val="0"/>
        <w:iCs w:val="0"/>
        <w:color w:val="000000"/>
        <w:sz w:val="20"/>
        <w:szCs w:val="2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3E31D0"/>
    <w:multiLevelType w:val="multilevel"/>
    <w:tmpl w:val="4DD658F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280EE0"/>
    <w:multiLevelType w:val="multilevel"/>
    <w:tmpl w:val="A7C225F4"/>
    <w:lvl w:ilvl="0">
      <w:start w:val="1"/>
      <w:numFmt w:val="decimal"/>
      <w:lvlText w:val="%1."/>
      <w:lvlJc w:val="left"/>
      <w:pPr>
        <w:ind w:left="360" w:hanging="360"/>
      </w:pPr>
      <w:rPr>
        <w:b w:val="0"/>
        <w:bCs w:val="0"/>
        <w:i w:val="0"/>
        <w:iCs w:val="0"/>
        <w:smallCaps w:val="0"/>
        <w:strike w:val="0"/>
        <w:color w:val="000000"/>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EF5A2B"/>
    <w:multiLevelType w:val="multilevel"/>
    <w:tmpl w:val="BD54B6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A73235"/>
    <w:multiLevelType w:val="hybridMultilevel"/>
    <w:tmpl w:val="983838E6"/>
    <w:lvl w:ilvl="0" w:tplc="1CB6F05E">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EB2781"/>
    <w:multiLevelType w:val="multilevel"/>
    <w:tmpl w:val="B21430AA"/>
    <w:lvl w:ilvl="0">
      <w:start w:val="1"/>
      <w:numFmt w:val="decimal"/>
      <w:lvlText w:val="%1."/>
      <w:lvlJc w:val="left"/>
      <w:pPr>
        <w:ind w:left="502"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468" w:hanging="1800"/>
      </w:pPr>
      <w:rPr>
        <w:rFonts w:hint="default"/>
      </w:rPr>
    </w:lvl>
    <w:lvl w:ilvl="8">
      <w:start w:val="1"/>
      <w:numFmt w:val="decimal"/>
      <w:isLgl/>
      <w:lvlText w:val="%1.%2.%3.%4.%5.%6.%7.%8.%9"/>
      <w:lvlJc w:val="left"/>
      <w:pPr>
        <w:ind w:left="3686" w:hanging="1800"/>
      </w:pPr>
      <w:rPr>
        <w:rFonts w:hint="default"/>
      </w:rPr>
    </w:lvl>
  </w:abstractNum>
  <w:abstractNum w:abstractNumId="7" w15:restartNumberingAfterBreak="0">
    <w:nsid w:val="1DBF51CF"/>
    <w:multiLevelType w:val="hybridMultilevel"/>
    <w:tmpl w:val="8084B810"/>
    <w:lvl w:ilvl="0" w:tplc="1CB6F05E">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1B979CB"/>
    <w:multiLevelType w:val="hybridMultilevel"/>
    <w:tmpl w:val="51E8A4F8"/>
    <w:lvl w:ilvl="0" w:tplc="1CB6F05E">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72A233E"/>
    <w:multiLevelType w:val="multilevel"/>
    <w:tmpl w:val="D5C6C174"/>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A67794B"/>
    <w:multiLevelType w:val="multilevel"/>
    <w:tmpl w:val="34AAD700"/>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BA222E6"/>
    <w:multiLevelType w:val="multilevel"/>
    <w:tmpl w:val="C10C7F7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BC60D76"/>
    <w:multiLevelType w:val="multilevel"/>
    <w:tmpl w:val="7B8AFBEA"/>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C3F30E1"/>
    <w:multiLevelType w:val="hybridMultilevel"/>
    <w:tmpl w:val="8030224E"/>
    <w:lvl w:ilvl="0" w:tplc="380455A2">
      <w:start w:val="1"/>
      <w:numFmt w:val="decimal"/>
      <w:pStyle w:val="1titre"/>
      <w:lvlText w:val="%1."/>
      <w:lvlJc w:val="left"/>
      <w:pPr>
        <w:ind w:left="720" w:hanging="360"/>
      </w:pPr>
      <w:rPr>
        <w:rFonts w:hint="default"/>
        <w:i w:val="0"/>
        <w:iCs w:val="0"/>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E71547E"/>
    <w:multiLevelType w:val="hybridMultilevel"/>
    <w:tmpl w:val="590A5D4E"/>
    <w:lvl w:ilvl="0" w:tplc="1CB6F05E">
      <w:start w:val="1"/>
      <w:numFmt w:val="bullet"/>
      <w:lvlText w:val=""/>
      <w:lvlJc w:val="left"/>
      <w:pPr>
        <w:ind w:left="720" w:hanging="360"/>
      </w:pPr>
      <w:rPr>
        <w:rFonts w:ascii="Wingdings 2" w:hAnsi="Wingdings 2"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E9D07D3"/>
    <w:multiLevelType w:val="multilevel"/>
    <w:tmpl w:val="8F760BF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068"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F67397B"/>
    <w:multiLevelType w:val="multilevel"/>
    <w:tmpl w:val="FF40C74E"/>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9D96740"/>
    <w:multiLevelType w:val="multilevel"/>
    <w:tmpl w:val="42C4C7AE"/>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D867B64"/>
    <w:multiLevelType w:val="multilevel"/>
    <w:tmpl w:val="8FEE4888"/>
    <w:lvl w:ilvl="0">
      <w:start w:val="1"/>
      <w:numFmt w:val="bullet"/>
      <w:lvlText w:val=""/>
      <w:lvlJc w:val="left"/>
      <w:pPr>
        <w:ind w:left="1440" w:hanging="360"/>
      </w:pPr>
      <w:rPr>
        <w:rFonts w:ascii="Wingdings 2" w:hAnsi="Wingdings 2"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15:restartNumberingAfterBreak="0">
    <w:nsid w:val="406A75D9"/>
    <w:multiLevelType w:val="multilevel"/>
    <w:tmpl w:val="26DE987E"/>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3AA08E8"/>
    <w:multiLevelType w:val="multilevel"/>
    <w:tmpl w:val="7F44D3EA"/>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45367E8"/>
    <w:multiLevelType w:val="multilevel"/>
    <w:tmpl w:val="1842046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FE4235"/>
    <w:multiLevelType w:val="hybridMultilevel"/>
    <w:tmpl w:val="0F080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EE450B0"/>
    <w:multiLevelType w:val="multilevel"/>
    <w:tmpl w:val="F57886B4"/>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0B32E36"/>
    <w:multiLevelType w:val="multilevel"/>
    <w:tmpl w:val="F29619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11B4D09"/>
    <w:multiLevelType w:val="multilevel"/>
    <w:tmpl w:val="7FBA9F9E"/>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E505B62"/>
    <w:multiLevelType w:val="multilevel"/>
    <w:tmpl w:val="1E840EBE"/>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48647B1"/>
    <w:multiLevelType w:val="multilevel"/>
    <w:tmpl w:val="C6205BF2"/>
    <w:lvl w:ilvl="0">
      <w:start w:val="1"/>
      <w:numFmt w:val="bullet"/>
      <w:lvlText w:val=""/>
      <w:lvlJc w:val="left"/>
      <w:pPr>
        <w:ind w:left="1428" w:hanging="360"/>
      </w:pPr>
      <w:rPr>
        <w:rFonts w:ascii="Wingdings 2" w:hAnsi="Wingdings 2" w:hint="default"/>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8" w15:restartNumberingAfterBreak="0">
    <w:nsid w:val="658156EF"/>
    <w:multiLevelType w:val="multilevel"/>
    <w:tmpl w:val="A596EC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D034F98"/>
    <w:multiLevelType w:val="multilevel"/>
    <w:tmpl w:val="6DB65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2A442AE"/>
    <w:multiLevelType w:val="multilevel"/>
    <w:tmpl w:val="A56CB556"/>
    <w:lvl w:ilvl="0">
      <w:start w:val="1"/>
      <w:numFmt w:val="decimal"/>
      <w:lvlText w:val="%1."/>
      <w:lvlJc w:val="left"/>
      <w:pPr>
        <w:ind w:left="440" w:hanging="4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56446FB"/>
    <w:multiLevelType w:val="multilevel"/>
    <w:tmpl w:val="C53070A6"/>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60E4D74"/>
    <w:multiLevelType w:val="multilevel"/>
    <w:tmpl w:val="B6B4BFA4"/>
    <w:lvl w:ilvl="0">
      <w:start w:val="1"/>
      <w:numFmt w:val="bullet"/>
      <w:lvlText w:val=""/>
      <w:lvlJc w:val="left"/>
      <w:pPr>
        <w:ind w:left="1068" w:hanging="360"/>
      </w:pPr>
      <w:rPr>
        <w:rFonts w:ascii="Wingdings 2" w:hAnsi="Wingdings 2" w:hint="default"/>
        <w:color w:val="0070C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B1F2461"/>
    <w:multiLevelType w:val="multilevel"/>
    <w:tmpl w:val="FD540FFC"/>
    <w:lvl w:ilvl="0">
      <w:start w:val="1"/>
      <w:numFmt w:val="bullet"/>
      <w:lvlText w:val=""/>
      <w:lvlJc w:val="left"/>
      <w:pPr>
        <w:ind w:left="1428" w:hanging="360"/>
      </w:pPr>
      <w:rPr>
        <w:rFonts w:ascii="Wingdings 2" w:hAnsi="Wingdings 2" w:hint="default"/>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34" w15:restartNumberingAfterBreak="0">
    <w:nsid w:val="7DB97FAC"/>
    <w:multiLevelType w:val="multilevel"/>
    <w:tmpl w:val="9B7C7B9E"/>
    <w:lvl w:ilvl="0">
      <w:start w:val="1"/>
      <w:numFmt w:val="bullet"/>
      <w:lvlText w:val=""/>
      <w:lvlJc w:val="left"/>
      <w:pPr>
        <w:ind w:left="1068" w:hanging="360"/>
      </w:pPr>
      <w:rPr>
        <w:rFonts w:ascii="Wingdings 2" w:hAnsi="Wingdings 2" w:hint="default"/>
        <w:color w:val="000000"/>
      </w:rPr>
    </w:lvl>
    <w:lvl w:ilvl="1">
      <w:numFmt w:val="bullet"/>
      <w:lvlText w:val="□"/>
      <w:lvlJc w:val="left"/>
      <w:pPr>
        <w:ind w:left="1080" w:hanging="1080"/>
      </w:pPr>
      <w:rPr>
        <w:rFonts w:ascii="Noto Sans Symbols" w:eastAsia="Noto Sans Symbols" w:hAnsi="Noto Sans Symbols" w:cs="Noto Sans Symbols"/>
        <w:color w:val="000000"/>
        <w:sz w:val="20"/>
        <w:szCs w:val="20"/>
      </w:rPr>
    </w:lvl>
    <w:lvl w:ilvl="2">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F692767"/>
    <w:multiLevelType w:val="hybridMultilevel"/>
    <w:tmpl w:val="891A41FA"/>
    <w:lvl w:ilvl="0" w:tplc="7DDA91CC">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3"/>
  </w:num>
  <w:num w:numId="2" w16cid:durableId="1579822130">
    <w:abstractNumId w:val="13"/>
  </w:num>
  <w:num w:numId="3" w16cid:durableId="2103211215">
    <w:abstractNumId w:val="35"/>
  </w:num>
  <w:num w:numId="4" w16cid:durableId="1721780180">
    <w:abstractNumId w:val="17"/>
  </w:num>
  <w:num w:numId="5" w16cid:durableId="1571188835">
    <w:abstractNumId w:val="18"/>
  </w:num>
  <w:num w:numId="6" w16cid:durableId="1413965823">
    <w:abstractNumId w:val="34"/>
  </w:num>
  <w:num w:numId="7" w16cid:durableId="336272382">
    <w:abstractNumId w:val="27"/>
  </w:num>
  <w:num w:numId="8" w16cid:durableId="1755779162">
    <w:abstractNumId w:val="20"/>
  </w:num>
  <w:num w:numId="9" w16cid:durableId="1914386436">
    <w:abstractNumId w:val="12"/>
  </w:num>
  <w:num w:numId="10" w16cid:durableId="111023131">
    <w:abstractNumId w:val="31"/>
  </w:num>
  <w:num w:numId="11" w16cid:durableId="1776438713">
    <w:abstractNumId w:val="10"/>
  </w:num>
  <w:num w:numId="12" w16cid:durableId="2010595415">
    <w:abstractNumId w:val="11"/>
  </w:num>
  <w:num w:numId="13" w16cid:durableId="306905182">
    <w:abstractNumId w:val="23"/>
  </w:num>
  <w:num w:numId="14" w16cid:durableId="329793428">
    <w:abstractNumId w:val="0"/>
  </w:num>
  <w:num w:numId="15" w16cid:durableId="1806310715">
    <w:abstractNumId w:val="25"/>
  </w:num>
  <w:num w:numId="16" w16cid:durableId="1532572973">
    <w:abstractNumId w:val="15"/>
  </w:num>
  <w:num w:numId="17" w16cid:durableId="1655521696">
    <w:abstractNumId w:val="26"/>
  </w:num>
  <w:num w:numId="18" w16cid:durableId="1010913302">
    <w:abstractNumId w:val="16"/>
  </w:num>
  <w:num w:numId="19" w16cid:durableId="832574327">
    <w:abstractNumId w:val="1"/>
  </w:num>
  <w:num w:numId="20" w16cid:durableId="27920567">
    <w:abstractNumId w:val="9"/>
  </w:num>
  <w:num w:numId="21" w16cid:durableId="200872264">
    <w:abstractNumId w:val="32"/>
  </w:num>
  <w:num w:numId="22" w16cid:durableId="1055272174">
    <w:abstractNumId w:val="2"/>
  </w:num>
  <w:num w:numId="23" w16cid:durableId="1822040302">
    <w:abstractNumId w:val="33"/>
  </w:num>
  <w:num w:numId="24" w16cid:durableId="301421643">
    <w:abstractNumId w:val="29"/>
  </w:num>
  <w:num w:numId="25" w16cid:durableId="344792621">
    <w:abstractNumId w:val="21"/>
  </w:num>
  <w:num w:numId="26" w16cid:durableId="237398042">
    <w:abstractNumId w:val="4"/>
  </w:num>
  <w:num w:numId="27" w16cid:durableId="388844166">
    <w:abstractNumId w:val="24"/>
  </w:num>
  <w:num w:numId="28" w16cid:durableId="2027780689">
    <w:abstractNumId w:val="28"/>
  </w:num>
  <w:num w:numId="29" w16cid:durableId="872230868">
    <w:abstractNumId w:val="19"/>
  </w:num>
  <w:num w:numId="30" w16cid:durableId="1290279297">
    <w:abstractNumId w:val="14"/>
  </w:num>
  <w:num w:numId="31" w16cid:durableId="1933464131">
    <w:abstractNumId w:val="7"/>
  </w:num>
  <w:num w:numId="32" w16cid:durableId="751127090">
    <w:abstractNumId w:val="8"/>
  </w:num>
  <w:num w:numId="33" w16cid:durableId="892162153">
    <w:abstractNumId w:val="5"/>
  </w:num>
  <w:num w:numId="34" w16cid:durableId="1226720514">
    <w:abstractNumId w:val="13"/>
    <w:lvlOverride w:ilvl="0">
      <w:startOverride w:val="1"/>
    </w:lvlOverride>
  </w:num>
  <w:num w:numId="35" w16cid:durableId="466242260">
    <w:abstractNumId w:val="13"/>
    <w:lvlOverride w:ilvl="0">
      <w:startOverride w:val="1"/>
    </w:lvlOverride>
  </w:num>
  <w:num w:numId="36" w16cid:durableId="1769808825">
    <w:abstractNumId w:val="6"/>
  </w:num>
  <w:num w:numId="37" w16cid:durableId="1306928313">
    <w:abstractNumId w:val="13"/>
    <w:lvlOverride w:ilvl="0">
      <w:startOverride w:val="1"/>
    </w:lvlOverride>
  </w:num>
  <w:num w:numId="38" w16cid:durableId="2139906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351985">
    <w:abstractNumId w:val="13"/>
  </w:num>
  <w:num w:numId="40" w16cid:durableId="382170477">
    <w:abstractNumId w:val="30"/>
  </w:num>
  <w:num w:numId="41" w16cid:durableId="610747372">
    <w:abstractNumId w:val="22"/>
  </w:num>
  <w:numIdMacAtCleanup w:val="4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05918"/>
    <w:rsid w:val="00013363"/>
    <w:rsid w:val="00114750"/>
    <w:rsid w:val="00116864"/>
    <w:rsid w:val="00152AE8"/>
    <w:rsid w:val="00152F2A"/>
    <w:rsid w:val="001A679D"/>
    <w:rsid w:val="001D2A88"/>
    <w:rsid w:val="001D386C"/>
    <w:rsid w:val="00223D50"/>
    <w:rsid w:val="00235D5A"/>
    <w:rsid w:val="00236555"/>
    <w:rsid w:val="003208BA"/>
    <w:rsid w:val="00353B26"/>
    <w:rsid w:val="00362251"/>
    <w:rsid w:val="00375B9C"/>
    <w:rsid w:val="003D4875"/>
    <w:rsid w:val="00454A58"/>
    <w:rsid w:val="004B0EE9"/>
    <w:rsid w:val="004F4795"/>
    <w:rsid w:val="005607F8"/>
    <w:rsid w:val="005645B3"/>
    <w:rsid w:val="00597F29"/>
    <w:rsid w:val="00600E11"/>
    <w:rsid w:val="00605916"/>
    <w:rsid w:val="00614CBE"/>
    <w:rsid w:val="006301A3"/>
    <w:rsid w:val="00646D72"/>
    <w:rsid w:val="00696E6A"/>
    <w:rsid w:val="006B55F5"/>
    <w:rsid w:val="006E70C9"/>
    <w:rsid w:val="00711BBF"/>
    <w:rsid w:val="00742634"/>
    <w:rsid w:val="007C0AC7"/>
    <w:rsid w:val="0081643A"/>
    <w:rsid w:val="00822CB5"/>
    <w:rsid w:val="0083127A"/>
    <w:rsid w:val="00876EF8"/>
    <w:rsid w:val="0088205E"/>
    <w:rsid w:val="008D0B6D"/>
    <w:rsid w:val="008D3B3F"/>
    <w:rsid w:val="008E5074"/>
    <w:rsid w:val="009831F3"/>
    <w:rsid w:val="009A3446"/>
    <w:rsid w:val="009C7096"/>
    <w:rsid w:val="00A32E57"/>
    <w:rsid w:val="00A65C23"/>
    <w:rsid w:val="00A82548"/>
    <w:rsid w:val="00AE53D0"/>
    <w:rsid w:val="00AF2941"/>
    <w:rsid w:val="00B419A3"/>
    <w:rsid w:val="00BC5580"/>
    <w:rsid w:val="00BD3BA0"/>
    <w:rsid w:val="00C2589B"/>
    <w:rsid w:val="00C831C6"/>
    <w:rsid w:val="00D03506"/>
    <w:rsid w:val="00D17E4C"/>
    <w:rsid w:val="00D343DE"/>
    <w:rsid w:val="00D55DF5"/>
    <w:rsid w:val="00D73350"/>
    <w:rsid w:val="00D946B7"/>
    <w:rsid w:val="00E1401B"/>
    <w:rsid w:val="00E420F7"/>
    <w:rsid w:val="00E811C2"/>
    <w:rsid w:val="00E84981"/>
    <w:rsid w:val="00EC1890"/>
    <w:rsid w:val="00EE0D03"/>
    <w:rsid w:val="00F03B9C"/>
    <w:rsid w:val="00F90151"/>
    <w:rsid w:val="00F93AB4"/>
    <w:rsid w:val="00FB5CB2"/>
    <w:rsid w:val="00FE7D1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864"/>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EE0D03"/>
    <w:pPr>
      <w:numPr>
        <w:ilvl w:val="1"/>
        <w:numId w:val="1"/>
      </w:numPr>
      <w:outlineLvl w:val="2"/>
    </w:pPr>
  </w:style>
  <w:style w:type="paragraph" w:styleId="Titre4">
    <w:name w:val="heading 4"/>
    <w:basedOn w:val="Normal"/>
    <w:next w:val="Normal"/>
    <w:link w:val="Titre4Car"/>
    <w:uiPriority w:val="9"/>
    <w:semiHidden/>
    <w:unhideWhenUsed/>
    <w:qFormat/>
    <w:rsid w:val="00876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semiHidden/>
    <w:rsid w:val="00876EF8"/>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D17E4C"/>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40" w:lineRule="auto"/>
      <w:ind w:left="426" w:right="141" w:hanging="284"/>
    </w:pPr>
    <w:rPr>
      <w:sz w:val="18"/>
      <w:szCs w:val="18"/>
    </w:rPr>
  </w:style>
  <w:style w:type="character" w:customStyle="1" w:styleId="pointscls1Car">
    <w:name w:val="points clés 1 Car"/>
    <w:basedOn w:val="Policepardfaut"/>
    <w:link w:val="pointscls1"/>
    <w:rsid w:val="00D17E4C"/>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39"/>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character" w:styleId="Lienhypertexte">
    <w:name w:val="Hyperlink"/>
    <w:basedOn w:val="Policepardfaut"/>
    <w:uiPriority w:val="99"/>
    <w:unhideWhenUsed/>
    <w:rsid w:val="00116864"/>
    <w:rPr>
      <w:color w:val="467886" w:themeColor="hyperlink"/>
      <w:u w:val="single"/>
    </w:rPr>
  </w:style>
  <w:style w:type="character" w:styleId="Mentionnonrsolue">
    <w:name w:val="Unresolved Mention"/>
    <w:basedOn w:val="Policepardfaut"/>
    <w:uiPriority w:val="99"/>
    <w:semiHidden/>
    <w:unhideWhenUsed/>
    <w:rsid w:val="00116864"/>
    <w:rPr>
      <w:color w:val="605E5C"/>
      <w:shd w:val="clear" w:color="auto" w:fill="E1DFDD"/>
    </w:rPr>
  </w:style>
  <w:style w:type="table" w:customStyle="1" w:styleId="TableNormal">
    <w:name w:val="TableNormal"/>
    <w:rsid w:val="00116864"/>
    <w:pPr>
      <w:jc w:val="both"/>
    </w:pPr>
    <w:rPr>
      <w:rFonts w:ascii="Trebuchet MS" w:eastAsia="Trebuchet MS" w:hAnsi="Trebuchet MS" w:cs="Trebuchet MS"/>
      <w:kern w:val="0"/>
      <w:szCs w:val="20"/>
      <w:lang w:val="fr" w:eastAsia="fr-FR"/>
      <w14:ligatures w14:val="none"/>
    </w:rPr>
    <w:tblPr>
      <w:tblCellMar>
        <w:top w:w="100" w:type="dxa"/>
        <w:left w:w="100" w:type="dxa"/>
        <w:bottom w:w="100" w:type="dxa"/>
        <w:right w:w="100" w:type="dxa"/>
      </w:tblCellMar>
    </w:tblPr>
  </w:style>
  <w:style w:type="paragraph" w:styleId="Commentaire">
    <w:name w:val="annotation text"/>
    <w:basedOn w:val="Normal"/>
    <w:link w:val="CommentaireCar"/>
    <w:uiPriority w:val="99"/>
    <w:semiHidden/>
    <w:unhideWhenUsed/>
    <w:rsid w:val="00116864"/>
    <w:pPr>
      <w:spacing w:after="160" w:line="240" w:lineRule="auto"/>
    </w:pPr>
    <w:rPr>
      <w:color w:val="auto"/>
    </w:rPr>
  </w:style>
  <w:style w:type="character" w:customStyle="1" w:styleId="CommentaireCar">
    <w:name w:val="Commentaire Car"/>
    <w:basedOn w:val="Policepardfaut"/>
    <w:link w:val="Commentaire"/>
    <w:uiPriority w:val="99"/>
    <w:semiHidden/>
    <w:rsid w:val="00116864"/>
    <w:rPr>
      <w:rFonts w:ascii="Trebuchet MS" w:eastAsia="Trebuchet MS" w:hAnsi="Trebuchet MS" w:cs="Trebuchet MS"/>
      <w:kern w:val="0"/>
      <w:szCs w:val="20"/>
      <w:lang w:val="fr" w:eastAsia="fr-FR"/>
      <w14:ligatures w14:val="none"/>
    </w:rPr>
  </w:style>
  <w:style w:type="paragraph" w:styleId="Rvision">
    <w:name w:val="Revision"/>
    <w:hidden/>
    <w:uiPriority w:val="99"/>
    <w:semiHidden/>
    <w:rsid w:val="00116864"/>
    <w:pPr>
      <w:spacing w:after="0" w:line="240" w:lineRule="auto"/>
    </w:pPr>
    <w:rPr>
      <w:rFonts w:ascii="Trebuchet MS" w:eastAsia="Trebuchet MS" w:hAnsi="Trebuchet MS" w:cs="Trebuchet MS"/>
      <w:kern w:val="0"/>
      <w:szCs w:val="20"/>
      <w:lang w:val="fr" w:eastAsia="fr-FR"/>
      <w14:ligatures w14:val="none"/>
    </w:rPr>
  </w:style>
  <w:style w:type="paragraph" w:styleId="Objetducommentaire">
    <w:name w:val="annotation subject"/>
    <w:basedOn w:val="Commentaire"/>
    <w:next w:val="Commentaire"/>
    <w:link w:val="ObjetducommentaireCar"/>
    <w:uiPriority w:val="99"/>
    <w:semiHidden/>
    <w:unhideWhenUsed/>
    <w:rsid w:val="00116864"/>
    <w:rPr>
      <w:b/>
      <w:bCs/>
    </w:rPr>
  </w:style>
  <w:style w:type="character" w:customStyle="1" w:styleId="ObjetducommentaireCar">
    <w:name w:val="Objet du commentaire Car"/>
    <w:basedOn w:val="CommentaireCar"/>
    <w:link w:val="Objetducommentaire"/>
    <w:uiPriority w:val="99"/>
    <w:semiHidden/>
    <w:rsid w:val="00116864"/>
    <w:rPr>
      <w:rFonts w:ascii="Trebuchet MS" w:eastAsia="Trebuchet MS" w:hAnsi="Trebuchet MS" w:cs="Trebuchet MS"/>
      <w:b/>
      <w:bCs/>
      <w:kern w:val="0"/>
      <w:szCs w:val="20"/>
      <w:lang w:val="fr" w:eastAsia="fr-FR"/>
      <w14:ligatures w14:val="none"/>
    </w:rPr>
  </w:style>
  <w:style w:type="paragraph" w:customStyle="1" w:styleId="pieddepage">
    <w:name w:val="pied de page"/>
    <w:basedOn w:val="Normal"/>
    <w:link w:val="pieddepageCar"/>
    <w:qFormat/>
    <w:rsid w:val="00D946B7"/>
    <w:rPr>
      <w:rFonts w:ascii="Arial" w:hAnsi="Arial" w:cs="Arial"/>
      <w:sz w:val="16"/>
      <w:szCs w:val="16"/>
    </w:rPr>
  </w:style>
  <w:style w:type="character" w:customStyle="1" w:styleId="pieddepageCar">
    <w:name w:val="pied de page Car"/>
    <w:basedOn w:val="Policepardfaut"/>
    <w:link w:val="pieddepage"/>
    <w:rsid w:val="00D946B7"/>
    <w:rPr>
      <w:rFonts w:ascii="Arial" w:eastAsia="Trebuchet MS" w:hAnsi="Arial" w:cs="Arial"/>
      <w:color w:val="000000"/>
      <w:kern w:val="0"/>
      <w:sz w:val="16"/>
      <w:szCs w:val="16"/>
      <w:lang w:val="fr" w:eastAsia="fr-FR"/>
      <w14:ligatures w14:val="none"/>
    </w:rPr>
  </w:style>
  <w:style w:type="table" w:styleId="Grilledutableau">
    <w:name w:val="Table Grid"/>
    <w:basedOn w:val="TableauNormal"/>
    <w:uiPriority w:val="39"/>
    <w:rsid w:val="00005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FE7D19"/>
    <w:rPr>
      <w:color w:val="96607D" w:themeColor="followedHyperlink"/>
      <w:u w:val="single"/>
    </w:rPr>
  </w:style>
  <w:style w:type="paragraph" w:styleId="En-tte">
    <w:name w:val="header"/>
    <w:aliases w:val="Car"/>
    <w:basedOn w:val="Normal"/>
    <w:link w:val="En-tteCar"/>
    <w:unhideWhenUsed/>
    <w:rsid w:val="009C7096"/>
    <w:pPr>
      <w:tabs>
        <w:tab w:val="center" w:pos="4536"/>
        <w:tab w:val="right" w:pos="9072"/>
      </w:tabs>
      <w:spacing w:line="240" w:lineRule="auto"/>
    </w:pPr>
  </w:style>
  <w:style w:type="character" w:customStyle="1" w:styleId="En-tteCar">
    <w:name w:val="En-tête Car"/>
    <w:aliases w:val="Car Car"/>
    <w:basedOn w:val="Policepardfaut"/>
    <w:link w:val="En-tte"/>
    <w:rsid w:val="009C7096"/>
    <w:rPr>
      <w:rFonts w:ascii="Trebuchet MS" w:eastAsia="Trebuchet MS" w:hAnsi="Trebuchet MS" w:cs="Trebuchet MS"/>
      <w:color w:val="000000"/>
      <w:kern w:val="0"/>
      <w:szCs w:val="20"/>
      <w:lang w:val="fr" w:eastAsia="fr-FR"/>
      <w14:ligatures w14:val="none"/>
    </w:rPr>
  </w:style>
  <w:style w:type="paragraph" w:styleId="Pieddepage0">
    <w:name w:val="footer"/>
    <w:basedOn w:val="Normal"/>
    <w:link w:val="PieddepageCar0"/>
    <w:uiPriority w:val="99"/>
    <w:unhideWhenUsed/>
    <w:rsid w:val="009C7096"/>
    <w:pPr>
      <w:tabs>
        <w:tab w:val="center" w:pos="4536"/>
        <w:tab w:val="right" w:pos="9072"/>
      </w:tabs>
      <w:spacing w:line="240" w:lineRule="auto"/>
    </w:pPr>
  </w:style>
  <w:style w:type="character" w:customStyle="1" w:styleId="PieddepageCar0">
    <w:name w:val="Pied de page Car"/>
    <w:basedOn w:val="Policepardfaut"/>
    <w:link w:val="Pieddepage0"/>
    <w:uiPriority w:val="99"/>
    <w:rsid w:val="009C7096"/>
    <w:rPr>
      <w:rFonts w:ascii="Trebuchet MS" w:eastAsia="Trebuchet MS" w:hAnsi="Trebuchet MS" w:cs="Trebuchet MS"/>
      <w:color w:val="000000"/>
      <w:kern w:val="0"/>
      <w:szCs w:val="20"/>
      <w:lang w:val="fr" w:eastAsia="fr-FR"/>
      <w14:ligatures w14:val="none"/>
    </w:rPr>
  </w:style>
  <w:style w:type="paragraph" w:customStyle="1" w:styleId="p1">
    <w:name w:val="p1"/>
    <w:basedOn w:val="Normal"/>
    <w:rsid w:val="00E811C2"/>
    <w:pPr>
      <w:spacing w:before="100" w:beforeAutospacing="1" w:after="100" w:afterAutospacing="1" w:line="240" w:lineRule="auto"/>
      <w:jc w:val="left"/>
    </w:pPr>
    <w:rPr>
      <w:rFonts w:ascii="Times New Roman" w:eastAsia="Times New Roman" w:hAnsi="Times New Roman" w:cs="Times New Roman"/>
      <w:color w:val="auto"/>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jpg"/><Relationship Id="rId39" Type="http://schemas.openxmlformats.org/officeDocument/2006/relationships/fontTable" Target="fontTable.xml"/><Relationship Id="rId21" Type="http://schemas.openxmlformats.org/officeDocument/2006/relationships/image" Target="media/image13.jp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splf.fr/les-recommandations-splf/" TargetMode="External"/><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g"/><Relationship Id="rId29" Type="http://schemas.openxmlformats.org/officeDocument/2006/relationships/hyperlink" Target="http://www.respir.com/doc/abonne/pathologie/tuberculose/TuberculosePyrazinamide.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1.jpg"/><Relationship Id="rId3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png"/><Relationship Id="rId30" Type="http://schemas.openxmlformats.org/officeDocument/2006/relationships/image" Target="media/image21.jp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34</Pages>
  <Words>8109</Words>
  <Characters>45822</Characters>
  <Application>Microsoft Office Word</Application>
  <DocSecurity>0</DocSecurity>
  <Lines>1174</Lines>
  <Paragraphs>804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37</cp:revision>
  <dcterms:created xsi:type="dcterms:W3CDTF">2026-06-02T14:47:00Z</dcterms:created>
  <dcterms:modified xsi:type="dcterms:W3CDTF">2026-09-10T15:35:00Z</dcterms:modified>
</cp:coreProperties>
</file>