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8B012C" w14:textId="45012F90" w:rsidR="00876EF8" w:rsidRPr="00AD5683" w:rsidRDefault="000B59FA" w:rsidP="00362251">
      <w:pPr>
        <w:rPr>
          <w:color w:val="2E74B5"/>
          <w:sz w:val="44"/>
          <w:szCs w:val="44"/>
        </w:rPr>
      </w:pPr>
      <w:bookmarkStart w:id="0" w:name="_heading=h.515nibkw7qu2" w:colFirst="0" w:colLast="0"/>
      <w:bookmarkEnd w:id="0"/>
      <w:r w:rsidRPr="00357D58">
        <w:rPr>
          <w:noProof/>
        </w:rPr>
        <w:drawing>
          <wp:anchor distT="0" distB="0" distL="114300" distR="114300" simplePos="0" relativeHeight="251991040" behindDoc="0" locked="0" layoutInCell="1" allowOverlap="1" wp14:anchorId="598A86D8" wp14:editId="64D262CA">
            <wp:simplePos x="0" y="0"/>
            <wp:positionH relativeFrom="column">
              <wp:posOffset>-698016</wp:posOffset>
            </wp:positionH>
            <wp:positionV relativeFrom="paragraph">
              <wp:posOffset>-851578</wp:posOffset>
            </wp:positionV>
            <wp:extent cx="950400" cy="1296000"/>
            <wp:effectExtent l="0" t="0" r="2540" b="0"/>
            <wp:wrapNone/>
            <wp:docPr id="329665740" name="Image 3296657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0400" cy="129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D5683">
        <w:rPr>
          <w:noProof/>
        </w:rPr>
        <w:drawing>
          <wp:anchor distT="0" distB="0" distL="114300" distR="114300" simplePos="0" relativeHeight="251960320" behindDoc="0" locked="0" layoutInCell="1" hidden="0" allowOverlap="1" wp14:anchorId="3101E4B1" wp14:editId="2BBA8C49">
            <wp:simplePos x="0" y="0"/>
            <wp:positionH relativeFrom="margin">
              <wp:align>right</wp:align>
            </wp:positionH>
            <wp:positionV relativeFrom="paragraph">
              <wp:posOffset>7978</wp:posOffset>
            </wp:positionV>
            <wp:extent cx="2163600" cy="1440782"/>
            <wp:effectExtent l="0" t="0" r="8255" b="7620"/>
            <wp:wrapSquare wrapText="bothSides" distT="0" distB="0" distL="114300" distR="114300"/>
            <wp:docPr id="1518885427"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9"/>
                    <a:srcRect/>
                    <a:stretch>
                      <a:fillRect/>
                    </a:stretch>
                  </pic:blipFill>
                  <pic:spPr>
                    <a:xfrm>
                      <a:off x="0" y="0"/>
                      <a:ext cx="2163600" cy="1440782"/>
                    </a:xfrm>
                    <a:prstGeom prst="rect">
                      <a:avLst/>
                    </a:prstGeom>
                    <a:ln/>
                  </pic:spPr>
                </pic:pic>
              </a:graphicData>
            </a:graphic>
          </wp:anchor>
        </w:drawing>
      </w:r>
      <w:bookmarkStart w:id="1" w:name="_heading=h.okbxcyd5wsjy" w:colFirst="0" w:colLast="0"/>
      <w:bookmarkEnd w:id="1"/>
    </w:p>
    <w:p w14:paraId="59B71C63" w14:textId="7B784125" w:rsidR="009D7AC5" w:rsidRPr="00AD5683" w:rsidRDefault="00E84981" w:rsidP="00AD5683">
      <w:pPr>
        <w:pStyle w:val="Titre1"/>
      </w:pPr>
      <w:r w:rsidRPr="00E84981">
        <w:t>Item </w:t>
      </w:r>
      <w:bookmarkStart w:id="2" w:name="_heading=h.j7k05ddw17s6" w:colFirst="0" w:colLast="0"/>
      <w:bookmarkEnd w:id="2"/>
      <w:r w:rsidR="00AD5683">
        <w:t>309 – Tumeurs du poumon, primitives et secondaires</w:t>
      </w:r>
    </w:p>
    <w:p w14:paraId="332EA9B4" w14:textId="77777777" w:rsidR="009D7AC5" w:rsidRPr="00E84981" w:rsidRDefault="009D7AC5" w:rsidP="00362251">
      <w:pPr>
        <w:rPr>
          <w:sz w:val="10"/>
          <w:szCs w:val="10"/>
        </w:rPr>
      </w:pPr>
    </w:p>
    <w:tbl>
      <w:tblPr>
        <w:tblW w:w="9014" w:type="dxa"/>
        <w:tblInd w:w="55" w:type="dxa"/>
        <w:tblBorders>
          <w:top w:val="single" w:sz="2" w:space="0" w:color="747474" w:themeColor="background2" w:themeShade="80"/>
          <w:left w:val="single" w:sz="2" w:space="0" w:color="747474" w:themeColor="background2" w:themeShade="80"/>
          <w:bottom w:val="single" w:sz="2" w:space="0" w:color="747474" w:themeColor="background2" w:themeShade="80"/>
          <w:right w:val="single" w:sz="2" w:space="0" w:color="747474" w:themeColor="background2" w:themeShade="80"/>
          <w:insideH w:val="single" w:sz="2" w:space="0" w:color="747474" w:themeColor="background2" w:themeShade="80"/>
          <w:insideV w:val="single" w:sz="2" w:space="0" w:color="747474" w:themeColor="background2" w:themeShade="80"/>
        </w:tblBorders>
        <w:tblLayout w:type="fixed"/>
        <w:tblLook w:val="0400" w:firstRow="0" w:lastRow="0" w:firstColumn="0" w:lastColumn="0" w:noHBand="0" w:noVBand="1"/>
      </w:tblPr>
      <w:tblGrid>
        <w:gridCol w:w="631"/>
        <w:gridCol w:w="2146"/>
        <w:gridCol w:w="6237"/>
      </w:tblGrid>
      <w:tr w:rsidR="009D7AC5" w14:paraId="7D36ABFD" w14:textId="77777777" w:rsidTr="009D7AC5">
        <w:trPr>
          <w:trHeight w:val="201"/>
        </w:trPr>
        <w:tc>
          <w:tcPr>
            <w:tcW w:w="631" w:type="dxa"/>
            <w:shd w:val="clear" w:color="auto" w:fill="D1D1D1" w:themeFill="background2" w:themeFillShade="E6"/>
            <w:vAlign w:val="center"/>
          </w:tcPr>
          <w:p w14:paraId="631A206B" w14:textId="77777777" w:rsidR="009D7AC5" w:rsidRPr="00A50182" w:rsidRDefault="009D7AC5" w:rsidP="0094705B">
            <w:pPr>
              <w:spacing w:line="240" w:lineRule="auto"/>
              <w:jc w:val="center"/>
              <w:rPr>
                <w:rFonts w:ascii="Calibri" w:eastAsia="Calibri" w:hAnsi="Calibri" w:cs="Calibri"/>
                <w:b/>
                <w:bCs/>
                <w:color w:val="000000" w:themeColor="text1"/>
              </w:rPr>
            </w:pPr>
            <w:r w:rsidRPr="00A50182">
              <w:rPr>
                <w:rFonts w:ascii="Calibri" w:eastAsia="Calibri" w:hAnsi="Calibri" w:cs="Calibri"/>
                <w:b/>
                <w:bCs/>
                <w:color w:val="000000" w:themeColor="text1"/>
              </w:rPr>
              <w:t>Rang</w:t>
            </w:r>
          </w:p>
        </w:tc>
        <w:tc>
          <w:tcPr>
            <w:tcW w:w="2146" w:type="dxa"/>
            <w:shd w:val="clear" w:color="auto" w:fill="D1D1D1" w:themeFill="background2" w:themeFillShade="E6"/>
            <w:vAlign w:val="center"/>
          </w:tcPr>
          <w:p w14:paraId="7C5A9597" w14:textId="77777777" w:rsidR="009D7AC5" w:rsidRPr="00A50182" w:rsidRDefault="009D7AC5" w:rsidP="0094705B">
            <w:pPr>
              <w:spacing w:line="240" w:lineRule="auto"/>
              <w:jc w:val="center"/>
              <w:rPr>
                <w:rFonts w:ascii="Calibri" w:eastAsia="Calibri" w:hAnsi="Calibri" w:cs="Calibri"/>
                <w:b/>
                <w:bCs/>
                <w:color w:val="000000" w:themeColor="text1"/>
              </w:rPr>
            </w:pPr>
            <w:r w:rsidRPr="00A50182">
              <w:rPr>
                <w:rFonts w:ascii="Calibri" w:eastAsia="Calibri" w:hAnsi="Calibri" w:cs="Calibri"/>
                <w:b/>
                <w:bCs/>
                <w:color w:val="000000" w:themeColor="text1"/>
              </w:rPr>
              <w:t>Rubrique</w:t>
            </w:r>
          </w:p>
        </w:tc>
        <w:tc>
          <w:tcPr>
            <w:tcW w:w="6237" w:type="dxa"/>
            <w:shd w:val="clear" w:color="auto" w:fill="D1D1D1" w:themeFill="background2" w:themeFillShade="E6"/>
          </w:tcPr>
          <w:p w14:paraId="3A29B133" w14:textId="77777777" w:rsidR="009D7AC5" w:rsidRPr="00A50182" w:rsidRDefault="009D7AC5" w:rsidP="0094705B">
            <w:pPr>
              <w:spacing w:line="240" w:lineRule="auto"/>
              <w:jc w:val="center"/>
              <w:rPr>
                <w:rFonts w:ascii="Calibri" w:eastAsia="Calibri" w:hAnsi="Calibri" w:cs="Calibri"/>
                <w:b/>
                <w:bCs/>
                <w:color w:val="000000" w:themeColor="text1"/>
              </w:rPr>
            </w:pPr>
            <w:r w:rsidRPr="00A50182">
              <w:rPr>
                <w:rFonts w:ascii="Calibri" w:eastAsia="Calibri" w:hAnsi="Calibri" w:cs="Calibri"/>
                <w:b/>
                <w:bCs/>
                <w:color w:val="000000" w:themeColor="text1"/>
              </w:rPr>
              <w:t>Intitulé des connaissances</w:t>
            </w:r>
          </w:p>
        </w:tc>
      </w:tr>
      <w:tr w:rsidR="00AD5683" w14:paraId="7EB03D2F" w14:textId="77777777" w:rsidTr="009D7AC5">
        <w:trPr>
          <w:trHeight w:val="32"/>
        </w:trPr>
        <w:tc>
          <w:tcPr>
            <w:tcW w:w="631" w:type="dxa"/>
            <w:vAlign w:val="center"/>
          </w:tcPr>
          <w:p w14:paraId="35711434" w14:textId="2FD921D3" w:rsidR="00AD5683" w:rsidRDefault="00AD5683" w:rsidP="00AD5683">
            <w:pPr>
              <w:spacing w:line="240" w:lineRule="auto"/>
              <w:jc w:val="center"/>
              <w:rPr>
                <w:rFonts w:ascii="Calibri" w:eastAsia="Calibri" w:hAnsi="Calibri" w:cs="Calibri"/>
              </w:rPr>
            </w:pPr>
            <w:r>
              <w:rPr>
                <w:rFonts w:ascii="Calibri" w:eastAsia="Calibri" w:hAnsi="Calibri" w:cs="Calibri"/>
              </w:rPr>
              <w:t>A</w:t>
            </w:r>
          </w:p>
        </w:tc>
        <w:tc>
          <w:tcPr>
            <w:tcW w:w="2146" w:type="dxa"/>
            <w:vAlign w:val="center"/>
          </w:tcPr>
          <w:p w14:paraId="4E20DC24" w14:textId="0F5FD1EF" w:rsidR="00AD5683" w:rsidRDefault="00AD5683" w:rsidP="00AD5683">
            <w:pPr>
              <w:spacing w:line="240" w:lineRule="auto"/>
              <w:jc w:val="left"/>
              <w:rPr>
                <w:rFonts w:ascii="Calibri" w:eastAsia="Calibri" w:hAnsi="Calibri" w:cs="Calibri"/>
              </w:rPr>
            </w:pPr>
            <w:r>
              <w:rPr>
                <w:rFonts w:ascii="Calibri" w:eastAsia="Calibri" w:hAnsi="Calibri" w:cs="Calibri"/>
              </w:rPr>
              <w:t>Contenu multimédia</w:t>
            </w:r>
          </w:p>
        </w:tc>
        <w:tc>
          <w:tcPr>
            <w:tcW w:w="6237" w:type="dxa"/>
          </w:tcPr>
          <w:p w14:paraId="5DAA3555" w14:textId="709B88D4" w:rsidR="00AD5683" w:rsidRDefault="00AD5683" w:rsidP="00AD5683">
            <w:pPr>
              <w:spacing w:line="240" w:lineRule="auto"/>
              <w:rPr>
                <w:rFonts w:ascii="Calibri" w:eastAsia="Calibri" w:hAnsi="Calibri" w:cs="Calibri"/>
              </w:rPr>
            </w:pPr>
            <w:r>
              <w:rPr>
                <w:rFonts w:ascii="Calibri" w:eastAsia="Calibri" w:hAnsi="Calibri" w:cs="Calibri"/>
              </w:rPr>
              <w:t>Exemple de radiographie thoracique de face d'un cancer pulmonaire primitif</w:t>
            </w:r>
          </w:p>
        </w:tc>
      </w:tr>
      <w:tr w:rsidR="00AD5683" w14:paraId="69736C32" w14:textId="77777777" w:rsidTr="009D7AC5">
        <w:trPr>
          <w:trHeight w:val="32"/>
        </w:trPr>
        <w:tc>
          <w:tcPr>
            <w:tcW w:w="631" w:type="dxa"/>
            <w:vAlign w:val="center"/>
          </w:tcPr>
          <w:p w14:paraId="4A283660" w14:textId="5298AC0F" w:rsidR="00AD5683" w:rsidRDefault="00AD5683" w:rsidP="00AD5683">
            <w:pPr>
              <w:spacing w:line="240" w:lineRule="auto"/>
              <w:jc w:val="center"/>
              <w:rPr>
                <w:rFonts w:ascii="Calibri" w:eastAsia="Calibri" w:hAnsi="Calibri" w:cs="Calibri"/>
              </w:rPr>
            </w:pPr>
            <w:r>
              <w:rPr>
                <w:rFonts w:ascii="Calibri" w:eastAsia="Calibri" w:hAnsi="Calibri" w:cs="Calibri"/>
                <w:color w:val="0070C0"/>
              </w:rPr>
              <w:t>B</w:t>
            </w:r>
          </w:p>
        </w:tc>
        <w:tc>
          <w:tcPr>
            <w:tcW w:w="2146" w:type="dxa"/>
            <w:vAlign w:val="center"/>
          </w:tcPr>
          <w:p w14:paraId="03BAD5EC" w14:textId="137B1A2B" w:rsidR="00AD5683" w:rsidRDefault="00AD5683" w:rsidP="00AD5683">
            <w:pPr>
              <w:spacing w:line="240" w:lineRule="auto"/>
              <w:jc w:val="left"/>
              <w:rPr>
                <w:rFonts w:ascii="Calibri" w:eastAsia="Calibri" w:hAnsi="Calibri" w:cs="Calibri"/>
              </w:rPr>
            </w:pPr>
            <w:r>
              <w:rPr>
                <w:rFonts w:ascii="Calibri" w:eastAsia="Calibri" w:hAnsi="Calibri" w:cs="Calibri"/>
                <w:color w:val="0070C0"/>
              </w:rPr>
              <w:t>Contenu multimédia</w:t>
            </w:r>
          </w:p>
        </w:tc>
        <w:tc>
          <w:tcPr>
            <w:tcW w:w="6237" w:type="dxa"/>
          </w:tcPr>
          <w:p w14:paraId="31AD786E" w14:textId="5D8A3E2C" w:rsidR="00AD5683" w:rsidRDefault="00AD5683" w:rsidP="00AD5683">
            <w:pPr>
              <w:spacing w:line="240" w:lineRule="auto"/>
              <w:rPr>
                <w:rFonts w:ascii="Calibri" w:eastAsia="Calibri" w:hAnsi="Calibri" w:cs="Calibri"/>
              </w:rPr>
            </w:pPr>
            <w:r>
              <w:rPr>
                <w:rFonts w:ascii="Calibri" w:eastAsia="Calibri" w:hAnsi="Calibri" w:cs="Calibri"/>
                <w:color w:val="0070C0"/>
              </w:rPr>
              <w:t>Exemple de TDM thoracique en fenêtre parenchymateuse d'une tumeur primitive du poumon</w:t>
            </w:r>
          </w:p>
        </w:tc>
      </w:tr>
      <w:tr w:rsidR="00AD5683" w14:paraId="0A7E4675" w14:textId="77777777" w:rsidTr="009D7AC5">
        <w:trPr>
          <w:trHeight w:val="201"/>
        </w:trPr>
        <w:tc>
          <w:tcPr>
            <w:tcW w:w="631" w:type="dxa"/>
            <w:vAlign w:val="center"/>
          </w:tcPr>
          <w:p w14:paraId="0C0AA77D" w14:textId="1B697C41" w:rsidR="00AD5683" w:rsidRDefault="00AD5683" w:rsidP="00AD5683">
            <w:pPr>
              <w:spacing w:line="240" w:lineRule="auto"/>
              <w:jc w:val="center"/>
              <w:rPr>
                <w:rFonts w:ascii="Calibri" w:eastAsia="Calibri" w:hAnsi="Calibri" w:cs="Calibri"/>
                <w:i/>
                <w:iCs/>
                <w:color w:val="2E74B5"/>
              </w:rPr>
            </w:pPr>
            <w:r>
              <w:rPr>
                <w:rFonts w:ascii="Calibri" w:eastAsia="Calibri" w:hAnsi="Calibri" w:cs="Calibri"/>
              </w:rPr>
              <w:t>A</w:t>
            </w:r>
          </w:p>
        </w:tc>
        <w:tc>
          <w:tcPr>
            <w:tcW w:w="2146" w:type="dxa"/>
            <w:vAlign w:val="center"/>
          </w:tcPr>
          <w:p w14:paraId="0FC81A6A" w14:textId="30B4F488" w:rsidR="00AD5683" w:rsidRDefault="00AD5683" w:rsidP="00AD5683">
            <w:pPr>
              <w:spacing w:line="240" w:lineRule="auto"/>
              <w:jc w:val="left"/>
              <w:rPr>
                <w:rFonts w:ascii="Calibri" w:eastAsia="Calibri" w:hAnsi="Calibri" w:cs="Calibri"/>
                <w:i/>
                <w:iCs/>
                <w:color w:val="2E74B5"/>
              </w:rPr>
            </w:pPr>
            <w:r>
              <w:rPr>
                <w:rFonts w:ascii="Calibri" w:eastAsia="Calibri" w:hAnsi="Calibri" w:cs="Calibri"/>
              </w:rPr>
              <w:t>Contenu multimédia</w:t>
            </w:r>
          </w:p>
        </w:tc>
        <w:tc>
          <w:tcPr>
            <w:tcW w:w="6237" w:type="dxa"/>
          </w:tcPr>
          <w:p w14:paraId="0AAA0A3C" w14:textId="42A4794A" w:rsidR="00AD5683" w:rsidRDefault="00AD5683" w:rsidP="00AD5683">
            <w:pPr>
              <w:spacing w:line="240" w:lineRule="auto"/>
              <w:rPr>
                <w:rFonts w:ascii="Calibri" w:eastAsia="Calibri" w:hAnsi="Calibri" w:cs="Calibri"/>
                <w:i/>
                <w:iCs/>
                <w:color w:val="2E74B5"/>
              </w:rPr>
            </w:pPr>
            <w:r>
              <w:rPr>
                <w:rFonts w:ascii="Calibri" w:eastAsia="Calibri" w:hAnsi="Calibri" w:cs="Calibri"/>
              </w:rPr>
              <w:t>Exemple de radiographie et TDM thoracique en fenêtre parenchymateuse de tumeurs secondaires du poumon</w:t>
            </w:r>
          </w:p>
        </w:tc>
      </w:tr>
      <w:tr w:rsidR="00AD5683" w14:paraId="582FDCD8" w14:textId="77777777" w:rsidTr="009D7AC5">
        <w:trPr>
          <w:trHeight w:val="201"/>
        </w:trPr>
        <w:tc>
          <w:tcPr>
            <w:tcW w:w="631" w:type="dxa"/>
            <w:vAlign w:val="center"/>
          </w:tcPr>
          <w:p w14:paraId="2961A99B" w14:textId="07B37EBA" w:rsidR="00AD5683" w:rsidRDefault="00AD5683" w:rsidP="00AD5683">
            <w:pPr>
              <w:spacing w:line="240" w:lineRule="auto"/>
              <w:jc w:val="center"/>
              <w:rPr>
                <w:rFonts w:ascii="Calibri" w:eastAsia="Calibri" w:hAnsi="Calibri" w:cs="Calibri"/>
                <w:color w:val="0070C0"/>
              </w:rPr>
            </w:pPr>
            <w:r>
              <w:rPr>
                <w:rFonts w:ascii="Calibri" w:eastAsia="Calibri" w:hAnsi="Calibri" w:cs="Calibri"/>
                <w:color w:val="0070C0"/>
              </w:rPr>
              <w:t>B</w:t>
            </w:r>
          </w:p>
        </w:tc>
        <w:tc>
          <w:tcPr>
            <w:tcW w:w="2146" w:type="dxa"/>
            <w:vAlign w:val="center"/>
          </w:tcPr>
          <w:p w14:paraId="22B47481" w14:textId="12975BC1" w:rsidR="00AD5683" w:rsidRDefault="00AD5683" w:rsidP="00AD5683">
            <w:pPr>
              <w:spacing w:line="240" w:lineRule="auto"/>
              <w:jc w:val="left"/>
              <w:rPr>
                <w:rFonts w:ascii="Calibri" w:eastAsia="Calibri" w:hAnsi="Calibri" w:cs="Calibri"/>
              </w:rPr>
            </w:pPr>
            <w:r>
              <w:rPr>
                <w:rFonts w:ascii="Calibri" w:eastAsia="Calibri" w:hAnsi="Calibri" w:cs="Calibri"/>
                <w:color w:val="0070C0"/>
              </w:rPr>
              <w:t>Définition</w:t>
            </w:r>
          </w:p>
        </w:tc>
        <w:tc>
          <w:tcPr>
            <w:tcW w:w="6237" w:type="dxa"/>
          </w:tcPr>
          <w:p w14:paraId="7FE6407E" w14:textId="66A1BD55" w:rsidR="00AD5683" w:rsidRDefault="00AD5683" w:rsidP="00AD5683">
            <w:pPr>
              <w:spacing w:line="240" w:lineRule="auto"/>
              <w:rPr>
                <w:rFonts w:ascii="Calibri" w:eastAsia="Calibri" w:hAnsi="Calibri" w:cs="Calibri"/>
              </w:rPr>
            </w:pPr>
            <w:r>
              <w:rPr>
                <w:rFonts w:ascii="Calibri" w:eastAsia="Calibri" w:hAnsi="Calibri" w:cs="Calibri"/>
                <w:color w:val="0070C0"/>
              </w:rPr>
              <w:t>Connaître les principaux types histologiques des cancers broncho-pulmonaires</w:t>
            </w:r>
          </w:p>
        </w:tc>
      </w:tr>
      <w:tr w:rsidR="00AD5683" w14:paraId="21DFA0C4" w14:textId="77777777" w:rsidTr="009D7AC5">
        <w:trPr>
          <w:trHeight w:val="201"/>
        </w:trPr>
        <w:tc>
          <w:tcPr>
            <w:tcW w:w="631" w:type="dxa"/>
            <w:vAlign w:val="center"/>
          </w:tcPr>
          <w:p w14:paraId="3F3837B7" w14:textId="40DF4046" w:rsidR="00AD5683" w:rsidRDefault="00AD5683" w:rsidP="00AD5683">
            <w:pPr>
              <w:spacing w:line="240" w:lineRule="auto"/>
              <w:jc w:val="center"/>
              <w:rPr>
                <w:rFonts w:ascii="Calibri" w:eastAsia="Calibri" w:hAnsi="Calibri" w:cs="Calibri"/>
                <w:color w:val="0070C0"/>
              </w:rPr>
            </w:pPr>
            <w:r>
              <w:rPr>
                <w:rFonts w:ascii="Calibri" w:eastAsia="Calibri" w:hAnsi="Calibri" w:cs="Calibri"/>
                <w:color w:val="0070C0"/>
              </w:rPr>
              <w:t>B</w:t>
            </w:r>
          </w:p>
        </w:tc>
        <w:tc>
          <w:tcPr>
            <w:tcW w:w="2146" w:type="dxa"/>
            <w:vAlign w:val="center"/>
          </w:tcPr>
          <w:p w14:paraId="6ABE3AE0" w14:textId="6ADCC58C" w:rsidR="00AD5683" w:rsidRDefault="00AD5683" w:rsidP="00AD5683">
            <w:pPr>
              <w:spacing w:line="240" w:lineRule="auto"/>
              <w:jc w:val="left"/>
              <w:rPr>
                <w:rFonts w:ascii="Calibri" w:eastAsia="Calibri" w:hAnsi="Calibri" w:cs="Calibri"/>
                <w:color w:val="2E74B5"/>
              </w:rPr>
            </w:pPr>
            <w:r>
              <w:rPr>
                <w:rFonts w:ascii="Calibri" w:eastAsia="Calibri" w:hAnsi="Calibri" w:cs="Calibri"/>
                <w:color w:val="0070C0"/>
              </w:rPr>
              <w:t>Définition</w:t>
            </w:r>
          </w:p>
        </w:tc>
        <w:tc>
          <w:tcPr>
            <w:tcW w:w="6237" w:type="dxa"/>
          </w:tcPr>
          <w:p w14:paraId="1EE58396" w14:textId="5E85B52F" w:rsidR="00AD5683" w:rsidRDefault="00AD5683" w:rsidP="00AD5683">
            <w:pPr>
              <w:spacing w:line="240" w:lineRule="auto"/>
              <w:rPr>
                <w:rFonts w:ascii="Calibri" w:eastAsia="Calibri" w:hAnsi="Calibri" w:cs="Calibri"/>
                <w:color w:val="2E74B5"/>
              </w:rPr>
            </w:pPr>
            <w:r>
              <w:rPr>
                <w:rFonts w:ascii="Calibri" w:eastAsia="Calibri" w:hAnsi="Calibri" w:cs="Calibri"/>
                <w:color w:val="0070C0"/>
              </w:rPr>
              <w:t>Particularités du cancer à petites cellules</w:t>
            </w:r>
          </w:p>
        </w:tc>
      </w:tr>
      <w:tr w:rsidR="00AD5683" w14:paraId="0B1BD663" w14:textId="77777777" w:rsidTr="009D7AC5">
        <w:trPr>
          <w:trHeight w:val="201"/>
        </w:trPr>
        <w:tc>
          <w:tcPr>
            <w:tcW w:w="631" w:type="dxa"/>
            <w:vAlign w:val="center"/>
          </w:tcPr>
          <w:p w14:paraId="1B2746E9" w14:textId="5E706D15" w:rsidR="00AD5683" w:rsidRDefault="00AD5683" w:rsidP="00AD5683">
            <w:pPr>
              <w:spacing w:line="240" w:lineRule="auto"/>
              <w:jc w:val="center"/>
              <w:rPr>
                <w:rFonts w:ascii="Calibri" w:eastAsia="Calibri" w:hAnsi="Calibri" w:cs="Calibri"/>
                <w:color w:val="2E74B5"/>
              </w:rPr>
            </w:pPr>
            <w:r>
              <w:rPr>
                <w:rFonts w:ascii="Calibri" w:eastAsia="Calibri" w:hAnsi="Calibri" w:cs="Calibri"/>
              </w:rPr>
              <w:t>A</w:t>
            </w:r>
          </w:p>
        </w:tc>
        <w:tc>
          <w:tcPr>
            <w:tcW w:w="2146" w:type="dxa"/>
            <w:vAlign w:val="center"/>
          </w:tcPr>
          <w:p w14:paraId="4CD82BF7" w14:textId="4C754383" w:rsidR="00AD5683" w:rsidRDefault="00AD5683" w:rsidP="00AD5683">
            <w:pPr>
              <w:spacing w:line="240" w:lineRule="auto"/>
              <w:jc w:val="left"/>
              <w:rPr>
                <w:rFonts w:ascii="Calibri" w:eastAsia="Calibri" w:hAnsi="Calibri" w:cs="Calibri"/>
                <w:color w:val="2E74B5"/>
              </w:rPr>
            </w:pPr>
            <w:r>
              <w:rPr>
                <w:rFonts w:ascii="Calibri" w:eastAsia="Calibri" w:hAnsi="Calibri" w:cs="Calibri"/>
              </w:rPr>
              <w:t>Diagnostic positif</w:t>
            </w:r>
          </w:p>
        </w:tc>
        <w:tc>
          <w:tcPr>
            <w:tcW w:w="6237" w:type="dxa"/>
          </w:tcPr>
          <w:p w14:paraId="1C1B7BF9" w14:textId="5F6CBADD" w:rsidR="00AD5683" w:rsidRDefault="00AD5683" w:rsidP="00AD5683">
            <w:pPr>
              <w:spacing w:line="240" w:lineRule="auto"/>
              <w:rPr>
                <w:rFonts w:ascii="Calibri" w:eastAsia="Calibri" w:hAnsi="Calibri" w:cs="Calibri"/>
                <w:color w:val="2E74B5"/>
              </w:rPr>
            </w:pPr>
            <w:r>
              <w:rPr>
                <w:rFonts w:ascii="Calibri" w:eastAsia="Calibri" w:hAnsi="Calibri" w:cs="Calibri"/>
              </w:rPr>
              <w:t>Connaître les circonstances de découverte et les manifestations cliniques des tumeurs du poumon (y compris syndromes paranéoplasiques)</w:t>
            </w:r>
          </w:p>
        </w:tc>
      </w:tr>
      <w:tr w:rsidR="00AD5683" w14:paraId="762ACBBC" w14:textId="77777777" w:rsidTr="009D7AC5">
        <w:trPr>
          <w:trHeight w:val="201"/>
        </w:trPr>
        <w:tc>
          <w:tcPr>
            <w:tcW w:w="631" w:type="dxa"/>
            <w:vAlign w:val="center"/>
          </w:tcPr>
          <w:p w14:paraId="45FC38D4" w14:textId="492472AE" w:rsidR="00AD5683" w:rsidRDefault="00AD5683" w:rsidP="00AD5683">
            <w:pPr>
              <w:spacing w:line="240" w:lineRule="auto"/>
              <w:jc w:val="center"/>
              <w:rPr>
                <w:rFonts w:ascii="Calibri" w:eastAsia="Calibri" w:hAnsi="Calibri" w:cs="Calibri"/>
                <w:i/>
                <w:iCs/>
                <w:color w:val="0070C0"/>
              </w:rPr>
            </w:pPr>
            <w:r>
              <w:rPr>
                <w:rFonts w:ascii="Calibri" w:eastAsia="Calibri" w:hAnsi="Calibri" w:cs="Calibri"/>
              </w:rPr>
              <w:t>A</w:t>
            </w:r>
          </w:p>
        </w:tc>
        <w:tc>
          <w:tcPr>
            <w:tcW w:w="2146" w:type="dxa"/>
            <w:vAlign w:val="center"/>
          </w:tcPr>
          <w:p w14:paraId="781D04F0" w14:textId="22BE042F" w:rsidR="00AD5683" w:rsidRDefault="00AD5683" w:rsidP="00AD5683">
            <w:pPr>
              <w:spacing w:line="240" w:lineRule="auto"/>
              <w:jc w:val="left"/>
              <w:rPr>
                <w:rFonts w:ascii="Calibri" w:eastAsia="Calibri" w:hAnsi="Calibri" w:cs="Calibri"/>
                <w:i/>
                <w:iCs/>
                <w:color w:val="2E74B5"/>
              </w:rPr>
            </w:pPr>
            <w:r>
              <w:rPr>
                <w:rFonts w:ascii="Calibri" w:eastAsia="Calibri" w:hAnsi="Calibri" w:cs="Calibri"/>
              </w:rPr>
              <w:t>Diagnostic positif</w:t>
            </w:r>
          </w:p>
        </w:tc>
        <w:tc>
          <w:tcPr>
            <w:tcW w:w="6237" w:type="dxa"/>
          </w:tcPr>
          <w:p w14:paraId="0C5368EC" w14:textId="6B707F59" w:rsidR="00AD5683" w:rsidRDefault="00AD5683" w:rsidP="00AD5683">
            <w:pPr>
              <w:spacing w:line="240" w:lineRule="auto"/>
              <w:rPr>
                <w:rFonts w:ascii="Calibri" w:eastAsia="Calibri" w:hAnsi="Calibri" w:cs="Calibri"/>
                <w:i/>
                <w:iCs/>
                <w:color w:val="2E74B5"/>
              </w:rPr>
            </w:pPr>
            <w:r>
              <w:rPr>
                <w:rFonts w:ascii="Calibri" w:eastAsia="Calibri" w:hAnsi="Calibri" w:cs="Calibri"/>
              </w:rPr>
              <w:t>Connaitre la démarche diagnostique devant une tumeur du poumon</w:t>
            </w:r>
          </w:p>
        </w:tc>
      </w:tr>
      <w:tr w:rsidR="00AD5683" w14:paraId="2AA3CD24" w14:textId="77777777" w:rsidTr="009D7AC5">
        <w:trPr>
          <w:trHeight w:val="201"/>
        </w:trPr>
        <w:tc>
          <w:tcPr>
            <w:tcW w:w="631" w:type="dxa"/>
            <w:vAlign w:val="center"/>
          </w:tcPr>
          <w:p w14:paraId="62D6F1CB" w14:textId="06BB4C73" w:rsidR="00AD5683" w:rsidRDefault="00AD5683" w:rsidP="00AD5683">
            <w:pPr>
              <w:spacing w:line="240" w:lineRule="auto"/>
              <w:jc w:val="center"/>
              <w:rPr>
                <w:rFonts w:ascii="Calibri" w:eastAsia="Calibri" w:hAnsi="Calibri" w:cs="Calibri"/>
                <w:color w:val="0070C0"/>
              </w:rPr>
            </w:pPr>
            <w:r>
              <w:rPr>
                <w:rFonts w:ascii="Calibri" w:eastAsia="Calibri" w:hAnsi="Calibri" w:cs="Calibri"/>
                <w:color w:val="0070C0"/>
              </w:rPr>
              <w:t>B</w:t>
            </w:r>
          </w:p>
        </w:tc>
        <w:tc>
          <w:tcPr>
            <w:tcW w:w="2146" w:type="dxa"/>
            <w:vAlign w:val="center"/>
          </w:tcPr>
          <w:p w14:paraId="6B06D462" w14:textId="2D33106A" w:rsidR="00AD5683" w:rsidRDefault="00AD5683" w:rsidP="00AD5683">
            <w:pPr>
              <w:spacing w:line="240" w:lineRule="auto"/>
              <w:jc w:val="left"/>
              <w:rPr>
                <w:rFonts w:ascii="Calibri" w:eastAsia="Calibri" w:hAnsi="Calibri" w:cs="Calibri"/>
              </w:rPr>
            </w:pPr>
            <w:r>
              <w:rPr>
                <w:rFonts w:ascii="Calibri" w:eastAsia="Calibri" w:hAnsi="Calibri" w:cs="Calibri"/>
                <w:color w:val="0070C0"/>
              </w:rPr>
              <w:t>Examens complémentaires</w:t>
            </w:r>
          </w:p>
        </w:tc>
        <w:tc>
          <w:tcPr>
            <w:tcW w:w="6237" w:type="dxa"/>
          </w:tcPr>
          <w:p w14:paraId="000E9310" w14:textId="539A1AB5" w:rsidR="00AD5683" w:rsidRDefault="00AD5683" w:rsidP="00AD5683">
            <w:pPr>
              <w:spacing w:line="240" w:lineRule="auto"/>
              <w:rPr>
                <w:rFonts w:ascii="Calibri" w:eastAsia="Calibri" w:hAnsi="Calibri" w:cs="Calibri"/>
              </w:rPr>
            </w:pPr>
            <w:r>
              <w:rPr>
                <w:rFonts w:ascii="Calibri" w:eastAsia="Calibri" w:hAnsi="Calibri" w:cs="Calibri"/>
                <w:color w:val="0070C0"/>
              </w:rPr>
              <w:t>Connaitre les examens d'imagerie et leurs indications dans l'exploration d'une tumeur primitive du poumon</w:t>
            </w:r>
          </w:p>
        </w:tc>
      </w:tr>
      <w:tr w:rsidR="00AD5683" w14:paraId="5464CD3E" w14:textId="77777777" w:rsidTr="009D7AC5">
        <w:trPr>
          <w:trHeight w:val="201"/>
        </w:trPr>
        <w:tc>
          <w:tcPr>
            <w:tcW w:w="631" w:type="dxa"/>
            <w:vAlign w:val="center"/>
          </w:tcPr>
          <w:p w14:paraId="6901A76E" w14:textId="3944FB92" w:rsidR="00AD5683" w:rsidRDefault="00AD5683" w:rsidP="00AD5683">
            <w:pPr>
              <w:spacing w:line="240" w:lineRule="auto"/>
              <w:jc w:val="center"/>
              <w:rPr>
                <w:rFonts w:ascii="Calibri" w:eastAsia="Calibri" w:hAnsi="Calibri" w:cs="Calibri"/>
                <w:color w:val="0070C0"/>
              </w:rPr>
            </w:pPr>
            <w:r>
              <w:rPr>
                <w:rFonts w:ascii="Calibri" w:eastAsia="Calibri" w:hAnsi="Calibri" w:cs="Calibri"/>
              </w:rPr>
              <w:t>A</w:t>
            </w:r>
          </w:p>
        </w:tc>
        <w:tc>
          <w:tcPr>
            <w:tcW w:w="2146" w:type="dxa"/>
            <w:vAlign w:val="center"/>
          </w:tcPr>
          <w:p w14:paraId="7F81207E" w14:textId="44C9B1FA" w:rsidR="00AD5683" w:rsidRDefault="00AD5683" w:rsidP="00AD5683">
            <w:pPr>
              <w:spacing w:line="240" w:lineRule="auto"/>
              <w:jc w:val="left"/>
              <w:rPr>
                <w:rFonts w:ascii="Calibri" w:eastAsia="Calibri" w:hAnsi="Calibri" w:cs="Calibri"/>
              </w:rPr>
            </w:pPr>
            <w:r>
              <w:rPr>
                <w:rFonts w:ascii="Calibri" w:eastAsia="Calibri" w:hAnsi="Calibri" w:cs="Calibri"/>
              </w:rPr>
              <w:t>Examens complémentaires</w:t>
            </w:r>
          </w:p>
        </w:tc>
        <w:tc>
          <w:tcPr>
            <w:tcW w:w="6237" w:type="dxa"/>
          </w:tcPr>
          <w:p w14:paraId="17C87371" w14:textId="6AA16D3B" w:rsidR="00AD5683" w:rsidRDefault="00AD5683" w:rsidP="00AD5683">
            <w:pPr>
              <w:spacing w:line="240" w:lineRule="auto"/>
              <w:rPr>
                <w:rFonts w:ascii="Calibri" w:eastAsia="Calibri" w:hAnsi="Calibri" w:cs="Calibri"/>
              </w:rPr>
            </w:pPr>
            <w:r>
              <w:rPr>
                <w:rFonts w:ascii="Calibri" w:eastAsia="Calibri" w:hAnsi="Calibri" w:cs="Calibri"/>
              </w:rPr>
              <w:t xml:space="preserve">Connaître les principales investigations à visée </w:t>
            </w:r>
            <w:proofErr w:type="gramStart"/>
            <w:r>
              <w:rPr>
                <w:rFonts w:ascii="Calibri" w:eastAsia="Calibri" w:hAnsi="Calibri" w:cs="Calibri"/>
              </w:rPr>
              <w:t>diagnostique</w:t>
            </w:r>
            <w:proofErr w:type="gramEnd"/>
            <w:r>
              <w:rPr>
                <w:rFonts w:ascii="Calibri" w:eastAsia="Calibri" w:hAnsi="Calibri" w:cs="Calibri"/>
              </w:rPr>
              <w:t xml:space="preserve"> d'un cancer bronchique</w:t>
            </w:r>
          </w:p>
        </w:tc>
      </w:tr>
      <w:tr w:rsidR="00AD5683" w14:paraId="2FD8A780" w14:textId="77777777" w:rsidTr="009D7AC5">
        <w:trPr>
          <w:trHeight w:val="201"/>
        </w:trPr>
        <w:tc>
          <w:tcPr>
            <w:tcW w:w="631" w:type="dxa"/>
            <w:vAlign w:val="center"/>
          </w:tcPr>
          <w:p w14:paraId="3A22B80A" w14:textId="6880D708" w:rsidR="00AD5683" w:rsidRDefault="00AD5683" w:rsidP="00AD5683">
            <w:pPr>
              <w:spacing w:line="240" w:lineRule="auto"/>
              <w:jc w:val="center"/>
              <w:rPr>
                <w:rFonts w:ascii="Calibri" w:eastAsia="Calibri" w:hAnsi="Calibri" w:cs="Calibri"/>
                <w:color w:val="0070C0"/>
              </w:rPr>
            </w:pPr>
            <w:r>
              <w:rPr>
                <w:rFonts w:ascii="Calibri" w:eastAsia="Calibri" w:hAnsi="Calibri" w:cs="Calibri"/>
              </w:rPr>
              <w:t>A</w:t>
            </w:r>
          </w:p>
        </w:tc>
        <w:tc>
          <w:tcPr>
            <w:tcW w:w="2146" w:type="dxa"/>
            <w:vAlign w:val="center"/>
          </w:tcPr>
          <w:p w14:paraId="60FB2A47" w14:textId="1E480A03" w:rsidR="00AD5683" w:rsidRDefault="00AD5683" w:rsidP="00AD5683">
            <w:pPr>
              <w:spacing w:line="240" w:lineRule="auto"/>
              <w:jc w:val="left"/>
              <w:rPr>
                <w:rFonts w:ascii="Calibri" w:eastAsia="Calibri" w:hAnsi="Calibri" w:cs="Calibri"/>
                <w:color w:val="0070C0"/>
              </w:rPr>
            </w:pPr>
            <w:r>
              <w:rPr>
                <w:rFonts w:ascii="Calibri" w:eastAsia="Calibri" w:hAnsi="Calibri" w:cs="Calibri"/>
              </w:rPr>
              <w:t>Examens complémentaires</w:t>
            </w:r>
          </w:p>
        </w:tc>
        <w:tc>
          <w:tcPr>
            <w:tcW w:w="6237" w:type="dxa"/>
          </w:tcPr>
          <w:p w14:paraId="1E91CD0C" w14:textId="50E378CD" w:rsidR="00AD5683" w:rsidRDefault="00AD5683" w:rsidP="00AD5683">
            <w:pPr>
              <w:spacing w:line="240" w:lineRule="auto"/>
              <w:rPr>
                <w:rFonts w:ascii="Calibri" w:eastAsia="Calibri" w:hAnsi="Calibri" w:cs="Calibri"/>
                <w:color w:val="0070C0"/>
              </w:rPr>
            </w:pPr>
            <w:r>
              <w:rPr>
                <w:rFonts w:ascii="Calibri" w:eastAsia="Calibri" w:hAnsi="Calibri" w:cs="Calibri"/>
              </w:rPr>
              <w:t>Connaitre la sémiologie sur une radiographie thoracique des métastases pulmonaires</w:t>
            </w:r>
          </w:p>
        </w:tc>
      </w:tr>
      <w:tr w:rsidR="00AD5683" w14:paraId="14FDCCEF" w14:textId="77777777" w:rsidTr="009D7AC5">
        <w:trPr>
          <w:trHeight w:val="201"/>
        </w:trPr>
        <w:tc>
          <w:tcPr>
            <w:tcW w:w="631" w:type="dxa"/>
            <w:vAlign w:val="center"/>
          </w:tcPr>
          <w:p w14:paraId="259E9E10" w14:textId="6C68299E" w:rsidR="00AD5683" w:rsidRDefault="00AD5683" w:rsidP="00AD5683">
            <w:pPr>
              <w:spacing w:line="240" w:lineRule="auto"/>
              <w:jc w:val="center"/>
              <w:rPr>
                <w:rFonts w:ascii="Calibri" w:eastAsia="Calibri" w:hAnsi="Calibri" w:cs="Calibri"/>
                <w:color w:val="0070C0"/>
              </w:rPr>
            </w:pPr>
            <w:r>
              <w:rPr>
                <w:rFonts w:ascii="Calibri" w:eastAsia="Calibri" w:hAnsi="Calibri" w:cs="Calibri"/>
              </w:rPr>
              <w:t>A</w:t>
            </w:r>
          </w:p>
        </w:tc>
        <w:tc>
          <w:tcPr>
            <w:tcW w:w="2146" w:type="dxa"/>
            <w:vAlign w:val="center"/>
          </w:tcPr>
          <w:p w14:paraId="51228701" w14:textId="04A7CA52" w:rsidR="00AD5683" w:rsidRDefault="00AD5683" w:rsidP="00AD5683">
            <w:pPr>
              <w:spacing w:line="240" w:lineRule="auto"/>
              <w:jc w:val="left"/>
              <w:rPr>
                <w:rFonts w:ascii="Calibri" w:eastAsia="Calibri" w:hAnsi="Calibri" w:cs="Calibri"/>
                <w:color w:val="0070C0"/>
              </w:rPr>
            </w:pPr>
            <w:r>
              <w:rPr>
                <w:rFonts w:ascii="Calibri" w:eastAsia="Calibri" w:hAnsi="Calibri" w:cs="Calibri"/>
              </w:rPr>
              <w:t>Prévalence, épidémiologie</w:t>
            </w:r>
          </w:p>
        </w:tc>
        <w:tc>
          <w:tcPr>
            <w:tcW w:w="6237" w:type="dxa"/>
          </w:tcPr>
          <w:p w14:paraId="34A21E3C" w14:textId="643720CA" w:rsidR="00AD5683" w:rsidRDefault="00AD5683" w:rsidP="00AD5683">
            <w:pPr>
              <w:spacing w:line="240" w:lineRule="auto"/>
              <w:rPr>
                <w:rFonts w:ascii="Calibri" w:eastAsia="Calibri" w:hAnsi="Calibri" w:cs="Calibri"/>
                <w:color w:val="0070C0"/>
              </w:rPr>
            </w:pPr>
            <w:r>
              <w:rPr>
                <w:rFonts w:ascii="Calibri" w:eastAsia="Calibri" w:hAnsi="Calibri" w:cs="Calibri"/>
              </w:rPr>
              <w:t>Connaitre les principaux facteurs de risque professionnels et environnementaux</w:t>
            </w:r>
          </w:p>
        </w:tc>
      </w:tr>
      <w:tr w:rsidR="00AD5683" w14:paraId="143DB725" w14:textId="77777777" w:rsidTr="009D7AC5">
        <w:trPr>
          <w:trHeight w:val="201"/>
        </w:trPr>
        <w:tc>
          <w:tcPr>
            <w:tcW w:w="631" w:type="dxa"/>
            <w:vAlign w:val="center"/>
          </w:tcPr>
          <w:p w14:paraId="67ABA71E" w14:textId="26A2CCF2" w:rsidR="00AD5683" w:rsidRDefault="00AD5683" w:rsidP="00AD5683">
            <w:pPr>
              <w:spacing w:line="240" w:lineRule="auto"/>
              <w:jc w:val="center"/>
              <w:rPr>
                <w:rFonts w:ascii="Calibri" w:eastAsia="Calibri" w:hAnsi="Calibri" w:cs="Calibri"/>
                <w:color w:val="0070C0"/>
              </w:rPr>
            </w:pPr>
            <w:r>
              <w:rPr>
                <w:rFonts w:ascii="Calibri" w:eastAsia="Calibri" w:hAnsi="Calibri" w:cs="Calibri"/>
                <w:color w:val="0070C0"/>
              </w:rPr>
              <w:t>B</w:t>
            </w:r>
          </w:p>
        </w:tc>
        <w:tc>
          <w:tcPr>
            <w:tcW w:w="2146" w:type="dxa"/>
            <w:vAlign w:val="center"/>
          </w:tcPr>
          <w:p w14:paraId="3F370FE0" w14:textId="7B87AECA" w:rsidR="00AD5683" w:rsidRDefault="00AD5683" w:rsidP="00AD5683">
            <w:pPr>
              <w:spacing w:line="240" w:lineRule="auto"/>
              <w:jc w:val="left"/>
              <w:rPr>
                <w:rFonts w:ascii="Calibri" w:eastAsia="Calibri" w:hAnsi="Calibri" w:cs="Calibri"/>
                <w:color w:val="0070C0"/>
              </w:rPr>
            </w:pPr>
            <w:r>
              <w:rPr>
                <w:rFonts w:ascii="Calibri" w:eastAsia="Calibri" w:hAnsi="Calibri" w:cs="Calibri"/>
                <w:color w:val="0070C0"/>
              </w:rPr>
              <w:t>Prévalence, épidémiologie</w:t>
            </w:r>
          </w:p>
        </w:tc>
        <w:tc>
          <w:tcPr>
            <w:tcW w:w="6237" w:type="dxa"/>
          </w:tcPr>
          <w:p w14:paraId="3E68E662" w14:textId="601FC65C" w:rsidR="00AD5683" w:rsidRDefault="00AD5683" w:rsidP="00AD5683">
            <w:pPr>
              <w:spacing w:line="240" w:lineRule="auto"/>
              <w:rPr>
                <w:rFonts w:ascii="Calibri" w:eastAsia="Calibri" w:hAnsi="Calibri" w:cs="Calibri"/>
                <w:color w:val="0070C0"/>
              </w:rPr>
            </w:pPr>
            <w:r>
              <w:rPr>
                <w:rFonts w:ascii="Calibri" w:eastAsia="Calibri" w:hAnsi="Calibri" w:cs="Calibri"/>
                <w:color w:val="0070C0"/>
              </w:rPr>
              <w:t>Épidémiologie descriptive</w:t>
            </w:r>
          </w:p>
        </w:tc>
      </w:tr>
      <w:tr w:rsidR="00AD5683" w14:paraId="354A01B0" w14:textId="77777777" w:rsidTr="009D7AC5">
        <w:trPr>
          <w:trHeight w:val="201"/>
        </w:trPr>
        <w:tc>
          <w:tcPr>
            <w:tcW w:w="631" w:type="dxa"/>
            <w:vAlign w:val="center"/>
          </w:tcPr>
          <w:p w14:paraId="1EA7B0C7" w14:textId="126F4DFC" w:rsidR="00AD5683" w:rsidRDefault="00AD5683" w:rsidP="00AD5683">
            <w:pPr>
              <w:spacing w:line="240" w:lineRule="auto"/>
              <w:jc w:val="center"/>
              <w:rPr>
                <w:rFonts w:ascii="Calibri" w:eastAsia="Calibri" w:hAnsi="Calibri" w:cs="Calibri"/>
              </w:rPr>
            </w:pPr>
            <w:r>
              <w:rPr>
                <w:rFonts w:ascii="Calibri" w:eastAsia="Calibri" w:hAnsi="Calibri" w:cs="Calibri"/>
              </w:rPr>
              <w:t>A</w:t>
            </w:r>
          </w:p>
        </w:tc>
        <w:tc>
          <w:tcPr>
            <w:tcW w:w="2146" w:type="dxa"/>
            <w:vAlign w:val="center"/>
          </w:tcPr>
          <w:p w14:paraId="22358DD3" w14:textId="155FE44A" w:rsidR="00AD5683" w:rsidRDefault="00AD5683" w:rsidP="00AD5683">
            <w:pPr>
              <w:spacing w:line="240" w:lineRule="auto"/>
              <w:jc w:val="left"/>
              <w:rPr>
                <w:rFonts w:ascii="Calibri" w:eastAsia="Calibri" w:hAnsi="Calibri" w:cs="Calibri"/>
              </w:rPr>
            </w:pPr>
            <w:r>
              <w:rPr>
                <w:rFonts w:ascii="Calibri" w:eastAsia="Calibri" w:hAnsi="Calibri" w:cs="Calibri"/>
              </w:rPr>
              <w:t>Prise en charge</w:t>
            </w:r>
          </w:p>
        </w:tc>
        <w:tc>
          <w:tcPr>
            <w:tcW w:w="6237" w:type="dxa"/>
          </w:tcPr>
          <w:p w14:paraId="7B8E8EB9" w14:textId="2CEB437B" w:rsidR="00AD5683" w:rsidRDefault="00AD5683" w:rsidP="00AD5683">
            <w:pPr>
              <w:spacing w:line="240" w:lineRule="auto"/>
              <w:rPr>
                <w:rFonts w:ascii="Calibri" w:eastAsia="Calibri" w:hAnsi="Calibri" w:cs="Calibri"/>
              </w:rPr>
            </w:pPr>
            <w:r>
              <w:rPr>
                <w:rFonts w:ascii="Calibri" w:eastAsia="Calibri" w:hAnsi="Calibri" w:cs="Calibri"/>
              </w:rPr>
              <w:t>Connaitre les principes de la prise en charge d'une tumeur du poumon primitive ou secondaire</w:t>
            </w:r>
          </w:p>
        </w:tc>
      </w:tr>
    </w:tbl>
    <w:p w14:paraId="57811E0F" w14:textId="77777777" w:rsidR="006F3E0E" w:rsidRDefault="006F3E0E" w:rsidP="00362251"/>
    <w:p w14:paraId="7F04C889" w14:textId="47959A67" w:rsidR="00717C5F" w:rsidRDefault="00876EF8" w:rsidP="00717C5F">
      <w:pPr>
        <w:jc w:val="center"/>
        <w:rPr>
          <w:color w:val="0070C0"/>
        </w:rPr>
      </w:pPr>
      <w:r w:rsidRPr="00362251">
        <w:rPr>
          <w:noProof/>
          <w:color w:val="0070C0"/>
        </w:rPr>
        <w:drawing>
          <wp:anchor distT="0" distB="0" distL="114300" distR="114300" simplePos="0" relativeHeight="251659264" behindDoc="0" locked="0" layoutInCell="1" hidden="0" allowOverlap="1" wp14:anchorId="6E037DFD" wp14:editId="2B6F045A">
            <wp:simplePos x="0" y="0"/>
            <wp:positionH relativeFrom="column">
              <wp:posOffset>987587</wp:posOffset>
            </wp:positionH>
            <wp:positionV relativeFrom="paragraph">
              <wp:posOffset>9525</wp:posOffset>
            </wp:positionV>
            <wp:extent cx="153670" cy="137160"/>
            <wp:effectExtent l="0" t="0" r="0" b="0"/>
            <wp:wrapNone/>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rsidRPr="00362251">
        <w:rPr>
          <w:color w:val="0070C0"/>
        </w:rPr>
        <w:t>Les objectifs de rang B apparaissent en bleu dans le texte.</w:t>
      </w:r>
    </w:p>
    <w:p w14:paraId="00F34DDB" w14:textId="77777777" w:rsidR="009D7AC5" w:rsidRDefault="009D7AC5" w:rsidP="009D7AC5">
      <w:pPr>
        <w:spacing w:line="240" w:lineRule="auto"/>
        <w:jc w:val="center"/>
        <w:rPr>
          <w:i/>
          <w:iCs/>
          <w:color w:val="2E74B5"/>
        </w:rPr>
      </w:pPr>
    </w:p>
    <w:p w14:paraId="10FE866E" w14:textId="5E2781C4" w:rsidR="009D7AC5" w:rsidRDefault="00AD5683" w:rsidP="009D7AC5">
      <w:pPr>
        <w:spacing w:line="240" w:lineRule="auto"/>
        <w:ind w:left="3"/>
        <w:jc w:val="center"/>
        <w:rPr>
          <w:color w:val="0070C0"/>
        </w:rPr>
      </w:pPr>
      <w:r>
        <w:rPr>
          <w:noProof/>
        </w:rPr>
        <w:drawing>
          <wp:anchor distT="0" distB="0" distL="114300" distR="114300" simplePos="0" relativeHeight="251943936" behindDoc="0" locked="0" layoutInCell="1" hidden="0" allowOverlap="1" wp14:anchorId="57CC772B" wp14:editId="1F4901AE">
            <wp:simplePos x="0" y="0"/>
            <wp:positionH relativeFrom="column">
              <wp:posOffset>884500</wp:posOffset>
            </wp:positionH>
            <wp:positionV relativeFrom="paragraph">
              <wp:posOffset>5715</wp:posOffset>
            </wp:positionV>
            <wp:extent cx="135890" cy="138430"/>
            <wp:effectExtent l="0" t="0" r="0" b="0"/>
            <wp:wrapNone/>
            <wp:docPr id="181106520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a:srcRect/>
                    <a:stretch>
                      <a:fillRect/>
                    </a:stretch>
                  </pic:blipFill>
                  <pic:spPr>
                    <a:xfrm>
                      <a:off x="0" y="0"/>
                      <a:ext cx="135890" cy="138430"/>
                    </a:xfrm>
                    <a:prstGeom prst="rect">
                      <a:avLst/>
                    </a:prstGeom>
                    <a:ln/>
                  </pic:spPr>
                </pic:pic>
              </a:graphicData>
            </a:graphic>
          </wp:anchor>
        </w:drawing>
      </w:r>
      <w:r w:rsidR="009D7AC5">
        <w:rPr>
          <w:color w:val="00B050"/>
        </w:rPr>
        <w:t>Les informations de rang C apparaissent en vert dans le texte.</w:t>
      </w:r>
    </w:p>
    <w:p w14:paraId="31D0302D" w14:textId="72AA8324" w:rsidR="008E6467" w:rsidRDefault="008E6467" w:rsidP="009D7AC5"/>
    <w:p w14:paraId="1A91D4E0" w14:textId="5B218C41" w:rsidR="00896114" w:rsidRDefault="009D7AC5" w:rsidP="00896114">
      <w:pPr>
        <w:pStyle w:val="Pointscls"/>
      </w:pPr>
      <w:r>
        <w:t>P</w:t>
      </w:r>
      <w:r w:rsidR="00876EF8">
        <w:t>oints clés</w:t>
      </w:r>
    </w:p>
    <w:p w14:paraId="1FF9C9C7" w14:textId="77777777" w:rsidR="00AD5683" w:rsidRDefault="00AD5683" w:rsidP="00AD5683">
      <w:pPr>
        <w:pStyle w:val="pointscls1"/>
      </w:pPr>
      <w:r>
        <w:t>Avec plus de 50 000 nouveaux cas par an (en France), le cancer du poumon est la 1</w:t>
      </w:r>
      <w:r>
        <w:rPr>
          <w:vertAlign w:val="superscript"/>
        </w:rPr>
        <w:t>re</w:t>
      </w:r>
      <w:r>
        <w:t xml:space="preserve"> cause de mortalité par cancer en France (30 000 décès). La survie à 5 ans, tous stades et histologies confondus, est de 20 %. </w:t>
      </w:r>
    </w:p>
    <w:p w14:paraId="4CBEA18C" w14:textId="77777777" w:rsidR="00AD5683" w:rsidRDefault="00AD5683" w:rsidP="00AD5683">
      <w:pPr>
        <w:pStyle w:val="pointscls1"/>
      </w:pPr>
      <w:r>
        <w:t>Son principal facteur de risque est le tabac (80 % des cas).</w:t>
      </w:r>
    </w:p>
    <w:p w14:paraId="484851EC" w14:textId="77777777" w:rsidR="00AD5683" w:rsidRDefault="00AD5683" w:rsidP="00AD5683">
      <w:pPr>
        <w:pStyle w:val="pointscls1"/>
      </w:pPr>
      <w:r>
        <w:t>Le diagnostic positif repose sur l’obtention d’une preuve histologique obtenue par ponction ou biopsie (biopsie par endoscopie bronchique, ponction par écho-endoscopie bronchique, ponction-biopsie transthoracique, etc.).</w:t>
      </w:r>
    </w:p>
    <w:p w14:paraId="197BB150" w14:textId="77777777" w:rsidR="00AD5683" w:rsidRDefault="00AD5683" w:rsidP="00AD5683">
      <w:pPr>
        <w:pStyle w:val="pointscls1"/>
      </w:pPr>
      <w:r>
        <w:t>Les cancers non à petites cellules (environ 85 %) relèvent principalement :</w:t>
      </w:r>
    </w:p>
    <w:p w14:paraId="394E1717" w14:textId="77777777" w:rsidR="00AD5683" w:rsidRDefault="00AD5683" w:rsidP="00AD5683">
      <w:pPr>
        <w:pStyle w:val="pointscls1"/>
        <w:numPr>
          <w:ilvl w:val="0"/>
          <w:numId w:val="0"/>
        </w:numPr>
        <w:ind w:left="142"/>
      </w:pPr>
      <w:r>
        <w:t xml:space="preserve">- D’une chirurgie d’exérèse ou d’une radiothérapie pour les cancers </w:t>
      </w:r>
      <w:sdt>
        <w:sdtPr>
          <w:tag w:val="goog_rdk_0"/>
          <w:id w:val="-1875705058"/>
        </w:sdtPr>
        <w:sdtContent/>
      </w:sdt>
      <w:r>
        <w:t>localisés.</w:t>
      </w:r>
    </w:p>
    <w:p w14:paraId="03D89CB5" w14:textId="77777777" w:rsidR="00AD5683" w:rsidRDefault="00AD5683" w:rsidP="00AD5683">
      <w:pPr>
        <w:pStyle w:val="pointscls1"/>
        <w:numPr>
          <w:ilvl w:val="0"/>
          <w:numId w:val="0"/>
        </w:numPr>
        <w:ind w:left="426" w:hanging="284"/>
      </w:pPr>
      <w:r>
        <w:lastRenderedPageBreak/>
        <w:t>- D’une radio-chimiothérapie pour les cancers localement avancés.</w:t>
      </w:r>
    </w:p>
    <w:p w14:paraId="28008CF1" w14:textId="77777777" w:rsidR="00AD5683" w:rsidRDefault="00AD5683" w:rsidP="00AD5683">
      <w:pPr>
        <w:pStyle w:val="pointscls1"/>
        <w:numPr>
          <w:ilvl w:val="0"/>
          <w:numId w:val="0"/>
        </w:numPr>
        <w:ind w:left="142"/>
      </w:pPr>
      <w:r>
        <w:t>- D’un traitement systémique (chimiothérapie, thérapie ciblée, immunothérapie) pour les cancers métastatiques.</w:t>
      </w:r>
    </w:p>
    <w:p w14:paraId="382BD471" w14:textId="77777777" w:rsidR="00AD5683" w:rsidRDefault="00AD5683" w:rsidP="00AD5683">
      <w:pPr>
        <w:pStyle w:val="pointscls1"/>
      </w:pPr>
      <w:r>
        <w:t>Les cancers à petites cellules (environ 15%) de mauvais pronostic, ne relèvent en règle pas d’un traitement chirurgical quel que soit le stade</w:t>
      </w:r>
    </w:p>
    <w:p w14:paraId="0481B331" w14:textId="77777777" w:rsidR="00AD5683" w:rsidRDefault="00AD5683" w:rsidP="00AD5683">
      <w:pPr>
        <w:pStyle w:val="pointscls1"/>
      </w:pPr>
      <w:r>
        <w:t xml:space="preserve">Les sels de platine sont la base de la chimiothérapie, en règle associés à une autre molécule (doublet). </w:t>
      </w:r>
    </w:p>
    <w:p w14:paraId="7EC424DB" w14:textId="77777777" w:rsidR="00AD5683" w:rsidRDefault="00AD5683" w:rsidP="00AD5683">
      <w:pPr>
        <w:pStyle w:val="pointscls1"/>
      </w:pPr>
      <w:r>
        <w:t xml:space="preserve">Une analyse moléculaire des cellules tumorales, comprenant au moins </w:t>
      </w:r>
      <w:r>
        <w:rPr>
          <w:i/>
          <w:iCs/>
        </w:rPr>
        <w:t xml:space="preserve">EGFR, ALK, ROS1, et RET </w:t>
      </w:r>
      <w:r>
        <w:t xml:space="preserve">est recommandée pour tous les cancers non à petites cellules non épidermoïdes, et pour les cancers épidermoïdes chez les non-fumeurs, pour guider l’utilisation des thérapies ciblées. </w:t>
      </w:r>
    </w:p>
    <w:p w14:paraId="45C6DF64" w14:textId="77777777" w:rsidR="00AD5683" w:rsidRDefault="00AD5683" w:rsidP="00AD5683">
      <w:pPr>
        <w:pStyle w:val="pointscls1"/>
      </w:pPr>
      <w:r>
        <w:t xml:space="preserve">La recherche de l’expression de </w:t>
      </w:r>
      <w:proofErr w:type="spellStart"/>
      <w:r>
        <w:rPr>
          <w:i/>
          <w:iCs/>
        </w:rPr>
        <w:t>programmed</w:t>
      </w:r>
      <w:proofErr w:type="spellEnd"/>
      <w:r>
        <w:rPr>
          <w:i/>
          <w:iCs/>
        </w:rPr>
        <w:t xml:space="preserve"> </w:t>
      </w:r>
      <w:proofErr w:type="spellStart"/>
      <w:r>
        <w:rPr>
          <w:i/>
          <w:iCs/>
        </w:rPr>
        <w:t>death</w:t>
      </w:r>
      <w:proofErr w:type="spellEnd"/>
      <w:r>
        <w:rPr>
          <w:i/>
          <w:iCs/>
        </w:rPr>
        <w:t xml:space="preserve"> - ligand 1</w:t>
      </w:r>
      <w:r>
        <w:t xml:space="preserve"> (PD-L1) sur les cellules tumorales doit être systématique pour tous les cancers non à petites cellules, pour guider l’utilisation de l’immunothérapie. </w:t>
      </w:r>
    </w:p>
    <w:p w14:paraId="7974E6A7" w14:textId="77777777" w:rsidR="00AD5683" w:rsidRDefault="00AD5683" w:rsidP="00AD5683">
      <w:pPr>
        <w:pStyle w:val="pointscls1"/>
      </w:pPr>
      <w:r>
        <w:t xml:space="preserve"> Les soins de support doivent être systématiquement proposés dès le diagnostic.</w:t>
      </w:r>
    </w:p>
    <w:p w14:paraId="14C18104" w14:textId="77777777" w:rsidR="00AD5683" w:rsidRDefault="00AD5683" w:rsidP="00AD5683">
      <w:pPr>
        <w:pStyle w:val="pointscls1"/>
      </w:pPr>
      <w:r>
        <w:t>Les décisions thérapeutiques doivent être validées en réunion de concertation pluridisciplinaire.</w:t>
      </w:r>
    </w:p>
    <w:p w14:paraId="37F1795A" w14:textId="77777777" w:rsidR="009D7AC5" w:rsidRDefault="009D7AC5">
      <w:pPr>
        <w:spacing w:after="160"/>
        <w:jc w:val="left"/>
      </w:pPr>
    </w:p>
    <w:p w14:paraId="0D118E1C" w14:textId="1BF01514" w:rsidR="00896114" w:rsidRDefault="00896114">
      <w:pPr>
        <w:spacing w:after="160"/>
        <w:jc w:val="left"/>
        <w:rPr>
          <w:b/>
          <w:bCs/>
          <w:color w:val="FFFFFF"/>
          <w:sz w:val="22"/>
          <w:szCs w:val="22"/>
        </w:rPr>
      </w:pPr>
      <w:r>
        <w:br w:type="page"/>
      </w:r>
    </w:p>
    <w:p w14:paraId="6CCAA836" w14:textId="0BF74A6F" w:rsidR="00B24E4B" w:rsidRDefault="00B24E4B" w:rsidP="004E451D">
      <w:pPr>
        <w:pStyle w:val="titredepartie"/>
      </w:pPr>
      <w:r>
        <w:lastRenderedPageBreak/>
        <w:t>DEFINITIONS</w:t>
      </w:r>
      <w:r w:rsidR="009175F9">
        <w:t xml:space="preserve"> – </w:t>
      </w:r>
      <w:r>
        <w:t>PHYSIOPATHOLGIE</w:t>
      </w:r>
      <w:r w:rsidR="009175F9">
        <w:t xml:space="preserve"> </w:t>
      </w:r>
      <w:r>
        <w:t>-</w:t>
      </w:r>
      <w:r w:rsidR="009175F9">
        <w:t xml:space="preserve"> </w:t>
      </w:r>
      <w:r>
        <w:t>EPIDEMIOLOGIE</w:t>
      </w:r>
      <w:r w:rsidR="00AD5683" w:rsidRPr="00AD5683">
        <w:rPr>
          <w:smallCaps/>
        </w:rPr>
        <w:t xml:space="preserve"> </w:t>
      </w:r>
    </w:p>
    <w:p w14:paraId="78426610" w14:textId="5C5936CA" w:rsidR="00AD5683" w:rsidRPr="004E451D" w:rsidRDefault="004E451D" w:rsidP="004E451D">
      <w:pPr>
        <w:rPr>
          <w:color w:val="0070C0"/>
        </w:rPr>
      </w:pPr>
      <w:r>
        <w:rPr>
          <w:noProof/>
        </w:rPr>
        <w:drawing>
          <wp:anchor distT="0" distB="0" distL="114300" distR="114300" simplePos="0" relativeHeight="251981824" behindDoc="0" locked="0" layoutInCell="1" hidden="0" allowOverlap="1" wp14:anchorId="2D1C795E" wp14:editId="696E58CC">
            <wp:simplePos x="0" y="0"/>
            <wp:positionH relativeFrom="column">
              <wp:posOffset>-249083</wp:posOffset>
            </wp:positionH>
            <wp:positionV relativeFrom="paragraph">
              <wp:posOffset>5080</wp:posOffset>
            </wp:positionV>
            <wp:extent cx="153670" cy="137160"/>
            <wp:effectExtent l="0" t="0" r="0" b="0"/>
            <wp:wrapSquare wrapText="bothSides" distT="0" distB="0" distL="114300" distR="11430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rsidR="00AD5683" w:rsidRPr="004E451D">
        <w:rPr>
          <w:color w:val="0070C0"/>
        </w:rPr>
        <w:t xml:space="preserve">Incidence : </w:t>
      </w:r>
    </w:p>
    <w:p w14:paraId="265261E2" w14:textId="77777777" w:rsidR="00AD5683" w:rsidRDefault="00AD5683" w:rsidP="004E451D">
      <w:pPr>
        <w:widowControl w:val="0"/>
        <w:pBdr>
          <w:top w:val="nil"/>
          <w:left w:val="nil"/>
          <w:bottom w:val="nil"/>
          <w:right w:val="nil"/>
          <w:between w:val="nil"/>
        </w:pBdr>
        <w:spacing w:line="276" w:lineRule="auto"/>
        <w:jc w:val="left"/>
        <w:rPr>
          <w:color w:val="0070C0"/>
        </w:rPr>
      </w:pPr>
      <w:r>
        <w:rPr>
          <w:color w:val="0070C0"/>
        </w:rPr>
        <w:t xml:space="preserve">- Plus de 50 000 nouveaux cas/an en France.  </w:t>
      </w:r>
    </w:p>
    <w:p w14:paraId="4181EE7F" w14:textId="77777777" w:rsidR="00AD5683" w:rsidRDefault="00AD5683" w:rsidP="004E451D">
      <w:pPr>
        <w:widowControl w:val="0"/>
        <w:pBdr>
          <w:top w:val="nil"/>
          <w:left w:val="nil"/>
          <w:bottom w:val="nil"/>
          <w:right w:val="nil"/>
          <w:between w:val="nil"/>
        </w:pBdr>
        <w:spacing w:line="276" w:lineRule="auto"/>
        <w:jc w:val="left"/>
        <w:rPr>
          <w:color w:val="0070C0"/>
        </w:rPr>
      </w:pPr>
      <w:r>
        <w:rPr>
          <w:color w:val="0070C0"/>
        </w:rPr>
        <w:t>- 2</w:t>
      </w:r>
      <w:r>
        <w:rPr>
          <w:color w:val="0070C0"/>
          <w:vertAlign w:val="superscript"/>
        </w:rPr>
        <w:t>e</w:t>
      </w:r>
      <w:r>
        <w:rPr>
          <w:color w:val="0070C0"/>
        </w:rPr>
        <w:t xml:space="preserve"> cancer le plus fréquent chez l’homme parmi les tumeurs solides.   </w:t>
      </w:r>
    </w:p>
    <w:p w14:paraId="30A75E59" w14:textId="77777777" w:rsidR="00AD5683" w:rsidRDefault="00AD5683" w:rsidP="004E451D">
      <w:pPr>
        <w:widowControl w:val="0"/>
        <w:pBdr>
          <w:top w:val="nil"/>
          <w:left w:val="nil"/>
          <w:bottom w:val="nil"/>
          <w:right w:val="nil"/>
          <w:between w:val="nil"/>
        </w:pBdr>
        <w:spacing w:line="276" w:lineRule="auto"/>
        <w:jc w:val="left"/>
        <w:rPr>
          <w:color w:val="0070C0"/>
        </w:rPr>
      </w:pPr>
      <w:r>
        <w:rPr>
          <w:color w:val="0070C0"/>
        </w:rPr>
        <w:t>- 3</w:t>
      </w:r>
      <w:r>
        <w:rPr>
          <w:color w:val="0070C0"/>
          <w:vertAlign w:val="superscript"/>
        </w:rPr>
        <w:t>e</w:t>
      </w:r>
      <w:r>
        <w:rPr>
          <w:color w:val="0070C0"/>
        </w:rPr>
        <w:t xml:space="preserve"> cancer le plus fréquent chez la femme parmi les tumeurs solides. </w:t>
      </w:r>
    </w:p>
    <w:p w14:paraId="1FDB3880" w14:textId="77777777" w:rsidR="00AD5683" w:rsidRDefault="00AD5683" w:rsidP="004E451D">
      <w:pPr>
        <w:widowControl w:val="0"/>
        <w:pBdr>
          <w:top w:val="nil"/>
          <w:left w:val="nil"/>
          <w:bottom w:val="nil"/>
          <w:right w:val="nil"/>
          <w:between w:val="nil"/>
        </w:pBdr>
        <w:spacing w:line="276" w:lineRule="auto"/>
        <w:jc w:val="left"/>
        <w:rPr>
          <w:color w:val="0070C0"/>
        </w:rPr>
      </w:pPr>
      <w:r>
        <w:rPr>
          <w:color w:val="0070C0"/>
        </w:rPr>
        <w:t>- 2,1 millions de nouveaux cas/an dans le monde.</w:t>
      </w:r>
    </w:p>
    <w:p w14:paraId="38135ADF" w14:textId="77777777" w:rsidR="00AD5683" w:rsidRDefault="00AD5683" w:rsidP="004E451D">
      <w:pPr>
        <w:widowControl w:val="0"/>
        <w:pBdr>
          <w:top w:val="nil"/>
          <w:left w:val="nil"/>
          <w:bottom w:val="nil"/>
          <w:right w:val="nil"/>
          <w:between w:val="nil"/>
        </w:pBdr>
        <w:spacing w:line="276" w:lineRule="auto"/>
        <w:rPr>
          <w:color w:val="0070C0"/>
        </w:rPr>
      </w:pPr>
    </w:p>
    <w:p w14:paraId="5991E4B8" w14:textId="77777777" w:rsidR="00AD5683" w:rsidRDefault="00AD5683" w:rsidP="004E451D">
      <w:pPr>
        <w:widowControl w:val="0"/>
        <w:pBdr>
          <w:top w:val="nil"/>
          <w:left w:val="nil"/>
          <w:bottom w:val="nil"/>
          <w:right w:val="nil"/>
          <w:between w:val="nil"/>
        </w:pBdr>
        <w:spacing w:line="276" w:lineRule="auto"/>
        <w:rPr>
          <w:color w:val="0070C0"/>
        </w:rPr>
      </w:pPr>
      <w:r>
        <w:rPr>
          <w:color w:val="0070C0"/>
        </w:rPr>
        <w:t xml:space="preserve">Mortalité : </w:t>
      </w:r>
    </w:p>
    <w:p w14:paraId="4D003A2A" w14:textId="77777777" w:rsidR="00AD5683" w:rsidRDefault="00AD5683" w:rsidP="004E451D">
      <w:pPr>
        <w:widowControl w:val="0"/>
        <w:pBdr>
          <w:top w:val="nil"/>
          <w:left w:val="nil"/>
          <w:bottom w:val="nil"/>
          <w:right w:val="nil"/>
          <w:between w:val="nil"/>
        </w:pBdr>
        <w:spacing w:line="276" w:lineRule="auto"/>
        <w:rPr>
          <w:color w:val="0070C0"/>
        </w:rPr>
      </w:pPr>
      <w:r>
        <w:rPr>
          <w:color w:val="0070C0"/>
        </w:rPr>
        <w:t>- Plus de 30 000 décès/an en France.</w:t>
      </w:r>
    </w:p>
    <w:p w14:paraId="1CC43680" w14:textId="77777777" w:rsidR="00AD5683" w:rsidRDefault="00AD5683" w:rsidP="004E451D">
      <w:pPr>
        <w:widowControl w:val="0"/>
        <w:pBdr>
          <w:top w:val="nil"/>
          <w:left w:val="nil"/>
          <w:bottom w:val="nil"/>
          <w:right w:val="nil"/>
          <w:between w:val="nil"/>
        </w:pBdr>
        <w:spacing w:line="276" w:lineRule="auto"/>
        <w:rPr>
          <w:color w:val="0070C0"/>
        </w:rPr>
      </w:pPr>
      <w:r>
        <w:rPr>
          <w:color w:val="0070C0"/>
        </w:rPr>
        <w:t>- 1</w:t>
      </w:r>
      <w:r>
        <w:rPr>
          <w:color w:val="0070C0"/>
          <w:vertAlign w:val="superscript"/>
        </w:rPr>
        <w:t>re</w:t>
      </w:r>
      <w:r>
        <w:rPr>
          <w:color w:val="0070C0"/>
        </w:rPr>
        <w:t xml:space="preserve"> cause de mortalité par cancer en France.</w:t>
      </w:r>
    </w:p>
    <w:p w14:paraId="2E6B8CCA" w14:textId="77777777" w:rsidR="00AD5683" w:rsidRDefault="00AD5683" w:rsidP="004E451D">
      <w:pPr>
        <w:widowControl w:val="0"/>
        <w:pBdr>
          <w:top w:val="nil"/>
          <w:left w:val="nil"/>
          <w:bottom w:val="nil"/>
          <w:right w:val="nil"/>
          <w:between w:val="nil"/>
        </w:pBdr>
        <w:spacing w:line="276" w:lineRule="auto"/>
        <w:rPr>
          <w:color w:val="0070C0"/>
        </w:rPr>
      </w:pPr>
      <w:r>
        <w:rPr>
          <w:color w:val="0070C0"/>
        </w:rPr>
        <w:t xml:space="preserve">- 20 % des décès par cancer. </w:t>
      </w:r>
    </w:p>
    <w:p w14:paraId="6F04F560" w14:textId="77777777" w:rsidR="00AD5683" w:rsidRDefault="00AD5683" w:rsidP="004E451D">
      <w:pPr>
        <w:widowControl w:val="0"/>
        <w:pBdr>
          <w:top w:val="nil"/>
          <w:left w:val="nil"/>
          <w:bottom w:val="nil"/>
          <w:right w:val="nil"/>
          <w:between w:val="nil"/>
        </w:pBdr>
        <w:spacing w:line="276" w:lineRule="auto"/>
        <w:rPr>
          <w:color w:val="0070C0"/>
        </w:rPr>
      </w:pPr>
      <w:r>
        <w:rPr>
          <w:color w:val="0070C0"/>
        </w:rPr>
        <w:t>- 1,8 millions de décès/an dans le monde, première cause mondiale de mortalité par cancer chez l’homme, comme chez la femme désormais.</w:t>
      </w:r>
    </w:p>
    <w:p w14:paraId="2C465578" w14:textId="77777777" w:rsidR="00AD5683" w:rsidRDefault="00AD5683" w:rsidP="004E451D">
      <w:pPr>
        <w:widowControl w:val="0"/>
        <w:pBdr>
          <w:top w:val="nil"/>
          <w:left w:val="nil"/>
          <w:bottom w:val="nil"/>
          <w:right w:val="nil"/>
          <w:between w:val="nil"/>
        </w:pBdr>
        <w:spacing w:line="276" w:lineRule="auto"/>
        <w:rPr>
          <w:color w:val="0070C0"/>
        </w:rPr>
      </w:pPr>
    </w:p>
    <w:p w14:paraId="21499E29" w14:textId="77777777" w:rsidR="00AD5683" w:rsidRDefault="00AD5683" w:rsidP="004E451D">
      <w:pPr>
        <w:widowControl w:val="0"/>
        <w:pBdr>
          <w:top w:val="nil"/>
          <w:left w:val="nil"/>
          <w:bottom w:val="nil"/>
          <w:right w:val="nil"/>
          <w:between w:val="nil"/>
        </w:pBdr>
        <w:spacing w:line="276" w:lineRule="auto"/>
        <w:rPr>
          <w:color w:val="0070C0"/>
        </w:rPr>
      </w:pPr>
      <w:r>
        <w:rPr>
          <w:color w:val="0070C0"/>
        </w:rPr>
        <w:t>Survie tous stades confondus d’environ 20 % à 5 ans.</w:t>
      </w:r>
    </w:p>
    <w:p w14:paraId="20453BE6" w14:textId="77777777" w:rsidR="00AD5683" w:rsidRDefault="00AD5683" w:rsidP="004E451D">
      <w:pPr>
        <w:widowControl w:val="0"/>
        <w:pBdr>
          <w:top w:val="nil"/>
          <w:left w:val="nil"/>
          <w:bottom w:val="nil"/>
          <w:right w:val="nil"/>
          <w:between w:val="nil"/>
        </w:pBdr>
        <w:spacing w:line="276" w:lineRule="auto"/>
        <w:rPr>
          <w:color w:val="0070C0"/>
        </w:rPr>
      </w:pPr>
      <w:r>
        <w:rPr>
          <w:color w:val="0070C0"/>
        </w:rPr>
        <w:t>- Évolution de l’incidence (figure 1), les différences sont liées à l’évolution du tabagisme : en faible diminution chez l’homme ; en augmentation chez la femme.</w:t>
      </w:r>
    </w:p>
    <w:p w14:paraId="1B17B874" w14:textId="77777777" w:rsidR="00AD5683" w:rsidRPr="004E451D" w:rsidRDefault="00AD5683" w:rsidP="004E451D">
      <w:pPr>
        <w:pStyle w:val="lgende"/>
        <w:rPr>
          <w:color w:val="0070C0"/>
        </w:rPr>
      </w:pPr>
    </w:p>
    <w:p w14:paraId="780C0212" w14:textId="77777777" w:rsidR="00AD5683" w:rsidRPr="004E451D" w:rsidRDefault="00AD5683" w:rsidP="004E451D">
      <w:pPr>
        <w:pStyle w:val="lgende"/>
        <w:rPr>
          <w:color w:val="0070C0"/>
        </w:rPr>
      </w:pPr>
      <w:r w:rsidRPr="004E451D">
        <w:rPr>
          <w:color w:val="0070C0"/>
        </w:rPr>
        <w:t xml:space="preserve">Figure 1 : Évolution de l’incidence et de la mortalité (taux standardisé monde </w:t>
      </w:r>
      <w:proofErr w:type="spellStart"/>
      <w:r w:rsidRPr="004E451D">
        <w:rPr>
          <w:color w:val="0070C0"/>
        </w:rPr>
        <w:t>c.à.d</w:t>
      </w:r>
      <w:proofErr w:type="spellEnd"/>
      <w:r w:rsidRPr="004E451D">
        <w:rPr>
          <w:color w:val="0070C0"/>
        </w:rPr>
        <w:t xml:space="preserve"> par 100 000 personnes) par CP selon le sexe de 1990 à 2015. Échelle logarithmique.</w:t>
      </w:r>
    </w:p>
    <w:p w14:paraId="7FB854C3" w14:textId="77777777" w:rsidR="00AD5683" w:rsidRDefault="00AD5683" w:rsidP="004E451D">
      <w:pPr>
        <w:spacing w:line="276" w:lineRule="auto"/>
        <w:jc w:val="center"/>
        <w:rPr>
          <w:i/>
          <w:iCs/>
        </w:rPr>
      </w:pPr>
      <w:r>
        <w:rPr>
          <w:i/>
          <w:iCs/>
          <w:noProof/>
        </w:rPr>
        <w:drawing>
          <wp:inline distT="0" distB="0" distL="0" distR="0" wp14:anchorId="5A0BF47C" wp14:editId="52832D36">
            <wp:extent cx="5703683" cy="3029379"/>
            <wp:effectExtent l="0" t="0" r="0" b="0"/>
            <wp:docPr id="28"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12"/>
                    <a:srcRect/>
                    <a:stretch>
                      <a:fillRect/>
                    </a:stretch>
                  </pic:blipFill>
                  <pic:spPr>
                    <a:xfrm>
                      <a:off x="0" y="0"/>
                      <a:ext cx="5710840" cy="3033181"/>
                    </a:xfrm>
                    <a:prstGeom prst="rect">
                      <a:avLst/>
                    </a:prstGeom>
                    <a:ln/>
                  </pic:spPr>
                </pic:pic>
              </a:graphicData>
            </a:graphic>
          </wp:inline>
        </w:drawing>
      </w:r>
    </w:p>
    <w:p w14:paraId="5D98B027" w14:textId="77777777" w:rsidR="00AD5683" w:rsidRDefault="00AD5683" w:rsidP="004E451D">
      <w:pPr>
        <w:spacing w:line="276" w:lineRule="auto"/>
        <w:rPr>
          <w:color w:val="0070C0"/>
        </w:rPr>
      </w:pPr>
      <w:r>
        <w:rPr>
          <w:color w:val="0070C0"/>
        </w:rPr>
        <w:t xml:space="preserve">Le paradoxe de ce cancer est qu’il représente un problème majeur de santé publique par sa fréquence et son pronostic sombre alors qu’il est accessible à la prévention primaire, puisque son principal facteur de risque, le tabac, est clairement identifié et évitable. </w:t>
      </w:r>
    </w:p>
    <w:p w14:paraId="45AAB6FD" w14:textId="77777777" w:rsidR="00AD5683" w:rsidRDefault="00AD5683" w:rsidP="004E451D">
      <w:pPr>
        <w:spacing w:line="276" w:lineRule="auto"/>
        <w:rPr>
          <w:color w:val="0070C0"/>
        </w:rPr>
      </w:pPr>
    </w:p>
    <w:p w14:paraId="413AD430" w14:textId="77777777" w:rsidR="00AD5683" w:rsidRDefault="00AD5683" w:rsidP="004E451D">
      <w:pPr>
        <w:spacing w:line="276" w:lineRule="auto"/>
        <w:rPr>
          <w:color w:val="0070C0"/>
        </w:rPr>
      </w:pPr>
      <w:r>
        <w:rPr>
          <w:color w:val="0070C0"/>
        </w:rPr>
        <w:t>Dépistage du cancer du poumon (CP) : voir item 207.</w:t>
      </w:r>
    </w:p>
    <w:p w14:paraId="4DFB1E27" w14:textId="77777777" w:rsidR="004E451D" w:rsidRDefault="004E451D" w:rsidP="004E451D">
      <w:pPr>
        <w:spacing w:line="276" w:lineRule="auto"/>
        <w:rPr>
          <w:color w:val="0070C0"/>
        </w:rPr>
      </w:pPr>
    </w:p>
    <w:p w14:paraId="58FCEFA6" w14:textId="449CDACF" w:rsidR="00AD5683" w:rsidRDefault="00AD5683" w:rsidP="004E451D">
      <w:pPr>
        <w:pStyle w:val="titredesous-partie"/>
      </w:pPr>
      <w:r>
        <w:rPr>
          <w:shd w:val="clear" w:color="auto" w:fill="auto"/>
        </w:rPr>
        <w:t xml:space="preserve">PHYSIOPATHOLOGIE </w:t>
      </w:r>
    </w:p>
    <w:p w14:paraId="7A8296A8" w14:textId="223A127C" w:rsidR="00AD5683" w:rsidRDefault="004E451D" w:rsidP="004E451D">
      <w:pPr>
        <w:pStyle w:val="Titre2"/>
      </w:pPr>
      <w:r>
        <w:lastRenderedPageBreak/>
        <w:t>Étiologies</w:t>
      </w:r>
    </w:p>
    <w:p w14:paraId="7EDAA5AF" w14:textId="0B070FCA" w:rsidR="00AD5683" w:rsidRDefault="00AD5683" w:rsidP="004E451D">
      <w:pPr>
        <w:pStyle w:val="Titre3"/>
      </w:pPr>
      <w:r>
        <w:t>Tabagisme actif</w:t>
      </w:r>
    </w:p>
    <w:p w14:paraId="2513381E" w14:textId="2E050DFA" w:rsidR="00AD5683" w:rsidRDefault="004E451D" w:rsidP="004E451D">
      <w:pPr>
        <w:pBdr>
          <w:top w:val="nil"/>
          <w:left w:val="nil"/>
          <w:bottom w:val="nil"/>
          <w:right w:val="nil"/>
          <w:between w:val="nil"/>
        </w:pBdr>
        <w:spacing w:line="276" w:lineRule="auto"/>
      </w:pPr>
      <w:r>
        <w:rPr>
          <w:noProof/>
        </w:rPr>
        <mc:AlternateContent>
          <mc:Choice Requires="wps">
            <w:drawing>
              <wp:anchor distT="45720" distB="45720" distL="114300" distR="114300" simplePos="0" relativeHeight="251983872" behindDoc="0" locked="0" layoutInCell="1" allowOverlap="1" wp14:anchorId="7A09CD20" wp14:editId="656C79C0">
                <wp:simplePos x="0" y="0"/>
                <wp:positionH relativeFrom="margin">
                  <wp:align>right</wp:align>
                </wp:positionH>
                <wp:positionV relativeFrom="paragraph">
                  <wp:posOffset>5080</wp:posOffset>
                </wp:positionV>
                <wp:extent cx="2767330" cy="5130800"/>
                <wp:effectExtent l="0" t="0" r="13970" b="1270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7330" cy="5130800"/>
                        </a:xfrm>
                        <a:prstGeom prst="rect">
                          <a:avLst/>
                        </a:prstGeom>
                        <a:solidFill>
                          <a:srgbClr val="FFFFFF"/>
                        </a:solidFill>
                        <a:ln w="9525">
                          <a:solidFill>
                            <a:srgbClr val="000000"/>
                          </a:solidFill>
                          <a:miter lim="800000"/>
                          <a:headEnd/>
                          <a:tailEnd/>
                        </a:ln>
                      </wps:spPr>
                      <wps:txbx>
                        <w:txbxContent>
                          <w:p w14:paraId="49F2C4EE" w14:textId="2E86046D" w:rsidR="004E451D" w:rsidRPr="004E451D" w:rsidRDefault="004E451D" w:rsidP="004E451D">
                            <w:pPr>
                              <w:pStyle w:val="lgende"/>
                            </w:pPr>
                            <w:r>
                              <w:t xml:space="preserve">Figure 2 : Effet de l’arrêt du tabac selon l’âge (Cohorte de médecins britanniques) Traduite d’après Peto et al., BMJ 2000. </w:t>
                            </w:r>
                          </w:p>
                          <w:p w14:paraId="6021A639" w14:textId="66648D42" w:rsidR="004E451D" w:rsidRDefault="004E451D">
                            <w:r>
                              <w:rPr>
                                <w:noProof/>
                              </w:rPr>
                              <w:drawing>
                                <wp:inline distT="0" distB="0" distL="0" distR="0" wp14:anchorId="3A8BF7A4" wp14:editId="628682E5">
                                  <wp:extent cx="2565400" cy="4538388"/>
                                  <wp:effectExtent l="0" t="0" r="6350" b="0"/>
                                  <wp:docPr id="1744629665" name="Image 1744629665"/>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3"/>
                                          <a:srcRect/>
                                          <a:stretch>
                                            <a:fillRect/>
                                          </a:stretch>
                                        </pic:blipFill>
                                        <pic:spPr>
                                          <a:xfrm>
                                            <a:off x="0" y="0"/>
                                            <a:ext cx="2568290" cy="4543501"/>
                                          </a:xfrm>
                                          <a:prstGeom prst="rect">
                                            <a:avLst/>
                                          </a:prstGeom>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09CD20" id="_x0000_t202" coordsize="21600,21600" o:spt="202" path="m,l,21600r21600,l21600,xe">
                <v:stroke joinstyle="miter"/>
                <v:path gradientshapeok="t" o:connecttype="rect"/>
              </v:shapetype>
              <v:shape id="Zone de texte 2" o:spid="_x0000_s1026" type="#_x0000_t202" style="position:absolute;left:0;text-align:left;margin-left:166.7pt;margin-top:.4pt;width:217.9pt;height:404pt;z-index:25198387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">
                <v:textbox>
                  <w:txbxContent>
                    <w:p w14:paraId="49F2C4EE" w14:textId="2E86046D" w:rsidR="004E451D" w:rsidRPr="004E451D" w:rsidRDefault="004E451D" w:rsidP="004E451D">
                      <w:pPr>
                        <w:pStyle w:val="lgende"/>
                      </w:pPr>
                      <w:r>
                        <w:t xml:space="preserve">Figure 2 : Effet de l’arrêt du tabac selon l’âge (Cohorte de médecins britanniques) Traduite d’après Peto et al., BMJ 2000. </w:t>
                      </w:r>
                    </w:p>
                    <w:p w14:paraId="6021A639" w14:textId="66648D42" w:rsidR="004E451D" w:rsidRDefault="004E451D">
                      <w:r>
                        <w:rPr>
                          <w:noProof/>
                        </w:rPr>
                        <w:drawing>
                          <wp:inline distT="0" distB="0" distL="0" distR="0" wp14:anchorId="3A8BF7A4" wp14:editId="628682E5">
                            <wp:extent cx="2565400" cy="4538388"/>
                            <wp:effectExtent l="0" t="0" r="6350" b="0"/>
                            <wp:docPr id="1744629665" name="Image 1744629665"/>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4"/>
                                    <a:srcRect/>
                                    <a:stretch>
                                      <a:fillRect/>
                                    </a:stretch>
                                  </pic:blipFill>
                                  <pic:spPr>
                                    <a:xfrm>
                                      <a:off x="0" y="0"/>
                                      <a:ext cx="2568290" cy="4543501"/>
                                    </a:xfrm>
                                    <a:prstGeom prst="rect">
                                      <a:avLst/>
                                    </a:prstGeom>
                                    <a:ln/>
                                  </pic:spPr>
                                </pic:pic>
                              </a:graphicData>
                            </a:graphic>
                          </wp:inline>
                        </w:drawing>
                      </w:r>
                    </w:p>
                  </w:txbxContent>
                </v:textbox>
                <w10:wrap type="square" anchorx="margin"/>
              </v:shape>
            </w:pict>
          </mc:Fallback>
        </mc:AlternateContent>
      </w:r>
      <w:r w:rsidR="00AD5683">
        <w:t>- 80 % des CP sont dus au tabac.</w:t>
      </w:r>
    </w:p>
    <w:p w14:paraId="6D5C8F04" w14:textId="77DB2AC7" w:rsidR="00AD5683" w:rsidRDefault="00AD5683" w:rsidP="004E451D">
      <w:pPr>
        <w:pBdr>
          <w:top w:val="nil"/>
          <w:left w:val="nil"/>
          <w:bottom w:val="nil"/>
          <w:right w:val="nil"/>
          <w:between w:val="nil"/>
        </w:pBdr>
        <w:spacing w:line="276" w:lineRule="auto"/>
      </w:pPr>
      <w:r>
        <w:t>- De nombreux carcinogènes sont présents dans la fumée de cigarette (voir item 75).</w:t>
      </w:r>
    </w:p>
    <w:p w14:paraId="12E78E88" w14:textId="6F267B37" w:rsidR="00AD5683" w:rsidRDefault="00AD5683" w:rsidP="004E451D">
      <w:pPr>
        <w:pBdr>
          <w:top w:val="nil"/>
          <w:left w:val="nil"/>
          <w:bottom w:val="nil"/>
          <w:right w:val="nil"/>
          <w:between w:val="nil"/>
        </w:pBdr>
        <w:spacing w:line="276" w:lineRule="auto"/>
      </w:pPr>
      <w:r>
        <w:t>- Les facteurs de risque les plus importants en termes de carcinogénèse sont l’âge de début du tabagisme (précocité) et sa durée.</w:t>
      </w:r>
    </w:p>
    <w:p w14:paraId="5853B778" w14:textId="228BB161" w:rsidR="00AD5683" w:rsidRDefault="00AD5683" w:rsidP="004E451D">
      <w:pPr>
        <w:pBdr>
          <w:top w:val="nil"/>
          <w:left w:val="nil"/>
          <w:bottom w:val="nil"/>
          <w:right w:val="nil"/>
          <w:between w:val="nil"/>
        </w:pBdr>
        <w:spacing w:line="276" w:lineRule="auto"/>
      </w:pPr>
      <w:r>
        <w:t>- La notion de paquet année (PA) n'est cependant pas un bon évaluateur du risque : la quantité de tabac augmente le risque de développer un cancer avec un facteur à la puissance 2, alors que la durée d'exposition le multiplie avec un facteur à la puissance 4. Il n'est donc pas équivalent de fumer 10 cigarettes /j pendant 20 ans (10 PA) que 20 cigarettes/j pendant 10 ans (10 PA).</w:t>
      </w:r>
    </w:p>
    <w:p w14:paraId="1EB25C0D" w14:textId="387DD342" w:rsidR="00AD5683" w:rsidRDefault="00AD5683" w:rsidP="004E451D">
      <w:pPr>
        <w:pBdr>
          <w:top w:val="nil"/>
          <w:left w:val="nil"/>
          <w:bottom w:val="nil"/>
          <w:right w:val="nil"/>
          <w:between w:val="nil"/>
        </w:pBdr>
        <w:spacing w:line="276" w:lineRule="auto"/>
      </w:pPr>
      <w:r>
        <w:t>- Il n’y a pas de seuil au-dessous duquel fumer n’expose pas à un risque accru de CP.</w:t>
      </w:r>
    </w:p>
    <w:p w14:paraId="3B820FF3" w14:textId="1DF3DD85" w:rsidR="00AD5683" w:rsidRDefault="00AD5683" w:rsidP="004E451D">
      <w:pPr>
        <w:pBdr>
          <w:top w:val="nil"/>
          <w:left w:val="nil"/>
          <w:bottom w:val="nil"/>
          <w:right w:val="nil"/>
          <w:between w:val="nil"/>
        </w:pBdr>
        <w:spacing w:line="276" w:lineRule="auto"/>
      </w:pPr>
      <w:r>
        <w:t>- Après l’arrêt du tabac, le risque décroît mais ne revient jamais au niveau de celui du non-fumeur (figure 2). Il est toutefois TOUJOURS utile d’arrêter de fumer, quel que soit son âge, car le risque diminue par rapport à un fumeur non sevré. </w:t>
      </w:r>
    </w:p>
    <w:p w14:paraId="6FD4169E" w14:textId="77777777" w:rsidR="00AD5683" w:rsidRDefault="00AD5683" w:rsidP="004E451D">
      <w:pPr>
        <w:spacing w:line="276" w:lineRule="auto"/>
        <w:rPr>
          <w:i/>
          <w:iCs/>
        </w:rPr>
      </w:pPr>
    </w:p>
    <w:p w14:paraId="36748BD5" w14:textId="4E30BA38" w:rsidR="00AD5683" w:rsidRDefault="004E451D" w:rsidP="004E451D">
      <w:pPr>
        <w:pStyle w:val="Titre3"/>
      </w:pPr>
      <w:r>
        <w:rPr>
          <w:noProof/>
        </w:rPr>
        <w:drawing>
          <wp:anchor distT="0" distB="0" distL="114300" distR="114300" simplePos="0" relativeHeight="251964416" behindDoc="0" locked="0" layoutInCell="1" hidden="0" allowOverlap="1" wp14:anchorId="23600F3C" wp14:editId="55575671">
            <wp:simplePos x="0" y="0"/>
            <wp:positionH relativeFrom="column">
              <wp:posOffset>-268605</wp:posOffset>
            </wp:positionH>
            <wp:positionV relativeFrom="paragraph">
              <wp:posOffset>320040</wp:posOffset>
            </wp:positionV>
            <wp:extent cx="153670" cy="137160"/>
            <wp:effectExtent l="0" t="0" r="0" b="0"/>
            <wp:wrapSquare wrapText="bothSides" distT="0" distB="0" distL="114300" distR="11430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rsidR="00AD5683">
        <w:t>Tabagisme passif</w:t>
      </w:r>
    </w:p>
    <w:p w14:paraId="30253B87" w14:textId="25D096AA" w:rsidR="00AD5683" w:rsidRDefault="00AD5683" w:rsidP="004E451D">
      <w:pPr>
        <w:widowControl w:val="0"/>
        <w:pBdr>
          <w:top w:val="nil"/>
          <w:left w:val="nil"/>
          <w:bottom w:val="nil"/>
          <w:right w:val="nil"/>
          <w:between w:val="nil"/>
        </w:pBdr>
        <w:spacing w:line="276" w:lineRule="auto"/>
        <w:rPr>
          <w:color w:val="0070C0"/>
        </w:rPr>
      </w:pPr>
      <w:r>
        <w:rPr>
          <w:color w:val="0070C0"/>
        </w:rPr>
        <w:t xml:space="preserve">L’exposition passive au tabac augmente le risque de CP, particulièrement auprès des enfants (tabagisme parental). </w:t>
      </w:r>
    </w:p>
    <w:p w14:paraId="1F697905" w14:textId="77777777" w:rsidR="00AD5683" w:rsidRDefault="00AD5683" w:rsidP="004E451D">
      <w:pPr>
        <w:widowControl w:val="0"/>
        <w:pBdr>
          <w:top w:val="nil"/>
          <w:left w:val="nil"/>
          <w:bottom w:val="nil"/>
          <w:right w:val="nil"/>
          <w:between w:val="nil"/>
        </w:pBdr>
        <w:spacing w:line="276" w:lineRule="auto"/>
        <w:rPr>
          <w:color w:val="0070C0"/>
        </w:rPr>
      </w:pPr>
      <w:r>
        <w:rPr>
          <w:color w:val="0070C0"/>
        </w:rPr>
        <w:t>On estime que le tabagisme passif est responsable de 25% des CP des non-fumeurs.</w:t>
      </w:r>
    </w:p>
    <w:p w14:paraId="2C547987" w14:textId="77777777" w:rsidR="00AD5683" w:rsidRDefault="00AD5683" w:rsidP="004E451D">
      <w:pPr>
        <w:widowControl w:val="0"/>
        <w:pBdr>
          <w:top w:val="nil"/>
          <w:left w:val="nil"/>
          <w:bottom w:val="nil"/>
          <w:right w:val="nil"/>
          <w:between w:val="nil"/>
        </w:pBdr>
        <w:spacing w:line="276" w:lineRule="auto"/>
        <w:rPr>
          <w:i/>
          <w:iCs/>
        </w:rPr>
      </w:pPr>
    </w:p>
    <w:p w14:paraId="3FC6F92C" w14:textId="77777777" w:rsidR="00AD5683" w:rsidRDefault="00AD5683" w:rsidP="004E451D">
      <w:pPr>
        <w:pStyle w:val="Titre3"/>
      </w:pPr>
      <w:r>
        <w:t>Carcinogènes professionnels</w:t>
      </w:r>
    </w:p>
    <w:p w14:paraId="4F51F19D" w14:textId="77777777" w:rsidR="00AD5683" w:rsidRDefault="00AD5683" w:rsidP="004E451D">
      <w:pPr>
        <w:widowControl w:val="0"/>
        <w:pBdr>
          <w:top w:val="nil"/>
          <w:left w:val="nil"/>
          <w:bottom w:val="nil"/>
          <w:right w:val="nil"/>
          <w:between w:val="nil"/>
        </w:pBdr>
        <w:spacing w:line="276" w:lineRule="auto"/>
      </w:pPr>
      <w:r>
        <w:t>- Rôle souvent sous-estimé en raison du facteur confondant que représente le tabagisme.</w:t>
      </w:r>
    </w:p>
    <w:p w14:paraId="15AEEBB4" w14:textId="77777777" w:rsidR="00AD5683" w:rsidRDefault="00AD5683" w:rsidP="004E451D">
      <w:pPr>
        <w:widowControl w:val="0"/>
        <w:pBdr>
          <w:top w:val="nil"/>
          <w:left w:val="nil"/>
          <w:bottom w:val="nil"/>
          <w:right w:val="nil"/>
          <w:between w:val="nil"/>
        </w:pBdr>
        <w:spacing w:line="276" w:lineRule="auto"/>
      </w:pPr>
      <w:r>
        <w:t>- Dans près de 20 % des CP, une exposition professionnelle peut être retrouvée.</w:t>
      </w:r>
    </w:p>
    <w:p w14:paraId="72951FCB" w14:textId="77777777" w:rsidR="00AD5683" w:rsidRDefault="00AD5683" w:rsidP="004E451D">
      <w:pPr>
        <w:widowControl w:val="0"/>
        <w:pBdr>
          <w:top w:val="nil"/>
          <w:left w:val="nil"/>
          <w:bottom w:val="nil"/>
          <w:right w:val="nil"/>
          <w:between w:val="nil"/>
        </w:pBdr>
        <w:spacing w:line="276" w:lineRule="auto"/>
      </w:pPr>
      <w:r>
        <w:t xml:space="preserve">- Les causes les plus fréquentes sont : </w:t>
      </w:r>
    </w:p>
    <w:p w14:paraId="5DF1B2EB" w14:textId="77777777" w:rsidR="00AD5683" w:rsidRDefault="00AD5683">
      <w:pPr>
        <w:widowControl w:val="0"/>
        <w:numPr>
          <w:ilvl w:val="0"/>
          <w:numId w:val="11"/>
        </w:numPr>
        <w:pBdr>
          <w:top w:val="nil"/>
          <w:left w:val="nil"/>
          <w:bottom w:val="nil"/>
          <w:right w:val="nil"/>
          <w:between w:val="nil"/>
        </w:pBdr>
        <w:spacing w:line="276" w:lineRule="auto"/>
        <w:ind w:left="284" w:hanging="142"/>
      </w:pPr>
      <w:r>
        <w:t>Amiante.</w:t>
      </w:r>
    </w:p>
    <w:p w14:paraId="1C69CB19" w14:textId="77777777" w:rsidR="00AD5683" w:rsidRDefault="00AD5683">
      <w:pPr>
        <w:widowControl w:val="0"/>
        <w:numPr>
          <w:ilvl w:val="0"/>
          <w:numId w:val="11"/>
        </w:numPr>
        <w:pBdr>
          <w:top w:val="nil"/>
          <w:left w:val="nil"/>
          <w:bottom w:val="nil"/>
          <w:right w:val="nil"/>
          <w:between w:val="nil"/>
        </w:pBdr>
        <w:spacing w:line="276" w:lineRule="auto"/>
        <w:ind w:left="284" w:hanging="142"/>
      </w:pPr>
      <w:r>
        <w:t xml:space="preserve">Silice. </w:t>
      </w:r>
    </w:p>
    <w:p w14:paraId="21A13CE0" w14:textId="77777777" w:rsidR="00AD5683" w:rsidRDefault="00AD5683">
      <w:pPr>
        <w:widowControl w:val="0"/>
        <w:numPr>
          <w:ilvl w:val="0"/>
          <w:numId w:val="11"/>
        </w:numPr>
        <w:pBdr>
          <w:top w:val="nil"/>
          <w:left w:val="nil"/>
          <w:bottom w:val="nil"/>
          <w:right w:val="nil"/>
          <w:between w:val="nil"/>
        </w:pBdr>
        <w:spacing w:line="276" w:lineRule="auto"/>
        <w:ind w:left="284" w:hanging="142"/>
      </w:pPr>
      <w:r>
        <w:t>Hydrocarbures aromatiques polycycliques.</w:t>
      </w:r>
    </w:p>
    <w:p w14:paraId="41A91918" w14:textId="77777777" w:rsidR="00AD5683" w:rsidRDefault="00AD5683">
      <w:pPr>
        <w:widowControl w:val="0"/>
        <w:numPr>
          <w:ilvl w:val="0"/>
          <w:numId w:val="11"/>
        </w:numPr>
        <w:pBdr>
          <w:top w:val="nil"/>
          <w:left w:val="nil"/>
          <w:bottom w:val="nil"/>
          <w:right w:val="nil"/>
          <w:between w:val="nil"/>
        </w:pBdr>
        <w:spacing w:line="276" w:lineRule="auto"/>
        <w:ind w:left="284" w:hanging="142"/>
      </w:pPr>
      <w:r>
        <w:t>Diesel.</w:t>
      </w:r>
    </w:p>
    <w:p w14:paraId="0F347EA5" w14:textId="77777777" w:rsidR="00AD5683" w:rsidRDefault="00AD5683" w:rsidP="004E451D">
      <w:pPr>
        <w:widowControl w:val="0"/>
        <w:pBdr>
          <w:top w:val="nil"/>
          <w:left w:val="nil"/>
          <w:bottom w:val="nil"/>
          <w:right w:val="nil"/>
          <w:between w:val="nil"/>
        </w:pBdr>
        <w:spacing w:line="276" w:lineRule="auto"/>
      </w:pPr>
      <w:r>
        <w:t xml:space="preserve">- Les professions concernées sont nombreuses, justifiant une enquête professionnelle systématique lors de tout diagnostic de CP. </w:t>
      </w:r>
    </w:p>
    <w:p w14:paraId="6BEB3A02" w14:textId="77777777" w:rsidR="00AD5683" w:rsidRDefault="00AD5683" w:rsidP="004E451D">
      <w:pPr>
        <w:widowControl w:val="0"/>
        <w:pBdr>
          <w:top w:val="nil"/>
          <w:left w:val="nil"/>
          <w:bottom w:val="nil"/>
          <w:right w:val="nil"/>
          <w:between w:val="nil"/>
        </w:pBdr>
        <w:spacing w:line="276" w:lineRule="auto"/>
        <w:ind w:left="357"/>
      </w:pPr>
    </w:p>
    <w:p w14:paraId="3A1D562A" w14:textId="77777777" w:rsidR="00AD5683" w:rsidRDefault="00AD5683" w:rsidP="004E451D">
      <w:pPr>
        <w:pStyle w:val="Titre3"/>
      </w:pPr>
      <w:r>
        <w:lastRenderedPageBreak/>
        <w:t>Carcinogènes environnementaux</w:t>
      </w:r>
    </w:p>
    <w:p w14:paraId="127F516B" w14:textId="77777777" w:rsidR="00AD5683" w:rsidRDefault="00AD5683" w:rsidP="004E451D">
      <w:pPr>
        <w:widowControl w:val="0"/>
        <w:pBdr>
          <w:top w:val="nil"/>
          <w:left w:val="nil"/>
          <w:bottom w:val="nil"/>
          <w:right w:val="nil"/>
          <w:between w:val="nil"/>
        </w:pBdr>
        <w:spacing w:line="276" w:lineRule="auto"/>
      </w:pPr>
      <w:r>
        <w:t>L’exposition domestique au Radon est fortement suspectée de constituer une cause de cancer du poumon en France notamment chez les non-fumeurs. Le Radon est un gaz radioactif incolore et inodore naturellement présent dans l’environnement, présent dans le sol et la pierre. Certains départements font l’objet d’une vigilance accrue pour mesurer les taux de Radon.</w:t>
      </w:r>
    </w:p>
    <w:p w14:paraId="39632647" w14:textId="77777777" w:rsidR="00AD5683" w:rsidRDefault="00AD5683" w:rsidP="004E451D">
      <w:pPr>
        <w:widowControl w:val="0"/>
        <w:pBdr>
          <w:top w:val="nil"/>
          <w:left w:val="nil"/>
          <w:bottom w:val="nil"/>
          <w:right w:val="nil"/>
          <w:between w:val="nil"/>
        </w:pBdr>
        <w:spacing w:line="276" w:lineRule="auto"/>
      </w:pPr>
      <w:r>
        <w:t>La pollution atmosphérique est un facteur de risque de cancer du poumon, notamment la pollution particulaire (particules fines dont le Diesel).</w:t>
      </w:r>
    </w:p>
    <w:p w14:paraId="2BC0324F" w14:textId="77777777" w:rsidR="00AD5683" w:rsidRDefault="00AD5683" w:rsidP="004E451D">
      <w:pPr>
        <w:widowControl w:val="0"/>
        <w:pBdr>
          <w:top w:val="nil"/>
          <w:left w:val="nil"/>
          <w:bottom w:val="nil"/>
          <w:right w:val="nil"/>
          <w:between w:val="nil"/>
        </w:pBdr>
        <w:spacing w:line="276" w:lineRule="auto"/>
        <w:ind w:left="357"/>
        <w:rPr>
          <w:i/>
          <w:iCs/>
        </w:rPr>
      </w:pPr>
    </w:p>
    <w:p w14:paraId="0756C33D" w14:textId="51C1EA80" w:rsidR="00AD5683" w:rsidRDefault="004E451D" w:rsidP="004E451D">
      <w:pPr>
        <w:pStyle w:val="Titre3"/>
      </w:pPr>
      <w:r>
        <w:rPr>
          <w:noProof/>
        </w:rPr>
        <w:drawing>
          <wp:anchor distT="0" distB="0" distL="114300" distR="114300" simplePos="0" relativeHeight="251965440" behindDoc="0" locked="0" layoutInCell="1" hidden="0" allowOverlap="1" wp14:anchorId="0F1EC7B0" wp14:editId="40A1EC6B">
            <wp:simplePos x="0" y="0"/>
            <wp:positionH relativeFrom="column">
              <wp:posOffset>-270510</wp:posOffset>
            </wp:positionH>
            <wp:positionV relativeFrom="paragraph">
              <wp:posOffset>332740</wp:posOffset>
            </wp:positionV>
            <wp:extent cx="153670" cy="137160"/>
            <wp:effectExtent l="0" t="0" r="0" b="0"/>
            <wp:wrapSquare wrapText="bothSides" distT="0" distB="0" distL="114300" distR="11430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rsidR="00AD5683">
        <w:t>Facteurs de risque individuel</w:t>
      </w:r>
    </w:p>
    <w:p w14:paraId="268CBA07" w14:textId="11B46CE3" w:rsidR="00AD5683" w:rsidRDefault="00AD5683" w:rsidP="004E451D">
      <w:pPr>
        <w:widowControl w:val="0"/>
        <w:pBdr>
          <w:top w:val="nil"/>
          <w:left w:val="nil"/>
          <w:bottom w:val="nil"/>
          <w:right w:val="nil"/>
          <w:between w:val="nil"/>
        </w:pBdr>
        <w:spacing w:line="276" w:lineRule="auto"/>
        <w:rPr>
          <w:color w:val="0070C0"/>
        </w:rPr>
      </w:pPr>
      <w:r>
        <w:rPr>
          <w:color w:val="0070C0"/>
        </w:rPr>
        <w:t>Les patients souffrant de certaines pathologies respiratoires chroniques, en particulier la BPCO et les pathologies pulmonaires fibrosantes, ont un surrisque de développer un cancer du poumon, indépendamment du tabagisme.</w:t>
      </w:r>
    </w:p>
    <w:p w14:paraId="7FC9613A" w14:textId="77777777" w:rsidR="00AD5683" w:rsidRDefault="00AD5683" w:rsidP="004E451D">
      <w:pPr>
        <w:widowControl w:val="0"/>
        <w:pBdr>
          <w:top w:val="nil"/>
          <w:left w:val="nil"/>
          <w:bottom w:val="nil"/>
          <w:right w:val="nil"/>
          <w:between w:val="nil"/>
        </w:pBdr>
        <w:spacing w:line="276" w:lineRule="auto"/>
        <w:rPr>
          <w:color w:val="0070C0"/>
        </w:rPr>
      </w:pPr>
      <w:r>
        <w:rPr>
          <w:color w:val="0070C0"/>
        </w:rPr>
        <w:t>Les patients ayant déjà présenté un CP ont davantage de risque d’en développer un second, à fortiori s’ils continuent à fumer (carcinogénèse en champ).</w:t>
      </w:r>
    </w:p>
    <w:p w14:paraId="6BA3E13C" w14:textId="77777777" w:rsidR="00AD5683" w:rsidRDefault="00AD5683" w:rsidP="004E451D">
      <w:pPr>
        <w:widowControl w:val="0"/>
        <w:pBdr>
          <w:top w:val="nil"/>
          <w:left w:val="nil"/>
          <w:bottom w:val="nil"/>
          <w:right w:val="nil"/>
          <w:between w:val="nil"/>
        </w:pBdr>
        <w:spacing w:line="276" w:lineRule="auto"/>
        <w:rPr>
          <w:color w:val="0070C0"/>
        </w:rPr>
      </w:pPr>
      <w:r>
        <w:rPr>
          <w:color w:val="0070C0"/>
        </w:rPr>
        <w:t xml:space="preserve">Il existe également des prédispositions familiales et individuelles au CP. Cette prédisposition est toutefois beaucoup plus complexe que dans d’autres modèles (colon ou sein). Il est important de bien comprendre que les mutations somatiques EGFR, KRAS et autres ne sont pas des anomalies constitutionnelles (génome de l’individu) mais bien des altérations présentes dans les cellules cancéreuses. </w:t>
      </w:r>
    </w:p>
    <w:p w14:paraId="09049BAF" w14:textId="77777777" w:rsidR="00AD5683" w:rsidRDefault="00AD5683" w:rsidP="004E451D">
      <w:pPr>
        <w:spacing w:line="276" w:lineRule="auto"/>
      </w:pPr>
    </w:p>
    <w:p w14:paraId="10D536CF" w14:textId="293FFC92" w:rsidR="00AD5683" w:rsidRDefault="004E451D" w:rsidP="004E451D">
      <w:pPr>
        <w:pStyle w:val="Titre2"/>
      </w:pPr>
      <w:r>
        <w:t>Oncogenèse</w:t>
      </w:r>
      <w:r w:rsidR="00AD5683">
        <w:t xml:space="preserve"> </w:t>
      </w:r>
    </w:p>
    <w:p w14:paraId="5EA45972" w14:textId="77777777" w:rsidR="00AD5683" w:rsidRDefault="00AD5683" w:rsidP="004E451D">
      <w:pPr>
        <w:spacing w:line="276" w:lineRule="auto"/>
        <w:rPr>
          <w:color w:val="0070C0"/>
        </w:rPr>
      </w:pPr>
      <w:r>
        <w:rPr>
          <w:color w:val="0070C0"/>
        </w:rPr>
        <w:t>La carcinogenèse évolue en plusieurs étapes, impliquant une série d’altération génétiques entrainant l’activation d’oncogènes (gènes dominants, dont la mutation est activatrice) et/ou l’inactivation de gènes suppresseurs de tumeurs (gènes récessifs dont la perte des 2 allèles est inactivatrice).</w:t>
      </w:r>
    </w:p>
    <w:p w14:paraId="620857BC" w14:textId="77777777" w:rsidR="00AD5683" w:rsidRDefault="00AD5683" w:rsidP="004E451D">
      <w:pPr>
        <w:spacing w:line="276" w:lineRule="auto"/>
        <w:rPr>
          <w:color w:val="0070C0"/>
        </w:rPr>
      </w:pPr>
    </w:p>
    <w:p w14:paraId="751AA1A8" w14:textId="77777777" w:rsidR="00AD5683" w:rsidRDefault="00AD5683" w:rsidP="004E451D">
      <w:pPr>
        <w:spacing w:line="276" w:lineRule="auto"/>
        <w:rPr>
          <w:color w:val="0070C0"/>
        </w:rPr>
      </w:pPr>
      <w:r>
        <w:rPr>
          <w:color w:val="0070C0"/>
        </w:rPr>
        <w:t>Dans le CP, le processus multi-étapes est suggéré par la présence de nombreuses mutations affectant de nombreux gènes, particulièrement chez les patients fumeurs.</w:t>
      </w:r>
    </w:p>
    <w:p w14:paraId="19B8AC7C" w14:textId="77777777" w:rsidR="00AD5683" w:rsidRDefault="00AD5683" w:rsidP="004E451D">
      <w:pPr>
        <w:spacing w:line="276" w:lineRule="auto"/>
        <w:rPr>
          <w:color w:val="0070C0"/>
        </w:rPr>
      </w:pPr>
    </w:p>
    <w:p w14:paraId="5CBDCDAA" w14:textId="77777777" w:rsidR="00AD5683" w:rsidRDefault="00AD5683" w:rsidP="004E451D">
      <w:pPr>
        <w:spacing w:line="276" w:lineRule="auto"/>
        <w:rPr>
          <w:color w:val="00B050"/>
        </w:rPr>
      </w:pPr>
      <w:r>
        <w:rPr>
          <w:color w:val="0070C0"/>
        </w:rPr>
        <w:t xml:space="preserve">Dans certains cas, un seul oncogène est muté : on parle alors « d’addiction oncogénique ». C’est le cas des CP porteurs d’une mutation activatrice du récepteur de </w:t>
      </w:r>
      <w:r>
        <w:rPr>
          <w:i/>
          <w:iCs/>
          <w:color w:val="0070C0"/>
        </w:rPr>
        <w:t>l’</w:t>
      </w:r>
      <w:proofErr w:type="spellStart"/>
      <w:r>
        <w:rPr>
          <w:i/>
          <w:iCs/>
          <w:color w:val="0070C0"/>
        </w:rPr>
        <w:t>Epidermal</w:t>
      </w:r>
      <w:proofErr w:type="spellEnd"/>
      <w:r>
        <w:rPr>
          <w:i/>
          <w:iCs/>
          <w:color w:val="0070C0"/>
        </w:rPr>
        <w:t xml:space="preserve"> </w:t>
      </w:r>
      <w:proofErr w:type="spellStart"/>
      <w:r>
        <w:rPr>
          <w:i/>
          <w:iCs/>
          <w:color w:val="0070C0"/>
        </w:rPr>
        <w:t>Growth</w:t>
      </w:r>
      <w:proofErr w:type="spellEnd"/>
      <w:r>
        <w:rPr>
          <w:i/>
          <w:iCs/>
          <w:color w:val="0070C0"/>
        </w:rPr>
        <w:t xml:space="preserve"> Factor</w:t>
      </w:r>
      <w:r>
        <w:rPr>
          <w:color w:val="0070C0"/>
        </w:rPr>
        <w:t xml:space="preserve"> (EGFR), d’un réarrangement de </w:t>
      </w:r>
      <w:proofErr w:type="spellStart"/>
      <w:r>
        <w:rPr>
          <w:i/>
          <w:iCs/>
          <w:color w:val="0070C0"/>
        </w:rPr>
        <w:t>Anaplastic</w:t>
      </w:r>
      <w:proofErr w:type="spellEnd"/>
      <w:r>
        <w:rPr>
          <w:i/>
          <w:iCs/>
          <w:color w:val="0070C0"/>
        </w:rPr>
        <w:t xml:space="preserve"> </w:t>
      </w:r>
      <w:proofErr w:type="spellStart"/>
      <w:r>
        <w:rPr>
          <w:i/>
          <w:iCs/>
          <w:color w:val="0070C0"/>
        </w:rPr>
        <w:t>Lymphoma</w:t>
      </w:r>
      <w:proofErr w:type="spellEnd"/>
      <w:r>
        <w:rPr>
          <w:i/>
          <w:iCs/>
          <w:color w:val="0070C0"/>
        </w:rPr>
        <w:t xml:space="preserve"> Kinase (ALK)</w:t>
      </w:r>
      <w:r>
        <w:rPr>
          <w:color w:val="0070C0"/>
        </w:rPr>
        <w:t xml:space="preserve">, ou de </w:t>
      </w:r>
      <w:r>
        <w:rPr>
          <w:i/>
          <w:iCs/>
          <w:color w:val="0070C0"/>
        </w:rPr>
        <w:t>ROS1</w:t>
      </w:r>
      <w:r>
        <w:rPr>
          <w:color w:val="0070C0"/>
        </w:rPr>
        <w:t xml:space="preserve">... </w:t>
      </w:r>
      <w:r>
        <w:rPr>
          <w:color w:val="00B050"/>
        </w:rPr>
        <w:t>(liste évoluant régulièrement).</w:t>
      </w:r>
    </w:p>
    <w:p w14:paraId="7887CA92" w14:textId="77777777" w:rsidR="00AD5683" w:rsidRDefault="00AD5683" w:rsidP="004E451D">
      <w:pPr>
        <w:spacing w:line="276" w:lineRule="auto"/>
        <w:rPr>
          <w:color w:val="0070C0"/>
        </w:rPr>
      </w:pPr>
      <w:r>
        <w:rPr>
          <w:color w:val="0070C0"/>
        </w:rPr>
        <w:t>Ces addictions oncogéniques sont principalement détectées dans les adénocarcinomes et chez les non-fumeurs (jamais fumeurs) ou fumeurs sevrés depuis plus de 10 ans. Elles sont prédictives de la réponse aux thérapies ciblées de type inhibiteurs de tyrosine kinase (ITK).</w:t>
      </w:r>
    </w:p>
    <w:p w14:paraId="0C733EC0" w14:textId="77777777" w:rsidR="00AD5683" w:rsidRDefault="00AD5683" w:rsidP="004E451D">
      <w:pPr>
        <w:spacing w:line="276" w:lineRule="auto"/>
        <w:rPr>
          <w:b/>
          <w:bCs/>
        </w:rPr>
      </w:pPr>
    </w:p>
    <w:p w14:paraId="3C3AFB08" w14:textId="77777777" w:rsidR="00AD5683" w:rsidRDefault="00AD5683" w:rsidP="004E451D">
      <w:pPr>
        <w:pStyle w:val="Titre2"/>
      </w:pPr>
      <w:r>
        <w:t xml:space="preserve">Types histologiques </w:t>
      </w:r>
    </w:p>
    <w:p w14:paraId="3DBD2CFC" w14:textId="77777777" w:rsidR="00AD5683" w:rsidRDefault="00AD5683" w:rsidP="004E451D">
      <w:pPr>
        <w:pBdr>
          <w:top w:val="nil"/>
          <w:left w:val="nil"/>
          <w:bottom w:val="nil"/>
          <w:right w:val="nil"/>
          <w:between w:val="nil"/>
        </w:pBdr>
        <w:spacing w:line="276" w:lineRule="auto"/>
        <w:rPr>
          <w:color w:val="0070C0"/>
        </w:rPr>
      </w:pPr>
      <w:r>
        <w:rPr>
          <w:color w:val="0070C0"/>
        </w:rPr>
        <w:t>On distingue 2 grands types histologiques :</w:t>
      </w:r>
    </w:p>
    <w:p w14:paraId="1D73998A" w14:textId="77777777" w:rsidR="00AD5683" w:rsidRDefault="00AD5683" w:rsidP="004E451D">
      <w:pPr>
        <w:pBdr>
          <w:top w:val="nil"/>
          <w:left w:val="nil"/>
          <w:bottom w:val="nil"/>
          <w:right w:val="nil"/>
          <w:between w:val="nil"/>
        </w:pBdr>
        <w:spacing w:line="276" w:lineRule="auto"/>
        <w:rPr>
          <w:color w:val="0070C0"/>
        </w:rPr>
      </w:pPr>
      <w:r>
        <w:rPr>
          <w:color w:val="0070C0"/>
        </w:rPr>
        <w:t>- Les cancers « non à petites cellules » : 85 % des cas, eux-mêmes séparés en :</w:t>
      </w:r>
    </w:p>
    <w:p w14:paraId="76D5FC60" w14:textId="77777777" w:rsidR="00AD5683" w:rsidRDefault="00AD5683">
      <w:pPr>
        <w:numPr>
          <w:ilvl w:val="1"/>
          <w:numId w:val="12"/>
        </w:numPr>
        <w:spacing w:line="276" w:lineRule="auto"/>
        <w:ind w:left="284" w:hanging="142"/>
        <w:rPr>
          <w:color w:val="0070C0"/>
        </w:rPr>
      </w:pPr>
      <w:r>
        <w:rPr>
          <w:color w:val="0070C0"/>
        </w:rPr>
        <w:t>Adénocarcinomes : la majorité.</w:t>
      </w:r>
    </w:p>
    <w:p w14:paraId="0A3FE664" w14:textId="77777777" w:rsidR="00AD5683" w:rsidRDefault="00AD5683">
      <w:pPr>
        <w:numPr>
          <w:ilvl w:val="1"/>
          <w:numId w:val="12"/>
        </w:numPr>
        <w:spacing w:line="276" w:lineRule="auto"/>
        <w:ind w:left="284" w:hanging="142"/>
        <w:rPr>
          <w:color w:val="0070C0"/>
        </w:rPr>
      </w:pPr>
      <w:r>
        <w:rPr>
          <w:color w:val="0070C0"/>
        </w:rPr>
        <w:t>Carcinomes épidermoïdes.</w:t>
      </w:r>
    </w:p>
    <w:p w14:paraId="50763303" w14:textId="77777777" w:rsidR="00AD5683" w:rsidRDefault="00AD5683">
      <w:pPr>
        <w:numPr>
          <w:ilvl w:val="1"/>
          <w:numId w:val="12"/>
        </w:numPr>
        <w:spacing w:line="276" w:lineRule="auto"/>
        <w:ind w:left="284" w:hanging="142"/>
        <w:rPr>
          <w:color w:val="0070C0"/>
        </w:rPr>
      </w:pPr>
      <w:r>
        <w:rPr>
          <w:color w:val="0070C0"/>
        </w:rPr>
        <w:t>Carcinomes autres.</w:t>
      </w:r>
    </w:p>
    <w:p w14:paraId="618FEC21" w14:textId="77777777" w:rsidR="00AD5683" w:rsidRDefault="00AD5683" w:rsidP="004E451D">
      <w:pPr>
        <w:pBdr>
          <w:top w:val="nil"/>
          <w:left w:val="nil"/>
          <w:bottom w:val="nil"/>
          <w:right w:val="nil"/>
          <w:between w:val="nil"/>
        </w:pBdr>
        <w:spacing w:line="276" w:lineRule="auto"/>
        <w:rPr>
          <w:color w:val="0070C0"/>
        </w:rPr>
      </w:pPr>
      <w:r>
        <w:rPr>
          <w:color w:val="0070C0"/>
        </w:rPr>
        <w:lastRenderedPageBreak/>
        <w:t>- Les cancers « à petites cellules » 15 % des cas.</w:t>
      </w:r>
    </w:p>
    <w:p w14:paraId="6962995C" w14:textId="77777777" w:rsidR="00AD5683" w:rsidRDefault="00AD5683" w:rsidP="004E451D">
      <w:pPr>
        <w:spacing w:line="276" w:lineRule="auto"/>
        <w:ind w:left="720"/>
        <w:rPr>
          <w:i/>
          <w:iCs/>
        </w:rPr>
      </w:pPr>
    </w:p>
    <w:p w14:paraId="3A261848" w14:textId="77777777" w:rsidR="004E451D" w:rsidRPr="004E451D" w:rsidRDefault="004E451D" w:rsidP="004E451D">
      <w:pPr>
        <w:pStyle w:val="Paragraphedeliste"/>
        <w:numPr>
          <w:ilvl w:val="0"/>
          <w:numId w:val="1"/>
        </w:numPr>
        <w:spacing w:after="240"/>
        <w:outlineLvl w:val="2"/>
        <w:rPr>
          <w:b/>
          <w:bCs/>
          <w:vanish/>
        </w:rPr>
      </w:pPr>
    </w:p>
    <w:p w14:paraId="255CAEA5" w14:textId="77777777" w:rsidR="004E451D" w:rsidRPr="004E451D" w:rsidRDefault="004E451D" w:rsidP="004E451D">
      <w:pPr>
        <w:pStyle w:val="Paragraphedeliste"/>
        <w:numPr>
          <w:ilvl w:val="0"/>
          <w:numId w:val="1"/>
        </w:numPr>
        <w:spacing w:after="240"/>
        <w:outlineLvl w:val="2"/>
        <w:rPr>
          <w:b/>
          <w:bCs/>
          <w:vanish/>
        </w:rPr>
      </w:pPr>
    </w:p>
    <w:p w14:paraId="06A2436E" w14:textId="627E6104" w:rsidR="00AD5683" w:rsidRDefault="00AD5683" w:rsidP="004E451D">
      <w:pPr>
        <w:pStyle w:val="Titre3"/>
      </w:pPr>
      <w:r>
        <w:t>Adénocarcinomes</w:t>
      </w:r>
    </w:p>
    <w:p w14:paraId="1A0180BF" w14:textId="77777777" w:rsidR="00AD5683" w:rsidRDefault="00AD5683" w:rsidP="004E451D">
      <w:pPr>
        <w:spacing w:line="276" w:lineRule="auto"/>
        <w:rPr>
          <w:color w:val="0070C0"/>
        </w:rPr>
      </w:pPr>
      <w:r>
        <w:rPr>
          <w:color w:val="0070C0"/>
        </w:rPr>
        <w:t>Les plus fréquents, le plus souvent localisés en périphérie du poumon.</w:t>
      </w:r>
    </w:p>
    <w:p w14:paraId="46B4D230" w14:textId="6B4F7104" w:rsidR="00AD5683" w:rsidRDefault="00AD5683" w:rsidP="004E451D">
      <w:pPr>
        <w:spacing w:line="276" w:lineRule="auto"/>
        <w:rPr>
          <w:color w:val="0070C0"/>
        </w:rPr>
      </w:pPr>
      <w:r>
        <w:rPr>
          <w:color w:val="0070C0"/>
        </w:rPr>
        <w:t xml:space="preserve">Leur diagnostic repose sur l’analyse morphologique (architecture glandulaire) souvent aidée de l’immunohistochimie (le plus souvent avec un marquage </w:t>
      </w:r>
      <w:r w:rsidR="0007472D">
        <w:rPr>
          <w:color w:val="0070C0"/>
        </w:rPr>
        <w:t>positif</w:t>
      </w:r>
      <w:r w:rsidR="0007472D">
        <w:rPr>
          <w:color w:val="0070C0"/>
        </w:rPr>
        <w:t xml:space="preserve"> </w:t>
      </w:r>
      <w:r>
        <w:rPr>
          <w:color w:val="0070C0"/>
        </w:rPr>
        <w:t xml:space="preserve">par le </w:t>
      </w:r>
      <w:proofErr w:type="spellStart"/>
      <w:r>
        <w:rPr>
          <w:i/>
          <w:iCs/>
          <w:color w:val="0070C0"/>
        </w:rPr>
        <w:t>Thyroïd</w:t>
      </w:r>
      <w:proofErr w:type="spellEnd"/>
      <w:r>
        <w:rPr>
          <w:i/>
          <w:iCs/>
          <w:color w:val="0070C0"/>
        </w:rPr>
        <w:t xml:space="preserve"> Transcription Factor-1 (TTF1)</w:t>
      </w:r>
      <w:r>
        <w:rPr>
          <w:color w:val="0070C0"/>
        </w:rPr>
        <w:t>).</w:t>
      </w:r>
    </w:p>
    <w:p w14:paraId="21F05B20" w14:textId="77777777" w:rsidR="00AD5683" w:rsidRDefault="00AD5683" w:rsidP="004E451D">
      <w:pPr>
        <w:spacing w:line="276" w:lineRule="auto"/>
        <w:rPr>
          <w:b/>
          <w:bCs/>
          <w:color w:val="0070C0"/>
        </w:rPr>
      </w:pPr>
      <w:r>
        <w:rPr>
          <w:color w:val="0070C0"/>
        </w:rPr>
        <w:t xml:space="preserve">Ils sont parfois associés à une </w:t>
      </w:r>
      <w:r>
        <w:rPr>
          <w:b/>
          <w:bCs/>
          <w:color w:val="0070C0"/>
        </w:rPr>
        <w:t xml:space="preserve">addiction oncogénique </w:t>
      </w:r>
      <w:r>
        <w:rPr>
          <w:color w:val="0070C0"/>
        </w:rPr>
        <w:t>(voir 2).</w:t>
      </w:r>
    </w:p>
    <w:p w14:paraId="1CE48C61" w14:textId="77777777" w:rsidR="00AD5683" w:rsidRDefault="00AD5683" w:rsidP="004E451D">
      <w:pPr>
        <w:spacing w:line="276" w:lineRule="auto"/>
        <w:rPr>
          <w:i/>
          <w:iCs/>
        </w:rPr>
      </w:pPr>
    </w:p>
    <w:p w14:paraId="06EA3018" w14:textId="77777777" w:rsidR="00AD5683" w:rsidRDefault="00AD5683" w:rsidP="004E451D">
      <w:pPr>
        <w:pStyle w:val="Titre3"/>
      </w:pPr>
      <w:r>
        <w:t>Carcinomes épidermoïdes ou malpighiens</w:t>
      </w:r>
    </w:p>
    <w:p w14:paraId="6143CDCD" w14:textId="77777777" w:rsidR="00AD5683" w:rsidRDefault="00AD5683" w:rsidP="004E451D">
      <w:pPr>
        <w:spacing w:line="276" w:lineRule="auto"/>
        <w:rPr>
          <w:color w:val="0070C0"/>
        </w:rPr>
      </w:pPr>
      <w:r>
        <w:rPr>
          <w:color w:val="0070C0"/>
        </w:rPr>
        <w:t>De localisation proximale.</w:t>
      </w:r>
    </w:p>
    <w:p w14:paraId="013B1D73" w14:textId="77777777" w:rsidR="00AD5683" w:rsidRDefault="00AD5683" w:rsidP="004E451D">
      <w:pPr>
        <w:spacing w:line="276" w:lineRule="auto"/>
        <w:rPr>
          <w:color w:val="0070C0"/>
        </w:rPr>
      </w:pPr>
      <w:r>
        <w:rPr>
          <w:color w:val="0070C0"/>
        </w:rPr>
        <w:t xml:space="preserve">Positifs pour un marquage par p40 en immunohistochimie. </w:t>
      </w:r>
    </w:p>
    <w:p w14:paraId="53E56E70" w14:textId="77777777" w:rsidR="00AD5683" w:rsidRDefault="00AD5683" w:rsidP="004E451D">
      <w:pPr>
        <w:spacing w:line="276" w:lineRule="auto"/>
        <w:rPr>
          <w:i/>
          <w:iCs/>
        </w:rPr>
      </w:pPr>
    </w:p>
    <w:p w14:paraId="23CA983B" w14:textId="77777777" w:rsidR="00AD5683" w:rsidRDefault="00AD5683" w:rsidP="004E451D">
      <w:pPr>
        <w:pStyle w:val="Titre3"/>
      </w:pPr>
      <w:r>
        <w:t>Carcinomes à petites cellules</w:t>
      </w:r>
    </w:p>
    <w:p w14:paraId="2E3ED0B3" w14:textId="77777777" w:rsidR="00AD5683" w:rsidRDefault="00AD5683" w:rsidP="004E451D">
      <w:pPr>
        <w:spacing w:line="276" w:lineRule="auto"/>
        <w:rPr>
          <w:color w:val="0070C0"/>
        </w:rPr>
      </w:pPr>
      <w:r>
        <w:rPr>
          <w:color w:val="0070C0"/>
        </w:rPr>
        <w:t>Le plus souvent sous la forme de tumeurs volumineuses, développées à partir des voies aériennes proximales et s’étendant au médiastin, entraînant une compression extrinsèque et une infiltration de l’arbre bronchique ainsi que des syndromes de compression médiastinale.</w:t>
      </w:r>
    </w:p>
    <w:p w14:paraId="3AD91E85" w14:textId="77777777" w:rsidR="00AD5683" w:rsidRDefault="00AD5683" w:rsidP="004E451D">
      <w:pPr>
        <w:spacing w:line="276" w:lineRule="auto"/>
        <w:rPr>
          <w:color w:val="0070C0"/>
        </w:rPr>
      </w:pPr>
      <w:r>
        <w:rPr>
          <w:color w:val="0070C0"/>
        </w:rPr>
        <w:t>L’association aux syndromes paranéoplasiques est fréquente.</w:t>
      </w:r>
    </w:p>
    <w:p w14:paraId="3674B6B3" w14:textId="77777777" w:rsidR="00AD5683" w:rsidRDefault="00AD5683" w:rsidP="004E451D">
      <w:pPr>
        <w:spacing w:line="276" w:lineRule="auto"/>
        <w:rPr>
          <w:color w:val="0070C0"/>
        </w:rPr>
      </w:pPr>
      <w:r>
        <w:rPr>
          <w:color w:val="0070C0"/>
        </w:rPr>
        <w:t xml:space="preserve">Positifs pour un marquage neuroendocrine en </w:t>
      </w:r>
      <w:proofErr w:type="spellStart"/>
      <w:r>
        <w:rPr>
          <w:color w:val="0070C0"/>
        </w:rPr>
        <w:t>immuno-histochimie</w:t>
      </w:r>
      <w:proofErr w:type="spellEnd"/>
      <w:r>
        <w:rPr>
          <w:color w:val="0070C0"/>
        </w:rPr>
        <w:t>.</w:t>
      </w:r>
    </w:p>
    <w:p w14:paraId="3691B776" w14:textId="77777777" w:rsidR="00AD5683" w:rsidRDefault="00AD5683" w:rsidP="004E451D">
      <w:pPr>
        <w:spacing w:line="276" w:lineRule="auto"/>
        <w:rPr>
          <w:color w:val="0070C0"/>
        </w:rPr>
      </w:pPr>
    </w:p>
    <w:p w14:paraId="7177997E" w14:textId="164525E8" w:rsidR="00AD5683" w:rsidRDefault="00AD5683" w:rsidP="004E451D">
      <w:pPr>
        <w:pStyle w:val="titredepartie"/>
      </w:pPr>
      <w:r>
        <w:t>Stratégie diagnostique devant UN cancer PRIMITIF du poumon (CP)</w:t>
      </w:r>
    </w:p>
    <w:p w14:paraId="14487D6C" w14:textId="77777777" w:rsidR="00AD5683" w:rsidRDefault="00AD5683" w:rsidP="004E451D">
      <w:pPr>
        <w:pStyle w:val="titredesous-partie"/>
        <w:rPr>
          <w:i/>
          <w:iCs/>
        </w:rPr>
      </w:pPr>
      <w:r>
        <w:rPr>
          <w:shd w:val="clear" w:color="auto" w:fill="auto"/>
        </w:rPr>
        <w:t>MOTIF DE CONSULTATION/PRISE EN CHARGE</w:t>
      </w:r>
      <w:r>
        <w:rPr>
          <w:i/>
          <w:iCs/>
          <w:shd w:val="clear" w:color="auto" w:fill="auto"/>
        </w:rPr>
        <w:t xml:space="preserve"> </w:t>
      </w:r>
    </w:p>
    <w:p w14:paraId="3C005B72" w14:textId="77777777" w:rsidR="00AD5683" w:rsidRDefault="00AD5683" w:rsidP="004E451D">
      <w:pPr>
        <w:pBdr>
          <w:top w:val="nil"/>
          <w:left w:val="nil"/>
          <w:bottom w:val="nil"/>
          <w:right w:val="nil"/>
          <w:between w:val="nil"/>
        </w:pBdr>
        <w:spacing w:line="276" w:lineRule="auto"/>
      </w:pPr>
      <w:r>
        <w:rPr>
          <w:b/>
          <w:bCs/>
        </w:rPr>
        <w:t>75 %</w:t>
      </w:r>
      <w:r>
        <w:t xml:space="preserve"> des CP sont diagnostiqués à un stade localement avancé ou métastatique, parce que : </w:t>
      </w:r>
    </w:p>
    <w:p w14:paraId="74C0FBA1" w14:textId="77777777" w:rsidR="00AD5683" w:rsidRDefault="00AD5683" w:rsidP="004E451D">
      <w:pPr>
        <w:pBdr>
          <w:top w:val="nil"/>
          <w:left w:val="nil"/>
          <w:bottom w:val="nil"/>
          <w:right w:val="nil"/>
          <w:between w:val="nil"/>
        </w:pBdr>
        <w:spacing w:line="276" w:lineRule="auto"/>
      </w:pPr>
      <w:r>
        <w:t>- Le poumon et les bronches n’ont pas d’innervation nociceptive (pas de douleur).</w:t>
      </w:r>
    </w:p>
    <w:p w14:paraId="2A8239D0" w14:textId="77777777" w:rsidR="00AD5683" w:rsidRDefault="00AD5683" w:rsidP="004E451D">
      <w:pPr>
        <w:pBdr>
          <w:top w:val="nil"/>
          <w:left w:val="nil"/>
          <w:bottom w:val="nil"/>
          <w:right w:val="nil"/>
          <w:between w:val="nil"/>
        </w:pBdr>
        <w:spacing w:line="276" w:lineRule="auto"/>
      </w:pPr>
      <w:r>
        <w:t>- Les symptômes révélateurs du CP ne sont pas spécifiques (surtout chez le fumeur).</w:t>
      </w:r>
    </w:p>
    <w:p w14:paraId="60F0B0CF" w14:textId="77777777" w:rsidR="00AD5683" w:rsidRDefault="00AD5683" w:rsidP="004E451D">
      <w:pPr>
        <w:pBdr>
          <w:top w:val="nil"/>
          <w:left w:val="nil"/>
          <w:bottom w:val="nil"/>
          <w:right w:val="nil"/>
          <w:between w:val="nil"/>
        </w:pBdr>
        <w:spacing w:line="276" w:lineRule="auto"/>
      </w:pPr>
      <w:r>
        <w:t>- Les symptômes n’apparaissent que lorsque des organes centraux (bronches ou vaisseaux) ou périphériques (paroi, plèvre) sont touchés, ou en cas de métastase(s), or le volume pulmonaire est grand (6 litres) et le volume d’un CP débutant est petit.</w:t>
      </w:r>
    </w:p>
    <w:p w14:paraId="68EED7E4" w14:textId="77777777" w:rsidR="0007472D" w:rsidRDefault="0007472D" w:rsidP="004E451D">
      <w:pPr>
        <w:pBdr>
          <w:top w:val="nil"/>
          <w:left w:val="nil"/>
          <w:bottom w:val="nil"/>
          <w:right w:val="nil"/>
          <w:between w:val="nil"/>
        </w:pBdr>
        <w:spacing w:line="276" w:lineRule="auto"/>
      </w:pPr>
    </w:p>
    <w:p w14:paraId="19A6F72E" w14:textId="77777777" w:rsidR="0007472D" w:rsidRDefault="0007472D" w:rsidP="004E451D">
      <w:pPr>
        <w:pBdr>
          <w:top w:val="nil"/>
          <w:left w:val="nil"/>
          <w:bottom w:val="nil"/>
          <w:right w:val="nil"/>
          <w:between w:val="nil"/>
        </w:pBdr>
        <w:spacing w:line="276" w:lineRule="auto"/>
      </w:pPr>
    </w:p>
    <w:p w14:paraId="0D713060" w14:textId="77777777" w:rsidR="0007472D" w:rsidRDefault="0007472D" w:rsidP="004E451D">
      <w:pPr>
        <w:pBdr>
          <w:top w:val="nil"/>
          <w:left w:val="nil"/>
          <w:bottom w:val="nil"/>
          <w:right w:val="nil"/>
          <w:between w:val="nil"/>
        </w:pBdr>
        <w:spacing w:line="276" w:lineRule="auto"/>
      </w:pPr>
    </w:p>
    <w:p w14:paraId="6B07B3E3" w14:textId="77777777" w:rsidR="0007472D" w:rsidRDefault="0007472D" w:rsidP="004E451D">
      <w:pPr>
        <w:pBdr>
          <w:top w:val="nil"/>
          <w:left w:val="nil"/>
          <w:bottom w:val="nil"/>
          <w:right w:val="nil"/>
          <w:between w:val="nil"/>
        </w:pBdr>
        <w:spacing w:line="276" w:lineRule="auto"/>
      </w:pPr>
    </w:p>
    <w:p w14:paraId="375F3AD3" w14:textId="77777777" w:rsidR="0007472D" w:rsidRDefault="0007472D" w:rsidP="004E451D">
      <w:pPr>
        <w:pBdr>
          <w:top w:val="nil"/>
          <w:left w:val="nil"/>
          <w:bottom w:val="nil"/>
          <w:right w:val="nil"/>
          <w:between w:val="nil"/>
        </w:pBdr>
        <w:spacing w:line="276" w:lineRule="auto"/>
      </w:pPr>
    </w:p>
    <w:p w14:paraId="211B3C0B" w14:textId="77777777" w:rsidR="0007472D" w:rsidRDefault="0007472D" w:rsidP="004E451D">
      <w:pPr>
        <w:pBdr>
          <w:top w:val="nil"/>
          <w:left w:val="nil"/>
          <w:bottom w:val="nil"/>
          <w:right w:val="nil"/>
          <w:between w:val="nil"/>
        </w:pBdr>
        <w:spacing w:line="276" w:lineRule="auto"/>
      </w:pPr>
    </w:p>
    <w:p w14:paraId="70E865B8" w14:textId="77777777" w:rsidR="0007472D" w:rsidRDefault="0007472D" w:rsidP="004E451D">
      <w:pPr>
        <w:pBdr>
          <w:top w:val="nil"/>
          <w:left w:val="nil"/>
          <w:bottom w:val="nil"/>
          <w:right w:val="nil"/>
          <w:between w:val="nil"/>
        </w:pBdr>
        <w:spacing w:line="276" w:lineRule="auto"/>
      </w:pPr>
    </w:p>
    <w:p w14:paraId="0EB55F6E" w14:textId="77777777" w:rsidR="0007472D" w:rsidRDefault="0007472D" w:rsidP="004E451D">
      <w:pPr>
        <w:pBdr>
          <w:top w:val="nil"/>
          <w:left w:val="nil"/>
          <w:bottom w:val="nil"/>
          <w:right w:val="nil"/>
          <w:between w:val="nil"/>
        </w:pBdr>
        <w:spacing w:line="276" w:lineRule="auto"/>
      </w:pPr>
    </w:p>
    <w:p w14:paraId="1C78F8AA" w14:textId="77777777" w:rsidR="0007472D" w:rsidRDefault="0007472D" w:rsidP="004E451D">
      <w:pPr>
        <w:pBdr>
          <w:top w:val="nil"/>
          <w:left w:val="nil"/>
          <w:bottom w:val="nil"/>
          <w:right w:val="nil"/>
          <w:between w:val="nil"/>
        </w:pBdr>
        <w:spacing w:line="276" w:lineRule="auto"/>
      </w:pPr>
    </w:p>
    <w:p w14:paraId="599D07F4" w14:textId="77777777" w:rsidR="0007472D" w:rsidRDefault="0007472D" w:rsidP="004E451D">
      <w:pPr>
        <w:pBdr>
          <w:top w:val="nil"/>
          <w:left w:val="nil"/>
          <w:bottom w:val="nil"/>
          <w:right w:val="nil"/>
          <w:between w:val="nil"/>
        </w:pBdr>
        <w:spacing w:line="276" w:lineRule="auto"/>
      </w:pPr>
    </w:p>
    <w:p w14:paraId="55865E61" w14:textId="77777777" w:rsidR="0007472D" w:rsidRDefault="0007472D" w:rsidP="004E451D">
      <w:pPr>
        <w:pBdr>
          <w:top w:val="nil"/>
          <w:left w:val="nil"/>
          <w:bottom w:val="nil"/>
          <w:right w:val="nil"/>
          <w:between w:val="nil"/>
        </w:pBdr>
        <w:spacing w:line="276" w:lineRule="auto"/>
      </w:pPr>
    </w:p>
    <w:p w14:paraId="0397338A" w14:textId="77777777" w:rsidR="0007472D" w:rsidRDefault="0007472D" w:rsidP="004E451D">
      <w:pPr>
        <w:pBdr>
          <w:top w:val="nil"/>
          <w:left w:val="nil"/>
          <w:bottom w:val="nil"/>
          <w:right w:val="nil"/>
          <w:between w:val="nil"/>
        </w:pBdr>
        <w:spacing w:line="276" w:lineRule="auto"/>
      </w:pPr>
    </w:p>
    <w:p w14:paraId="6C42D92C" w14:textId="77777777" w:rsidR="0007472D" w:rsidRDefault="0007472D" w:rsidP="004E451D">
      <w:pPr>
        <w:pBdr>
          <w:top w:val="nil"/>
          <w:left w:val="nil"/>
          <w:bottom w:val="nil"/>
          <w:right w:val="nil"/>
          <w:between w:val="nil"/>
        </w:pBdr>
        <w:spacing w:line="276" w:lineRule="auto"/>
      </w:pPr>
    </w:p>
    <w:p w14:paraId="0CBBE3A6" w14:textId="7127654F" w:rsidR="00AD5683" w:rsidRPr="0007472D" w:rsidRDefault="0007472D" w:rsidP="0007472D">
      <w:pPr>
        <w:pBdr>
          <w:top w:val="nil"/>
          <w:left w:val="nil"/>
          <w:bottom w:val="nil"/>
          <w:right w:val="nil"/>
          <w:between w:val="nil"/>
        </w:pBdr>
        <w:rPr>
          <w:rFonts w:ascii="Arial" w:eastAsia="Arial" w:hAnsi="Arial"/>
          <w:sz w:val="18"/>
          <w:szCs w:val="18"/>
        </w:rPr>
      </w:pPr>
      <w:r w:rsidRPr="00D07194">
        <w:rPr>
          <w:rFonts w:ascii="Arial" w:eastAsia="Arial" w:hAnsi="Arial"/>
          <w:sz w:val="18"/>
          <w:szCs w:val="18"/>
        </w:rPr>
        <w:lastRenderedPageBreak/>
        <w:t>Tableau 1 : Modes de présentation clinique du cancer primitif du poumon.</w:t>
      </w:r>
    </w:p>
    <w:tbl>
      <w:tblPr>
        <w:tblW w:w="9072" w:type="dxa"/>
        <w:tblInd w:w="-5" w:type="dxa"/>
        <w:tblBorders>
          <w:top w:val="single" w:sz="2" w:space="0" w:color="747474" w:themeColor="background2" w:themeShade="80"/>
          <w:left w:val="single" w:sz="2" w:space="0" w:color="747474" w:themeColor="background2" w:themeShade="80"/>
          <w:bottom w:val="single" w:sz="2" w:space="0" w:color="747474" w:themeColor="background2" w:themeShade="80"/>
          <w:right w:val="single" w:sz="2" w:space="0" w:color="747474" w:themeColor="background2" w:themeShade="80"/>
          <w:insideH w:val="single" w:sz="2" w:space="0" w:color="747474" w:themeColor="background2" w:themeShade="80"/>
          <w:insideV w:val="single" w:sz="2" w:space="0" w:color="747474" w:themeColor="background2" w:themeShade="80"/>
        </w:tblBorders>
        <w:tblLayout w:type="fixed"/>
        <w:tblLook w:val="0400" w:firstRow="0" w:lastRow="0" w:firstColumn="0" w:lastColumn="0" w:noHBand="0" w:noVBand="1"/>
      </w:tblPr>
      <w:tblGrid>
        <w:gridCol w:w="3546"/>
        <w:gridCol w:w="5526"/>
      </w:tblGrid>
      <w:tr w:rsidR="00AD5683" w14:paraId="77D03E8E" w14:textId="77777777" w:rsidTr="004E451D">
        <w:tc>
          <w:tcPr>
            <w:tcW w:w="3546" w:type="dxa"/>
            <w:vMerge w:val="restart"/>
            <w:vAlign w:val="center"/>
          </w:tcPr>
          <w:p w14:paraId="1F1900BE" w14:textId="77777777" w:rsidR="00AD5683" w:rsidRDefault="00AD5683" w:rsidP="004E451D">
            <w:pPr>
              <w:spacing w:line="276" w:lineRule="auto"/>
              <w:jc w:val="left"/>
              <w:rPr>
                <w:rFonts w:ascii="Calibri" w:eastAsia="Calibri" w:hAnsi="Calibri" w:cs="Calibri"/>
              </w:rPr>
            </w:pPr>
            <w:r>
              <w:rPr>
                <w:rFonts w:ascii="Calibri" w:eastAsia="Calibri" w:hAnsi="Calibri" w:cs="Calibri"/>
              </w:rPr>
              <w:t>Symptômes respiratoires</w:t>
            </w:r>
          </w:p>
        </w:tc>
        <w:tc>
          <w:tcPr>
            <w:tcW w:w="5526" w:type="dxa"/>
          </w:tcPr>
          <w:p w14:paraId="1D3E3DA9" w14:textId="77777777" w:rsidR="00AD5683" w:rsidRDefault="00AD5683" w:rsidP="004E451D">
            <w:pPr>
              <w:spacing w:line="276" w:lineRule="auto"/>
              <w:rPr>
                <w:rFonts w:ascii="Calibri" w:eastAsia="Calibri" w:hAnsi="Calibri" w:cs="Calibri"/>
              </w:rPr>
            </w:pPr>
            <w:r>
              <w:rPr>
                <w:rFonts w:ascii="Calibri" w:eastAsia="Calibri" w:hAnsi="Calibri" w:cs="Calibri"/>
              </w:rPr>
              <w:t xml:space="preserve">Toux, dyspnée, hémoptysie </w:t>
            </w:r>
          </w:p>
        </w:tc>
      </w:tr>
      <w:tr w:rsidR="00AD5683" w14:paraId="41E48A70" w14:textId="77777777" w:rsidTr="004E451D">
        <w:tc>
          <w:tcPr>
            <w:tcW w:w="3546" w:type="dxa"/>
            <w:vMerge/>
            <w:vAlign w:val="center"/>
          </w:tcPr>
          <w:p w14:paraId="0AFCB657" w14:textId="77777777" w:rsidR="00AD5683" w:rsidRDefault="00AD5683" w:rsidP="004E451D">
            <w:pPr>
              <w:widowControl w:val="0"/>
              <w:pBdr>
                <w:top w:val="nil"/>
                <w:left w:val="nil"/>
                <w:bottom w:val="nil"/>
                <w:right w:val="nil"/>
                <w:between w:val="nil"/>
              </w:pBdr>
              <w:spacing w:line="276" w:lineRule="auto"/>
              <w:jc w:val="left"/>
              <w:rPr>
                <w:rFonts w:ascii="Calibri" w:eastAsia="Calibri" w:hAnsi="Calibri" w:cs="Calibri"/>
              </w:rPr>
            </w:pPr>
          </w:p>
        </w:tc>
        <w:tc>
          <w:tcPr>
            <w:tcW w:w="5526" w:type="dxa"/>
          </w:tcPr>
          <w:p w14:paraId="1BEBD8B0" w14:textId="77777777" w:rsidR="00AD5683" w:rsidRDefault="00AD5683" w:rsidP="004E451D">
            <w:pPr>
              <w:spacing w:line="276" w:lineRule="auto"/>
              <w:rPr>
                <w:rFonts w:ascii="Calibri" w:eastAsia="Calibri" w:hAnsi="Calibri" w:cs="Calibri"/>
              </w:rPr>
            </w:pPr>
            <w:r>
              <w:rPr>
                <w:rFonts w:ascii="Calibri" w:eastAsia="Calibri" w:hAnsi="Calibri" w:cs="Calibri"/>
              </w:rPr>
              <w:t>Infection respiratoire basse récidivante</w:t>
            </w:r>
          </w:p>
        </w:tc>
      </w:tr>
      <w:tr w:rsidR="00AD5683" w14:paraId="620CB208" w14:textId="77777777" w:rsidTr="004E451D">
        <w:tc>
          <w:tcPr>
            <w:tcW w:w="3546" w:type="dxa"/>
            <w:vMerge w:val="restart"/>
            <w:vAlign w:val="center"/>
          </w:tcPr>
          <w:p w14:paraId="779FD4DC" w14:textId="77777777" w:rsidR="00AD5683" w:rsidRDefault="00AD5683" w:rsidP="004E451D">
            <w:pPr>
              <w:spacing w:line="276" w:lineRule="auto"/>
              <w:jc w:val="left"/>
              <w:rPr>
                <w:rFonts w:ascii="Calibri" w:eastAsia="Calibri" w:hAnsi="Calibri" w:cs="Calibri"/>
              </w:rPr>
            </w:pPr>
            <w:r>
              <w:rPr>
                <w:rFonts w:ascii="Calibri" w:eastAsia="Calibri" w:hAnsi="Calibri" w:cs="Calibri"/>
              </w:rPr>
              <w:t>Extension locorégionale</w:t>
            </w:r>
          </w:p>
        </w:tc>
        <w:tc>
          <w:tcPr>
            <w:tcW w:w="5526" w:type="dxa"/>
          </w:tcPr>
          <w:p w14:paraId="49B5E486" w14:textId="77777777" w:rsidR="00AD5683" w:rsidRDefault="00AD5683" w:rsidP="004E451D">
            <w:pPr>
              <w:spacing w:line="276" w:lineRule="auto"/>
              <w:rPr>
                <w:rFonts w:ascii="Calibri" w:eastAsia="Calibri" w:hAnsi="Calibri" w:cs="Calibri"/>
              </w:rPr>
            </w:pPr>
            <w:r>
              <w:rPr>
                <w:rFonts w:ascii="Calibri" w:eastAsia="Calibri" w:hAnsi="Calibri" w:cs="Calibri"/>
              </w:rPr>
              <w:t>Syndrome cave supérieur (a)</w:t>
            </w:r>
          </w:p>
        </w:tc>
      </w:tr>
      <w:tr w:rsidR="00AD5683" w14:paraId="726F0396" w14:textId="77777777" w:rsidTr="004E451D">
        <w:tc>
          <w:tcPr>
            <w:tcW w:w="3546" w:type="dxa"/>
            <w:vMerge/>
            <w:vAlign w:val="center"/>
          </w:tcPr>
          <w:p w14:paraId="1C16D671" w14:textId="77777777" w:rsidR="00AD5683" w:rsidRDefault="00AD5683" w:rsidP="004E451D">
            <w:pPr>
              <w:widowControl w:val="0"/>
              <w:pBdr>
                <w:top w:val="nil"/>
                <w:left w:val="nil"/>
                <w:bottom w:val="nil"/>
                <w:right w:val="nil"/>
                <w:between w:val="nil"/>
              </w:pBdr>
              <w:spacing w:line="276" w:lineRule="auto"/>
              <w:jc w:val="left"/>
              <w:rPr>
                <w:rFonts w:ascii="Calibri" w:eastAsia="Calibri" w:hAnsi="Calibri" w:cs="Calibri"/>
              </w:rPr>
            </w:pPr>
          </w:p>
        </w:tc>
        <w:tc>
          <w:tcPr>
            <w:tcW w:w="5526" w:type="dxa"/>
          </w:tcPr>
          <w:p w14:paraId="332D785B" w14:textId="77777777" w:rsidR="00AD5683" w:rsidRDefault="00AD5683" w:rsidP="004E451D">
            <w:pPr>
              <w:spacing w:line="276" w:lineRule="auto"/>
              <w:rPr>
                <w:rFonts w:ascii="Calibri" w:eastAsia="Calibri" w:hAnsi="Calibri" w:cs="Calibri"/>
              </w:rPr>
            </w:pPr>
            <w:r>
              <w:rPr>
                <w:rFonts w:ascii="Calibri" w:eastAsia="Calibri" w:hAnsi="Calibri" w:cs="Calibri"/>
              </w:rPr>
              <w:t>Dysphonie</w:t>
            </w:r>
          </w:p>
        </w:tc>
      </w:tr>
      <w:tr w:rsidR="00AD5683" w14:paraId="6264D51F" w14:textId="77777777" w:rsidTr="004E451D">
        <w:tc>
          <w:tcPr>
            <w:tcW w:w="3546" w:type="dxa"/>
            <w:vMerge/>
            <w:vAlign w:val="center"/>
          </w:tcPr>
          <w:p w14:paraId="27E98B1A" w14:textId="77777777" w:rsidR="00AD5683" w:rsidRDefault="00AD5683" w:rsidP="004E451D">
            <w:pPr>
              <w:widowControl w:val="0"/>
              <w:pBdr>
                <w:top w:val="nil"/>
                <w:left w:val="nil"/>
                <w:bottom w:val="nil"/>
                <w:right w:val="nil"/>
                <w:between w:val="nil"/>
              </w:pBdr>
              <w:spacing w:line="276" w:lineRule="auto"/>
              <w:jc w:val="left"/>
              <w:rPr>
                <w:rFonts w:ascii="Calibri" w:eastAsia="Calibri" w:hAnsi="Calibri" w:cs="Calibri"/>
              </w:rPr>
            </w:pPr>
          </w:p>
        </w:tc>
        <w:tc>
          <w:tcPr>
            <w:tcW w:w="5526" w:type="dxa"/>
          </w:tcPr>
          <w:p w14:paraId="458A36CB" w14:textId="77777777" w:rsidR="00AD5683" w:rsidRDefault="00AD5683" w:rsidP="004E451D">
            <w:pPr>
              <w:spacing w:line="276" w:lineRule="auto"/>
              <w:rPr>
                <w:rFonts w:ascii="Calibri" w:eastAsia="Calibri" w:hAnsi="Calibri" w:cs="Calibri"/>
              </w:rPr>
            </w:pPr>
            <w:r>
              <w:rPr>
                <w:rFonts w:ascii="Calibri" w:eastAsia="Calibri" w:hAnsi="Calibri" w:cs="Calibri"/>
              </w:rPr>
              <w:t>Douleur thoracique</w:t>
            </w:r>
          </w:p>
        </w:tc>
      </w:tr>
      <w:tr w:rsidR="00AD5683" w14:paraId="340C6666" w14:textId="77777777" w:rsidTr="004E451D">
        <w:tc>
          <w:tcPr>
            <w:tcW w:w="3546" w:type="dxa"/>
            <w:vMerge/>
            <w:vAlign w:val="center"/>
          </w:tcPr>
          <w:p w14:paraId="5150FC20" w14:textId="77777777" w:rsidR="00AD5683" w:rsidRDefault="00AD5683" w:rsidP="004E451D">
            <w:pPr>
              <w:widowControl w:val="0"/>
              <w:pBdr>
                <w:top w:val="nil"/>
                <w:left w:val="nil"/>
                <w:bottom w:val="nil"/>
                <w:right w:val="nil"/>
                <w:between w:val="nil"/>
              </w:pBdr>
              <w:spacing w:line="276" w:lineRule="auto"/>
              <w:jc w:val="left"/>
              <w:rPr>
                <w:rFonts w:ascii="Calibri" w:eastAsia="Calibri" w:hAnsi="Calibri" w:cs="Calibri"/>
              </w:rPr>
            </w:pPr>
          </w:p>
        </w:tc>
        <w:tc>
          <w:tcPr>
            <w:tcW w:w="5526" w:type="dxa"/>
          </w:tcPr>
          <w:p w14:paraId="2AE526C0" w14:textId="77777777" w:rsidR="00AD5683" w:rsidRDefault="00AD5683" w:rsidP="004E451D">
            <w:pPr>
              <w:spacing w:line="276" w:lineRule="auto"/>
              <w:rPr>
                <w:rFonts w:ascii="Calibri" w:eastAsia="Calibri" w:hAnsi="Calibri" w:cs="Calibri"/>
              </w:rPr>
            </w:pPr>
            <w:r>
              <w:rPr>
                <w:rFonts w:ascii="Calibri" w:eastAsia="Calibri" w:hAnsi="Calibri" w:cs="Calibri"/>
              </w:rPr>
              <w:t>Syndrome de Pancoast Tobias (b)</w:t>
            </w:r>
          </w:p>
        </w:tc>
      </w:tr>
      <w:tr w:rsidR="00AD5683" w14:paraId="3AE04416" w14:textId="77777777" w:rsidTr="004E451D">
        <w:tc>
          <w:tcPr>
            <w:tcW w:w="3546" w:type="dxa"/>
            <w:vMerge/>
            <w:vAlign w:val="center"/>
          </w:tcPr>
          <w:p w14:paraId="5AC117F1" w14:textId="77777777" w:rsidR="00AD5683" w:rsidRDefault="00AD5683" w:rsidP="004E451D">
            <w:pPr>
              <w:widowControl w:val="0"/>
              <w:pBdr>
                <w:top w:val="nil"/>
                <w:left w:val="nil"/>
                <w:bottom w:val="nil"/>
                <w:right w:val="nil"/>
                <w:between w:val="nil"/>
              </w:pBdr>
              <w:spacing w:line="276" w:lineRule="auto"/>
              <w:jc w:val="left"/>
              <w:rPr>
                <w:rFonts w:ascii="Calibri" w:eastAsia="Calibri" w:hAnsi="Calibri" w:cs="Calibri"/>
              </w:rPr>
            </w:pPr>
          </w:p>
        </w:tc>
        <w:tc>
          <w:tcPr>
            <w:tcW w:w="5526" w:type="dxa"/>
          </w:tcPr>
          <w:p w14:paraId="3CC05DEE" w14:textId="77777777" w:rsidR="00AD5683" w:rsidRDefault="00AD5683" w:rsidP="004E451D">
            <w:pPr>
              <w:spacing w:line="276" w:lineRule="auto"/>
              <w:rPr>
                <w:rFonts w:ascii="Calibri" w:eastAsia="Calibri" w:hAnsi="Calibri" w:cs="Calibri"/>
              </w:rPr>
            </w:pPr>
            <w:r>
              <w:rPr>
                <w:rFonts w:ascii="Calibri" w:eastAsia="Calibri" w:hAnsi="Calibri" w:cs="Calibri"/>
              </w:rPr>
              <w:t>Infection respiratoire basse récidivante</w:t>
            </w:r>
          </w:p>
        </w:tc>
      </w:tr>
      <w:tr w:rsidR="00AD5683" w14:paraId="75BF5D29" w14:textId="77777777" w:rsidTr="004E451D">
        <w:tc>
          <w:tcPr>
            <w:tcW w:w="3546" w:type="dxa"/>
            <w:vAlign w:val="center"/>
          </w:tcPr>
          <w:p w14:paraId="48A0C48D" w14:textId="77777777" w:rsidR="00AD5683" w:rsidRDefault="00AD5683" w:rsidP="004E451D">
            <w:pPr>
              <w:spacing w:line="276" w:lineRule="auto"/>
              <w:jc w:val="left"/>
              <w:rPr>
                <w:rFonts w:ascii="Calibri" w:eastAsia="Calibri" w:hAnsi="Calibri" w:cs="Calibri"/>
              </w:rPr>
            </w:pPr>
            <w:r>
              <w:rPr>
                <w:rFonts w:ascii="Calibri" w:eastAsia="Calibri" w:hAnsi="Calibri" w:cs="Calibri"/>
              </w:rPr>
              <w:t xml:space="preserve">Métastase </w:t>
            </w:r>
          </w:p>
        </w:tc>
        <w:tc>
          <w:tcPr>
            <w:tcW w:w="5526" w:type="dxa"/>
          </w:tcPr>
          <w:p w14:paraId="5AA136C7" w14:textId="77777777" w:rsidR="00AD5683" w:rsidRDefault="00AD5683" w:rsidP="004E451D">
            <w:pPr>
              <w:spacing w:line="276" w:lineRule="auto"/>
              <w:rPr>
                <w:rFonts w:ascii="Calibri" w:eastAsia="Calibri" w:hAnsi="Calibri" w:cs="Calibri"/>
              </w:rPr>
            </w:pPr>
            <w:r>
              <w:rPr>
                <w:rFonts w:ascii="Calibri" w:eastAsia="Calibri" w:hAnsi="Calibri" w:cs="Calibri"/>
              </w:rPr>
              <w:t>SNC, os, foie, surrénales (c)</w:t>
            </w:r>
          </w:p>
        </w:tc>
      </w:tr>
      <w:tr w:rsidR="00AD5683" w14:paraId="65FBEBCC" w14:textId="77777777" w:rsidTr="004E451D">
        <w:tc>
          <w:tcPr>
            <w:tcW w:w="9072" w:type="dxa"/>
            <w:gridSpan w:val="2"/>
            <w:vAlign w:val="center"/>
          </w:tcPr>
          <w:p w14:paraId="4965EB2D" w14:textId="77777777" w:rsidR="00AD5683" w:rsidRDefault="00AD5683" w:rsidP="004E451D">
            <w:pPr>
              <w:spacing w:line="276" w:lineRule="auto"/>
              <w:jc w:val="left"/>
              <w:rPr>
                <w:rFonts w:ascii="Calibri" w:eastAsia="Calibri" w:hAnsi="Calibri" w:cs="Calibri"/>
              </w:rPr>
            </w:pPr>
            <w:r>
              <w:rPr>
                <w:rFonts w:ascii="Calibri" w:eastAsia="Calibri" w:hAnsi="Calibri" w:cs="Calibri"/>
              </w:rPr>
              <w:t>Altération inexpliquée de l’état général</w:t>
            </w:r>
          </w:p>
        </w:tc>
      </w:tr>
      <w:tr w:rsidR="00AD5683" w14:paraId="5129322E" w14:textId="77777777" w:rsidTr="004E451D">
        <w:tc>
          <w:tcPr>
            <w:tcW w:w="9072" w:type="dxa"/>
            <w:gridSpan w:val="2"/>
            <w:vAlign w:val="center"/>
          </w:tcPr>
          <w:p w14:paraId="0C91D1C5" w14:textId="77777777" w:rsidR="00AD5683" w:rsidRDefault="00AD5683" w:rsidP="004E451D">
            <w:pPr>
              <w:spacing w:line="276" w:lineRule="auto"/>
              <w:jc w:val="left"/>
              <w:rPr>
                <w:rFonts w:ascii="Calibri" w:eastAsia="Calibri" w:hAnsi="Calibri" w:cs="Calibri"/>
              </w:rPr>
            </w:pPr>
            <w:r>
              <w:rPr>
                <w:rFonts w:ascii="Calibri" w:eastAsia="Calibri" w:hAnsi="Calibri" w:cs="Calibri"/>
              </w:rPr>
              <w:t>Maladie thromboembolique sans circonstance favorisante</w:t>
            </w:r>
          </w:p>
        </w:tc>
      </w:tr>
      <w:tr w:rsidR="00AD5683" w14:paraId="070F52AB" w14:textId="77777777" w:rsidTr="004E451D">
        <w:tc>
          <w:tcPr>
            <w:tcW w:w="3546" w:type="dxa"/>
            <w:vMerge w:val="restart"/>
            <w:vAlign w:val="center"/>
          </w:tcPr>
          <w:p w14:paraId="3476F0B8" w14:textId="77777777" w:rsidR="00AD5683" w:rsidRDefault="00AD5683" w:rsidP="004E451D">
            <w:pPr>
              <w:spacing w:line="276" w:lineRule="auto"/>
              <w:jc w:val="left"/>
              <w:rPr>
                <w:rFonts w:ascii="Calibri" w:eastAsia="Calibri" w:hAnsi="Calibri" w:cs="Calibri"/>
              </w:rPr>
            </w:pPr>
            <w:r>
              <w:rPr>
                <w:rFonts w:ascii="Calibri" w:eastAsia="Calibri" w:hAnsi="Calibri" w:cs="Calibri"/>
              </w:rPr>
              <w:t>Syndromes paranéoplasiques (d)</w:t>
            </w:r>
            <w:r>
              <w:rPr>
                <w:rFonts w:ascii="Calibri" w:eastAsia="Calibri" w:hAnsi="Calibri" w:cs="Calibri"/>
              </w:rPr>
              <w:br/>
              <w:t>(liste non exhaustive)</w:t>
            </w:r>
          </w:p>
        </w:tc>
        <w:tc>
          <w:tcPr>
            <w:tcW w:w="5526" w:type="dxa"/>
          </w:tcPr>
          <w:p w14:paraId="51FD8CCC" w14:textId="77777777" w:rsidR="00AD5683" w:rsidRDefault="00AD5683" w:rsidP="004E451D">
            <w:pPr>
              <w:spacing w:line="276" w:lineRule="auto"/>
              <w:rPr>
                <w:rFonts w:ascii="Calibri" w:eastAsia="Calibri" w:hAnsi="Calibri" w:cs="Calibri"/>
              </w:rPr>
            </w:pPr>
            <w:r>
              <w:rPr>
                <w:rFonts w:ascii="Calibri" w:eastAsia="Calibri" w:hAnsi="Calibri" w:cs="Calibri"/>
              </w:rPr>
              <w:t>Hippocratisme digital</w:t>
            </w:r>
          </w:p>
        </w:tc>
      </w:tr>
      <w:tr w:rsidR="00AD5683" w14:paraId="72994857" w14:textId="77777777" w:rsidTr="004E451D">
        <w:tc>
          <w:tcPr>
            <w:tcW w:w="3546" w:type="dxa"/>
            <w:vMerge/>
            <w:vAlign w:val="center"/>
          </w:tcPr>
          <w:p w14:paraId="71E31474" w14:textId="77777777" w:rsidR="00AD5683" w:rsidRDefault="00AD5683" w:rsidP="004E451D">
            <w:pPr>
              <w:widowControl w:val="0"/>
              <w:pBdr>
                <w:top w:val="nil"/>
                <w:left w:val="nil"/>
                <w:bottom w:val="nil"/>
                <w:right w:val="nil"/>
                <w:between w:val="nil"/>
              </w:pBdr>
              <w:spacing w:line="276" w:lineRule="auto"/>
              <w:jc w:val="left"/>
              <w:rPr>
                <w:rFonts w:ascii="Calibri" w:eastAsia="Calibri" w:hAnsi="Calibri" w:cs="Calibri"/>
              </w:rPr>
            </w:pPr>
          </w:p>
        </w:tc>
        <w:tc>
          <w:tcPr>
            <w:tcW w:w="5526" w:type="dxa"/>
          </w:tcPr>
          <w:p w14:paraId="2F949808" w14:textId="77777777" w:rsidR="00AD5683" w:rsidRDefault="00AD5683" w:rsidP="004E451D">
            <w:pPr>
              <w:spacing w:line="276" w:lineRule="auto"/>
              <w:rPr>
                <w:rFonts w:ascii="Calibri" w:eastAsia="Calibri" w:hAnsi="Calibri" w:cs="Calibri"/>
              </w:rPr>
            </w:pPr>
            <w:r>
              <w:rPr>
                <w:rFonts w:ascii="Calibri" w:eastAsia="Calibri" w:hAnsi="Calibri" w:cs="Calibri"/>
              </w:rPr>
              <w:t xml:space="preserve">Ostéoarthropathie </w:t>
            </w:r>
            <w:proofErr w:type="spellStart"/>
            <w:r>
              <w:rPr>
                <w:rFonts w:ascii="Calibri" w:eastAsia="Calibri" w:hAnsi="Calibri" w:cs="Calibri"/>
              </w:rPr>
              <w:t>hypertrophiante</w:t>
            </w:r>
            <w:proofErr w:type="spellEnd"/>
            <w:r>
              <w:rPr>
                <w:rFonts w:ascii="Calibri" w:eastAsia="Calibri" w:hAnsi="Calibri" w:cs="Calibri"/>
              </w:rPr>
              <w:t xml:space="preserve"> </w:t>
            </w:r>
            <w:r>
              <w:rPr>
                <w:rFonts w:ascii="Calibri" w:eastAsia="Calibri" w:hAnsi="Calibri" w:cs="Calibri"/>
                <w:vertAlign w:val="superscript"/>
              </w:rPr>
              <w:t>e</w:t>
            </w:r>
          </w:p>
        </w:tc>
      </w:tr>
      <w:tr w:rsidR="00AD5683" w14:paraId="0CA294E2" w14:textId="77777777" w:rsidTr="004E451D">
        <w:tc>
          <w:tcPr>
            <w:tcW w:w="3546" w:type="dxa"/>
            <w:vMerge/>
            <w:vAlign w:val="center"/>
          </w:tcPr>
          <w:p w14:paraId="7D791ED9" w14:textId="77777777" w:rsidR="00AD5683" w:rsidRDefault="00AD5683" w:rsidP="004E451D">
            <w:pPr>
              <w:widowControl w:val="0"/>
              <w:pBdr>
                <w:top w:val="nil"/>
                <w:left w:val="nil"/>
                <w:bottom w:val="nil"/>
                <w:right w:val="nil"/>
                <w:between w:val="nil"/>
              </w:pBdr>
              <w:spacing w:line="276" w:lineRule="auto"/>
              <w:jc w:val="left"/>
              <w:rPr>
                <w:rFonts w:ascii="Calibri" w:eastAsia="Calibri" w:hAnsi="Calibri" w:cs="Calibri"/>
              </w:rPr>
            </w:pPr>
          </w:p>
        </w:tc>
        <w:tc>
          <w:tcPr>
            <w:tcW w:w="5526" w:type="dxa"/>
          </w:tcPr>
          <w:p w14:paraId="2AA164BE" w14:textId="77777777" w:rsidR="00AD5683" w:rsidRDefault="00AD5683" w:rsidP="004E451D">
            <w:pPr>
              <w:spacing w:line="276" w:lineRule="auto"/>
              <w:rPr>
                <w:rFonts w:ascii="Calibri" w:eastAsia="Calibri" w:hAnsi="Calibri" w:cs="Calibri"/>
              </w:rPr>
            </w:pPr>
            <w:r>
              <w:rPr>
                <w:rFonts w:ascii="Calibri" w:eastAsia="Calibri" w:hAnsi="Calibri" w:cs="Calibri"/>
              </w:rPr>
              <w:t xml:space="preserve">Sécrétion inappropriée d’hormone anti-diurétique </w:t>
            </w:r>
          </w:p>
        </w:tc>
      </w:tr>
      <w:tr w:rsidR="00AD5683" w14:paraId="7452F540" w14:textId="77777777" w:rsidTr="004E451D">
        <w:tc>
          <w:tcPr>
            <w:tcW w:w="3546" w:type="dxa"/>
            <w:vMerge/>
            <w:vAlign w:val="center"/>
          </w:tcPr>
          <w:p w14:paraId="54365CFF" w14:textId="77777777" w:rsidR="00AD5683" w:rsidRDefault="00AD5683" w:rsidP="004E451D">
            <w:pPr>
              <w:widowControl w:val="0"/>
              <w:pBdr>
                <w:top w:val="nil"/>
                <w:left w:val="nil"/>
                <w:bottom w:val="nil"/>
                <w:right w:val="nil"/>
                <w:between w:val="nil"/>
              </w:pBdr>
              <w:spacing w:line="276" w:lineRule="auto"/>
              <w:jc w:val="left"/>
              <w:rPr>
                <w:rFonts w:ascii="Calibri" w:eastAsia="Calibri" w:hAnsi="Calibri" w:cs="Calibri"/>
              </w:rPr>
            </w:pPr>
          </w:p>
        </w:tc>
        <w:tc>
          <w:tcPr>
            <w:tcW w:w="5526" w:type="dxa"/>
          </w:tcPr>
          <w:p w14:paraId="449A73A2" w14:textId="77777777" w:rsidR="00AD5683" w:rsidRDefault="00AD5683" w:rsidP="004E451D">
            <w:pPr>
              <w:spacing w:line="276" w:lineRule="auto"/>
              <w:rPr>
                <w:rFonts w:ascii="Calibri" w:eastAsia="Calibri" w:hAnsi="Calibri" w:cs="Calibri"/>
              </w:rPr>
            </w:pPr>
            <w:r>
              <w:rPr>
                <w:rFonts w:ascii="Calibri" w:eastAsia="Calibri" w:hAnsi="Calibri" w:cs="Calibri"/>
              </w:rPr>
              <w:t>Fièvre au long cours</w:t>
            </w:r>
          </w:p>
        </w:tc>
      </w:tr>
      <w:tr w:rsidR="00AD5683" w14:paraId="78A89EA0" w14:textId="77777777" w:rsidTr="004E451D">
        <w:tc>
          <w:tcPr>
            <w:tcW w:w="3546" w:type="dxa"/>
            <w:vMerge/>
            <w:vAlign w:val="center"/>
          </w:tcPr>
          <w:p w14:paraId="2D978B91" w14:textId="77777777" w:rsidR="00AD5683" w:rsidRDefault="00AD5683" w:rsidP="004E451D">
            <w:pPr>
              <w:widowControl w:val="0"/>
              <w:pBdr>
                <w:top w:val="nil"/>
                <w:left w:val="nil"/>
                <w:bottom w:val="nil"/>
                <w:right w:val="nil"/>
                <w:between w:val="nil"/>
              </w:pBdr>
              <w:spacing w:line="276" w:lineRule="auto"/>
              <w:jc w:val="left"/>
              <w:rPr>
                <w:rFonts w:ascii="Calibri" w:eastAsia="Calibri" w:hAnsi="Calibri" w:cs="Calibri"/>
              </w:rPr>
            </w:pPr>
          </w:p>
        </w:tc>
        <w:tc>
          <w:tcPr>
            <w:tcW w:w="5526" w:type="dxa"/>
          </w:tcPr>
          <w:p w14:paraId="29D20222" w14:textId="77777777" w:rsidR="00AD5683" w:rsidRDefault="00AD5683" w:rsidP="004E451D">
            <w:pPr>
              <w:spacing w:line="276" w:lineRule="auto"/>
              <w:rPr>
                <w:rFonts w:ascii="Calibri" w:eastAsia="Calibri" w:hAnsi="Calibri" w:cs="Calibri"/>
              </w:rPr>
            </w:pPr>
            <w:r>
              <w:rPr>
                <w:rFonts w:ascii="Calibri" w:eastAsia="Calibri" w:hAnsi="Calibri" w:cs="Calibri"/>
              </w:rPr>
              <w:t>Pseudo myasthénie, neuropathies périphériques</w:t>
            </w:r>
          </w:p>
        </w:tc>
      </w:tr>
      <w:tr w:rsidR="00AD5683" w14:paraId="5B700BCD" w14:textId="77777777" w:rsidTr="004E451D">
        <w:tc>
          <w:tcPr>
            <w:tcW w:w="3546" w:type="dxa"/>
            <w:vMerge/>
            <w:vAlign w:val="center"/>
          </w:tcPr>
          <w:p w14:paraId="77DA5CE1" w14:textId="77777777" w:rsidR="00AD5683" w:rsidRDefault="00AD5683" w:rsidP="004E451D">
            <w:pPr>
              <w:widowControl w:val="0"/>
              <w:pBdr>
                <w:top w:val="nil"/>
                <w:left w:val="nil"/>
                <w:bottom w:val="nil"/>
                <w:right w:val="nil"/>
                <w:between w:val="nil"/>
              </w:pBdr>
              <w:spacing w:line="276" w:lineRule="auto"/>
              <w:jc w:val="left"/>
              <w:rPr>
                <w:rFonts w:ascii="Calibri" w:eastAsia="Calibri" w:hAnsi="Calibri" w:cs="Calibri"/>
              </w:rPr>
            </w:pPr>
          </w:p>
        </w:tc>
        <w:tc>
          <w:tcPr>
            <w:tcW w:w="5526" w:type="dxa"/>
          </w:tcPr>
          <w:p w14:paraId="0F2A0E37" w14:textId="77777777" w:rsidR="00AD5683" w:rsidRDefault="00AD5683" w:rsidP="004E451D">
            <w:pPr>
              <w:spacing w:line="276" w:lineRule="auto"/>
              <w:rPr>
                <w:rFonts w:ascii="Calibri" w:eastAsia="Calibri" w:hAnsi="Calibri" w:cs="Calibri"/>
              </w:rPr>
            </w:pPr>
            <w:r>
              <w:rPr>
                <w:rFonts w:ascii="Calibri" w:eastAsia="Calibri" w:hAnsi="Calibri" w:cs="Calibri"/>
              </w:rPr>
              <w:t>Hypercalcémie (sécrétion de pseudo PTH)</w:t>
            </w:r>
          </w:p>
        </w:tc>
      </w:tr>
      <w:tr w:rsidR="00AD5683" w14:paraId="05E9F4B9" w14:textId="77777777" w:rsidTr="004E451D">
        <w:tc>
          <w:tcPr>
            <w:tcW w:w="3546" w:type="dxa"/>
            <w:vMerge/>
            <w:vAlign w:val="center"/>
          </w:tcPr>
          <w:p w14:paraId="74819DAC" w14:textId="77777777" w:rsidR="00AD5683" w:rsidRDefault="00AD5683" w:rsidP="004E451D">
            <w:pPr>
              <w:widowControl w:val="0"/>
              <w:pBdr>
                <w:top w:val="nil"/>
                <w:left w:val="nil"/>
                <w:bottom w:val="nil"/>
                <w:right w:val="nil"/>
                <w:between w:val="nil"/>
              </w:pBdr>
              <w:spacing w:line="276" w:lineRule="auto"/>
              <w:jc w:val="left"/>
              <w:rPr>
                <w:rFonts w:ascii="Calibri" w:eastAsia="Calibri" w:hAnsi="Calibri" w:cs="Calibri"/>
              </w:rPr>
            </w:pPr>
          </w:p>
        </w:tc>
        <w:tc>
          <w:tcPr>
            <w:tcW w:w="5526" w:type="dxa"/>
          </w:tcPr>
          <w:p w14:paraId="2B8AC666" w14:textId="77777777" w:rsidR="00AD5683" w:rsidRDefault="00AD5683" w:rsidP="004E451D">
            <w:pPr>
              <w:spacing w:line="276" w:lineRule="auto"/>
              <w:rPr>
                <w:rFonts w:ascii="Calibri" w:eastAsia="Calibri" w:hAnsi="Calibri" w:cs="Calibri"/>
              </w:rPr>
            </w:pPr>
            <w:r>
              <w:rPr>
                <w:rFonts w:ascii="Calibri" w:eastAsia="Calibri" w:hAnsi="Calibri" w:cs="Calibri"/>
              </w:rPr>
              <w:t>Syndrome de cushing (sécrétion de pseudo ACTH)</w:t>
            </w:r>
          </w:p>
        </w:tc>
      </w:tr>
      <w:tr w:rsidR="00AD5683" w14:paraId="219BABE9" w14:textId="77777777" w:rsidTr="004E451D">
        <w:tc>
          <w:tcPr>
            <w:tcW w:w="3546" w:type="dxa"/>
            <w:vAlign w:val="center"/>
          </w:tcPr>
          <w:p w14:paraId="7B5E237D" w14:textId="77777777" w:rsidR="00AD5683" w:rsidRDefault="00AD5683" w:rsidP="004E451D">
            <w:pPr>
              <w:spacing w:line="276" w:lineRule="auto"/>
              <w:jc w:val="left"/>
              <w:rPr>
                <w:rFonts w:ascii="Calibri" w:eastAsia="Calibri" w:hAnsi="Calibri" w:cs="Calibri"/>
              </w:rPr>
            </w:pPr>
            <w:r>
              <w:rPr>
                <w:rFonts w:ascii="Calibri" w:eastAsia="Calibri" w:hAnsi="Calibri" w:cs="Calibri"/>
              </w:rPr>
              <w:t xml:space="preserve">Découverte fortuite </w:t>
            </w:r>
          </w:p>
        </w:tc>
        <w:tc>
          <w:tcPr>
            <w:tcW w:w="5526" w:type="dxa"/>
          </w:tcPr>
          <w:p w14:paraId="65845AC9" w14:textId="77777777" w:rsidR="00AD5683" w:rsidRDefault="00AD5683" w:rsidP="004E451D">
            <w:pPr>
              <w:spacing w:line="276" w:lineRule="auto"/>
              <w:rPr>
                <w:rFonts w:ascii="Calibri" w:eastAsia="Calibri" w:hAnsi="Calibri" w:cs="Calibri"/>
              </w:rPr>
            </w:pPr>
            <w:r>
              <w:rPr>
                <w:rFonts w:ascii="Calibri" w:eastAsia="Calibri" w:hAnsi="Calibri" w:cs="Calibri"/>
              </w:rPr>
              <w:t>Sur un scanner du thorax, quelle que soit la cause de sa réalisation</w:t>
            </w:r>
          </w:p>
        </w:tc>
      </w:tr>
    </w:tbl>
    <w:p w14:paraId="6C1EC9C8" w14:textId="77777777" w:rsidR="00AD5683" w:rsidRDefault="00AD5683" w:rsidP="004E451D">
      <w:pPr>
        <w:spacing w:line="276" w:lineRule="auto"/>
      </w:pPr>
    </w:p>
    <w:p w14:paraId="742FEA13" w14:textId="77777777" w:rsidR="00AD5683" w:rsidRDefault="00AD5683">
      <w:pPr>
        <w:numPr>
          <w:ilvl w:val="0"/>
          <w:numId w:val="7"/>
        </w:numPr>
        <w:spacing w:line="276" w:lineRule="auto"/>
      </w:pPr>
      <w:r>
        <w:t xml:space="preserve">Conséquence d’une compression de la veine cave supérieure par la tumeur ou par des adénopathies </w:t>
      </w:r>
      <w:proofErr w:type="spellStart"/>
      <w:r>
        <w:t>latéro</w:t>
      </w:r>
      <w:proofErr w:type="spellEnd"/>
      <w:r>
        <w:t>-trachéales droites.</w:t>
      </w:r>
    </w:p>
    <w:p w14:paraId="6D33D4CF" w14:textId="77777777" w:rsidR="00AD5683" w:rsidRDefault="00AD5683">
      <w:pPr>
        <w:numPr>
          <w:ilvl w:val="0"/>
          <w:numId w:val="7"/>
        </w:numPr>
        <w:spacing w:line="276" w:lineRule="auto"/>
      </w:pPr>
      <w:r>
        <w:t xml:space="preserve">Développement d’un cancer de l’apex pulmonaire envahissant la paroi thoracique, le plexus brachial et le ganglion sympathique stellaire ; névralgie cervico-brachiale avec douleurs radiculaires C8-D1 et syndrome de Claude Bernard-Horner </w:t>
      </w:r>
      <w:proofErr w:type="gramStart"/>
      <w:r>
        <w:t>homolatéral  🡺</w:t>
      </w:r>
      <w:proofErr w:type="gramEnd"/>
      <w:r>
        <w:t xml:space="preserve"> doit conduire à la réalisation d’un scanner thoracique. </w:t>
      </w:r>
    </w:p>
    <w:p w14:paraId="7877F76A" w14:textId="77777777" w:rsidR="00AD5683" w:rsidRDefault="00AD5683">
      <w:pPr>
        <w:numPr>
          <w:ilvl w:val="0"/>
          <w:numId w:val="7"/>
        </w:numPr>
        <w:spacing w:line="276" w:lineRule="auto"/>
      </w:pPr>
      <w:r>
        <w:t xml:space="preserve">Les sites métastatiques les plus fréquents des CP (hors thorax) sont le cerveau, l’os, le foie et les surrénales. </w:t>
      </w:r>
    </w:p>
    <w:p w14:paraId="2D5BA534" w14:textId="77777777" w:rsidR="00AD5683" w:rsidRDefault="00AD5683">
      <w:pPr>
        <w:numPr>
          <w:ilvl w:val="0"/>
          <w:numId w:val="7"/>
        </w:numPr>
        <w:spacing w:line="276" w:lineRule="auto"/>
      </w:pPr>
      <w:r>
        <w:t>Syndromes paranéoplasiques = manifestations liées à la sécrétion par la tumeur d’une substance (tel que neuromédiateurs ou hormones), ou bien à la réaction du système immunitaire du patient par la formation d’auto-anticorps. Ces manifestions se font à distance de la tumeur sous l’action de ces hormones ou de ces anticorps et ne correspondent pas à l’envahissement tumoral ou métastatique de l’organe. Leur réapparition, après une résection complète, fait craindre la rechute tumorale.</w:t>
      </w:r>
    </w:p>
    <w:p w14:paraId="2FDD93EF" w14:textId="77777777" w:rsidR="00AD5683" w:rsidRDefault="00AD5683">
      <w:pPr>
        <w:numPr>
          <w:ilvl w:val="0"/>
          <w:numId w:val="7"/>
        </w:numPr>
        <w:spacing w:line="276" w:lineRule="auto"/>
      </w:pPr>
      <w:r>
        <w:t xml:space="preserve"> Hippocratisme digital, œdème douloureux des extrémités avec périostite engainante.</w:t>
      </w:r>
    </w:p>
    <w:p w14:paraId="6280FBB5" w14:textId="77777777" w:rsidR="00AD5683" w:rsidRDefault="00AD5683" w:rsidP="004E451D">
      <w:pPr>
        <w:spacing w:line="276" w:lineRule="auto"/>
      </w:pPr>
    </w:p>
    <w:p w14:paraId="09453E53" w14:textId="77777777" w:rsidR="00AD5683" w:rsidRDefault="00AD5683" w:rsidP="004E451D">
      <w:pPr>
        <w:pStyle w:val="titredesous-partie"/>
      </w:pPr>
      <w:r>
        <w:rPr>
          <w:shd w:val="clear" w:color="auto" w:fill="auto"/>
        </w:rPr>
        <w:t>TERRAIN ET ATCD</w:t>
      </w:r>
    </w:p>
    <w:p w14:paraId="4074BB63" w14:textId="77777777" w:rsidR="00AD5683" w:rsidRDefault="00AD5683" w:rsidP="004E451D">
      <w:pPr>
        <w:spacing w:line="276" w:lineRule="auto"/>
      </w:pPr>
      <w:r>
        <w:t xml:space="preserve">L’exposition à un facteur favorisant sera à rechercher, avant tout le tabagisme. </w:t>
      </w:r>
    </w:p>
    <w:p w14:paraId="59459882" w14:textId="77777777" w:rsidR="00AD5683" w:rsidRDefault="00AD5683" w:rsidP="004E451D">
      <w:pPr>
        <w:spacing w:line="276" w:lineRule="auto"/>
      </w:pPr>
    </w:p>
    <w:p w14:paraId="5DF8A15F" w14:textId="77777777" w:rsidR="00AD5683" w:rsidRDefault="00AD5683" w:rsidP="004E451D">
      <w:pPr>
        <w:pStyle w:val="titredesous-partie"/>
        <w:rPr>
          <w:i/>
          <w:iCs/>
        </w:rPr>
      </w:pPr>
      <w:r>
        <w:rPr>
          <w:shd w:val="clear" w:color="auto" w:fill="auto"/>
        </w:rPr>
        <w:t>HISTOIRE DE LA MALADIE</w:t>
      </w:r>
    </w:p>
    <w:p w14:paraId="265393CD" w14:textId="77777777" w:rsidR="00AD5683" w:rsidRDefault="00AD5683" w:rsidP="004E451D">
      <w:pPr>
        <w:spacing w:line="276" w:lineRule="auto"/>
      </w:pPr>
      <w:r>
        <w:t>Elle est rarement aigüe et les symptômes peuvent être très variables mais aussi en mode de présentation (tableau 1). L’évolution des signes généraux doit systématiquement être illustrée (suivi du poids, asthénie, anorexie).</w:t>
      </w:r>
    </w:p>
    <w:p w14:paraId="6F59F497" w14:textId="77777777" w:rsidR="00AD5683" w:rsidRDefault="00AD5683" w:rsidP="004E451D">
      <w:pPr>
        <w:spacing w:line="276" w:lineRule="auto"/>
      </w:pPr>
    </w:p>
    <w:p w14:paraId="69092BE1" w14:textId="77777777" w:rsidR="00AD5683" w:rsidRDefault="00AD5683" w:rsidP="004E451D">
      <w:pPr>
        <w:pStyle w:val="titredesous-partie"/>
      </w:pPr>
      <w:r>
        <w:rPr>
          <w:shd w:val="clear" w:color="auto" w:fill="auto"/>
        </w:rPr>
        <w:t>EXAMEN CLINIQUE</w:t>
      </w:r>
    </w:p>
    <w:p w14:paraId="1FE54DA7" w14:textId="77777777" w:rsidR="00AD5683" w:rsidRDefault="00AD5683" w:rsidP="004E451D">
      <w:pPr>
        <w:spacing w:line="276" w:lineRule="auto"/>
      </w:pPr>
      <w:r>
        <w:t>Très variable (Tableau 1).</w:t>
      </w:r>
    </w:p>
    <w:p w14:paraId="3AE0BD42" w14:textId="77777777" w:rsidR="00AD5683" w:rsidRDefault="00AD5683" w:rsidP="004E451D">
      <w:pPr>
        <w:spacing w:line="276" w:lineRule="auto"/>
      </w:pPr>
      <w:r>
        <w:t>Des signes généraux seront systématiquement recherchés (poids, asthénie, anorexie).</w:t>
      </w:r>
    </w:p>
    <w:p w14:paraId="5AC972A7" w14:textId="77777777" w:rsidR="00AD5683" w:rsidRDefault="00AD5683" w:rsidP="004E451D">
      <w:pPr>
        <w:spacing w:line="276" w:lineRule="auto"/>
      </w:pPr>
    </w:p>
    <w:p w14:paraId="7D405D29" w14:textId="77777777" w:rsidR="00AD5683" w:rsidRDefault="00AD5683" w:rsidP="004E451D">
      <w:pPr>
        <w:pStyle w:val="titredesous-partie"/>
      </w:pPr>
      <w:r>
        <w:rPr>
          <w:shd w:val="clear" w:color="auto" w:fill="auto"/>
        </w:rPr>
        <w:t>EXAMENS COMPLEMENTAIRES</w:t>
      </w:r>
    </w:p>
    <w:p w14:paraId="2942EEB3" w14:textId="77777777" w:rsidR="00AD5683" w:rsidRDefault="00AD5683">
      <w:pPr>
        <w:pStyle w:val="1titre"/>
        <w:numPr>
          <w:ilvl w:val="0"/>
          <w:numId w:val="17"/>
        </w:numPr>
      </w:pPr>
      <w:r>
        <w:t>Aspects les plus caractéristiques en imagerie thoracique</w:t>
      </w:r>
    </w:p>
    <w:p w14:paraId="07CC05CC" w14:textId="77777777" w:rsidR="00AD5683" w:rsidRDefault="00AD5683" w:rsidP="004E451D">
      <w:pPr>
        <w:spacing w:line="276" w:lineRule="auto"/>
      </w:pPr>
      <w:r>
        <w:t>Examen initial, devant tout signe d'appel chez un fumeur = scanner thoracique.</w:t>
      </w:r>
    </w:p>
    <w:p w14:paraId="39072280" w14:textId="77777777" w:rsidR="00AD5683" w:rsidRDefault="00AD5683" w:rsidP="004E451D">
      <w:pPr>
        <w:spacing w:line="276" w:lineRule="auto"/>
      </w:pPr>
    </w:p>
    <w:p w14:paraId="61C35599" w14:textId="5FA5C1A3" w:rsidR="00AD5683" w:rsidRDefault="00AD5683">
      <w:pPr>
        <w:pStyle w:val="Titre3"/>
        <w:numPr>
          <w:ilvl w:val="1"/>
          <w:numId w:val="18"/>
        </w:numPr>
      </w:pPr>
      <w:r>
        <w:t>Radiographie thoracique</w:t>
      </w:r>
    </w:p>
    <w:p w14:paraId="1DB7CB44" w14:textId="77777777" w:rsidR="00AD5683" w:rsidRDefault="00AD5683" w:rsidP="004E451D">
      <w:pPr>
        <w:spacing w:line="276" w:lineRule="auto"/>
      </w:pPr>
      <w:r>
        <w:t xml:space="preserve">Souvent réalisée à la phase initiale, la place de la radiographie est marginale pour le diagnostic ou le bilan d’extension du CP. </w:t>
      </w:r>
    </w:p>
    <w:p w14:paraId="2EFDACC5" w14:textId="77777777" w:rsidR="00AD5683" w:rsidRDefault="00AD5683" w:rsidP="004E451D">
      <w:pPr>
        <w:spacing w:line="276" w:lineRule="auto"/>
      </w:pPr>
      <w:r>
        <w:t xml:space="preserve">Le plus souvent, la radiographie est pratiquée initialement, face à des symptômes respiratoires, dans le but d’éliminer d’autres diagnostics comme une cause infectieuse ou pleurale. Elle peut alors révéler une masse qui sera secondairement investiguée par scanner. </w:t>
      </w:r>
    </w:p>
    <w:p w14:paraId="54D9DCD4" w14:textId="77777777" w:rsidR="00AD5683" w:rsidRDefault="00AD5683" w:rsidP="004E451D">
      <w:pPr>
        <w:spacing w:line="276" w:lineRule="auto"/>
      </w:pPr>
    </w:p>
    <w:tbl>
      <w:tblPr>
        <w:tblW w:w="9067" w:type="dxa"/>
        <w:tblBorders>
          <w:top w:val="single" w:sz="2" w:space="0" w:color="747474" w:themeColor="background2" w:themeShade="80"/>
          <w:left w:val="single" w:sz="2" w:space="0" w:color="747474" w:themeColor="background2" w:themeShade="80"/>
          <w:bottom w:val="single" w:sz="2" w:space="0" w:color="747474" w:themeColor="background2" w:themeShade="80"/>
          <w:right w:val="single" w:sz="2" w:space="0" w:color="747474" w:themeColor="background2" w:themeShade="80"/>
          <w:insideH w:val="single" w:sz="2" w:space="0" w:color="747474" w:themeColor="background2" w:themeShade="80"/>
          <w:insideV w:val="single" w:sz="2" w:space="0" w:color="747474" w:themeColor="background2" w:themeShade="80"/>
        </w:tblBorders>
        <w:tblLayout w:type="fixed"/>
        <w:tblLook w:val="0400" w:firstRow="0" w:lastRow="0" w:firstColumn="0" w:lastColumn="0" w:noHBand="0" w:noVBand="1"/>
      </w:tblPr>
      <w:tblGrid>
        <w:gridCol w:w="9067"/>
      </w:tblGrid>
      <w:tr w:rsidR="00AD5683" w14:paraId="2739B87C" w14:textId="77777777" w:rsidTr="004E451D">
        <w:tc>
          <w:tcPr>
            <w:tcW w:w="9067" w:type="dxa"/>
          </w:tcPr>
          <w:p w14:paraId="44F993FF" w14:textId="77777777" w:rsidR="00AD5683" w:rsidRDefault="00AD5683" w:rsidP="004E451D">
            <w:pPr>
              <w:spacing w:line="276" w:lineRule="auto"/>
            </w:pPr>
            <w:r>
              <w:rPr>
                <w:noProof/>
              </w:rPr>
              <w:drawing>
                <wp:anchor distT="0" distB="0" distL="114300" distR="114300" simplePos="0" relativeHeight="251966464" behindDoc="0" locked="0" layoutInCell="1" hidden="0" allowOverlap="1" wp14:anchorId="57720BF4" wp14:editId="4D417013">
                  <wp:simplePos x="0" y="0"/>
                  <wp:positionH relativeFrom="column">
                    <wp:posOffset>11155</wp:posOffset>
                  </wp:positionH>
                  <wp:positionV relativeFrom="paragraph">
                    <wp:posOffset>35643</wp:posOffset>
                  </wp:positionV>
                  <wp:extent cx="461010" cy="497840"/>
                  <wp:effectExtent l="0" t="0" r="0" b="0"/>
                  <wp:wrapSquare wrapText="bothSides" distT="0" distB="0" distL="114300" distR="114300"/>
                  <wp:docPr id="36"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5"/>
                          <a:srcRect/>
                          <a:stretch>
                            <a:fillRect/>
                          </a:stretch>
                        </pic:blipFill>
                        <pic:spPr>
                          <a:xfrm>
                            <a:off x="0" y="0"/>
                            <a:ext cx="461010" cy="497840"/>
                          </a:xfrm>
                          <a:prstGeom prst="rect">
                            <a:avLst/>
                          </a:prstGeom>
                          <a:ln/>
                        </pic:spPr>
                      </pic:pic>
                    </a:graphicData>
                  </a:graphic>
                </wp:anchor>
              </w:drawing>
            </w:r>
          </w:p>
          <w:p w14:paraId="35AF7574" w14:textId="77777777" w:rsidR="00AD5683" w:rsidRDefault="00AD5683" w:rsidP="004E451D">
            <w:pPr>
              <w:spacing w:line="276" w:lineRule="auto"/>
            </w:pPr>
            <w:r>
              <w:t>Une radiographie thoracique normale n’élimine pas le diagnostic de cancer du poumon.</w:t>
            </w:r>
          </w:p>
        </w:tc>
      </w:tr>
    </w:tbl>
    <w:p w14:paraId="6C67429D" w14:textId="77777777" w:rsidR="00AD5683" w:rsidRDefault="00AD5683" w:rsidP="004E451D">
      <w:pPr>
        <w:spacing w:line="276" w:lineRule="auto"/>
      </w:pPr>
    </w:p>
    <w:p w14:paraId="50736B82" w14:textId="7319389A" w:rsidR="00AD5683" w:rsidRDefault="00AD5683">
      <w:pPr>
        <w:pStyle w:val="Titre3"/>
        <w:numPr>
          <w:ilvl w:val="1"/>
          <w:numId w:val="18"/>
        </w:numPr>
      </w:pPr>
      <w:r>
        <w:t>TDM thoracique</w:t>
      </w:r>
    </w:p>
    <w:p w14:paraId="76F03869" w14:textId="77777777" w:rsidR="00AD5683" w:rsidRDefault="00AD5683" w:rsidP="004E451D">
      <w:pPr>
        <w:spacing w:line="276" w:lineRule="auto"/>
      </w:pPr>
      <w:r>
        <w:t xml:space="preserve">Elle est utile pour : </w:t>
      </w:r>
    </w:p>
    <w:p w14:paraId="78B0FA58" w14:textId="77777777" w:rsidR="00AD5683" w:rsidRDefault="00AD5683" w:rsidP="004E451D">
      <w:pPr>
        <w:pBdr>
          <w:top w:val="nil"/>
          <w:left w:val="nil"/>
          <w:bottom w:val="nil"/>
          <w:right w:val="nil"/>
          <w:between w:val="nil"/>
        </w:pBdr>
        <w:spacing w:line="276" w:lineRule="auto"/>
      </w:pPr>
      <w:r>
        <w:t>- Le diagnostic (et doit être réalisée avant la bronchoscopie pour une orientation topographique des prélèvements).</w:t>
      </w:r>
    </w:p>
    <w:p w14:paraId="3880F8E1" w14:textId="77777777" w:rsidR="00AD5683" w:rsidRDefault="00AD5683" w:rsidP="004E451D">
      <w:pPr>
        <w:pBdr>
          <w:top w:val="nil"/>
          <w:left w:val="nil"/>
          <w:bottom w:val="nil"/>
          <w:right w:val="nil"/>
          <w:between w:val="nil"/>
        </w:pBdr>
        <w:spacing w:line="276" w:lineRule="auto"/>
      </w:pPr>
      <w:r>
        <w:t xml:space="preserve">- Le bilan d’extension et la stadification TNM (et doit être réalisée </w:t>
      </w:r>
      <w:r>
        <w:rPr>
          <w:b/>
          <w:bCs/>
        </w:rPr>
        <w:t>en première intention</w:t>
      </w:r>
      <w:r>
        <w:t>, avec injection, à l’étage thoracique, abdominal (incluant les surrénales) et encéphalique).</w:t>
      </w:r>
    </w:p>
    <w:p w14:paraId="46D8B3C4" w14:textId="77777777" w:rsidR="00AD5683" w:rsidRDefault="00AD5683" w:rsidP="004E451D">
      <w:pPr>
        <w:spacing w:line="276" w:lineRule="auto"/>
      </w:pPr>
    </w:p>
    <w:p w14:paraId="027552DA" w14:textId="77777777" w:rsidR="00AD5683" w:rsidRDefault="00AD5683" w:rsidP="004E451D">
      <w:pPr>
        <w:spacing w:line="276" w:lineRule="auto"/>
      </w:pPr>
      <w:r>
        <w:t>La TDM donne des précisions sur la lésion primitive :</w:t>
      </w:r>
    </w:p>
    <w:p w14:paraId="69F83734" w14:textId="77777777" w:rsidR="00AD5683" w:rsidRDefault="00AD5683" w:rsidP="004E451D">
      <w:pPr>
        <w:pBdr>
          <w:top w:val="nil"/>
          <w:left w:val="nil"/>
          <w:bottom w:val="nil"/>
          <w:right w:val="nil"/>
          <w:between w:val="nil"/>
        </w:pBdr>
        <w:spacing w:line="276" w:lineRule="auto"/>
      </w:pPr>
      <w:r>
        <w:t>- Sa topographie, sa localisation hilaire centrale ou périphérique.</w:t>
      </w:r>
    </w:p>
    <w:p w14:paraId="726AC711" w14:textId="77777777" w:rsidR="00AD5683" w:rsidRDefault="00AD5683" w:rsidP="004E451D">
      <w:pPr>
        <w:pBdr>
          <w:top w:val="nil"/>
          <w:left w:val="nil"/>
          <w:bottom w:val="nil"/>
          <w:right w:val="nil"/>
          <w:between w:val="nil"/>
        </w:pBdr>
        <w:spacing w:line="276" w:lineRule="auto"/>
      </w:pPr>
      <w:r>
        <w:t>- Son caractère systématisé, rétractile ou non rétractile.</w:t>
      </w:r>
    </w:p>
    <w:p w14:paraId="0563CDB7" w14:textId="77777777" w:rsidR="00AD5683" w:rsidRDefault="00AD5683" w:rsidP="004E451D">
      <w:pPr>
        <w:pBdr>
          <w:top w:val="nil"/>
          <w:left w:val="nil"/>
          <w:bottom w:val="nil"/>
          <w:right w:val="nil"/>
          <w:between w:val="nil"/>
        </w:pBdr>
        <w:spacing w:line="276" w:lineRule="auto"/>
      </w:pPr>
      <w:r>
        <w:t xml:space="preserve">- Ses rapports avec les structures avoisinantes de la paroi thoracique, de la plèvre et du médiastin. </w:t>
      </w:r>
    </w:p>
    <w:p w14:paraId="60D7A6BE" w14:textId="4C93C377" w:rsidR="00AD5683" w:rsidRDefault="00AD5683" w:rsidP="004E451D">
      <w:pPr>
        <w:pBdr>
          <w:top w:val="nil"/>
          <w:left w:val="nil"/>
          <w:bottom w:val="nil"/>
          <w:right w:val="nil"/>
          <w:between w:val="nil"/>
        </w:pBdr>
        <w:spacing w:line="276" w:lineRule="auto"/>
      </w:pPr>
      <w:r>
        <w:t>Les formes de présentation peuvent être très variées (figures 3 à 7)</w:t>
      </w:r>
      <w:r w:rsidR="004E451D">
        <w:t>.</w:t>
      </w:r>
    </w:p>
    <w:p w14:paraId="4C24A8E1" w14:textId="77777777" w:rsidR="00AD5683" w:rsidRDefault="00AD5683" w:rsidP="004E451D">
      <w:pPr>
        <w:spacing w:line="276" w:lineRule="auto"/>
        <w:jc w:val="center"/>
      </w:pPr>
    </w:p>
    <w:p w14:paraId="356FA21F" w14:textId="77777777" w:rsidR="00AD5683" w:rsidRDefault="00AD5683" w:rsidP="004E451D">
      <w:pPr>
        <w:pStyle w:val="lgende"/>
      </w:pPr>
      <w:r>
        <w:t xml:space="preserve">Figure 3 : A : RT avec opacité para-hilaire droite à contours irréguliers, B : TDM thoracique correspondante avec masse hilaire droite. </w:t>
      </w:r>
    </w:p>
    <w:p w14:paraId="16AB45B2" w14:textId="77777777" w:rsidR="00AD5683" w:rsidRDefault="00AD5683" w:rsidP="004E451D">
      <w:pPr>
        <w:spacing w:line="276" w:lineRule="auto"/>
        <w:jc w:val="center"/>
      </w:pPr>
      <w:r>
        <w:rPr>
          <w:noProof/>
        </w:rPr>
        <w:lastRenderedPageBreak/>
        <w:drawing>
          <wp:inline distT="0" distB="0" distL="0" distR="0" wp14:anchorId="627559F9" wp14:editId="38F67602">
            <wp:extent cx="5772150" cy="2432050"/>
            <wp:effectExtent l="0" t="0" r="0" b="6350"/>
            <wp:docPr id="32"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16"/>
                    <a:srcRect/>
                    <a:stretch>
                      <a:fillRect/>
                    </a:stretch>
                  </pic:blipFill>
                  <pic:spPr>
                    <a:xfrm>
                      <a:off x="0" y="0"/>
                      <a:ext cx="5772150" cy="2432050"/>
                    </a:xfrm>
                    <a:prstGeom prst="rect">
                      <a:avLst/>
                    </a:prstGeom>
                    <a:ln/>
                  </pic:spPr>
                </pic:pic>
              </a:graphicData>
            </a:graphic>
          </wp:inline>
        </w:drawing>
      </w:r>
    </w:p>
    <w:p w14:paraId="439D8D9D" w14:textId="77777777" w:rsidR="00AD5683" w:rsidRDefault="00AD5683" w:rsidP="004E451D">
      <w:pPr>
        <w:spacing w:line="276" w:lineRule="auto"/>
      </w:pPr>
    </w:p>
    <w:tbl>
      <w:tblPr>
        <w:tblW w:w="9072" w:type="dxa"/>
        <w:tblBorders>
          <w:top w:val="nil"/>
          <w:left w:val="nil"/>
          <w:bottom w:val="nil"/>
          <w:right w:val="nil"/>
          <w:insideH w:val="nil"/>
          <w:insideV w:val="nil"/>
        </w:tblBorders>
        <w:tblLayout w:type="fixed"/>
        <w:tblLook w:val="0400" w:firstRow="0" w:lastRow="0" w:firstColumn="0" w:lastColumn="0" w:noHBand="0" w:noVBand="1"/>
      </w:tblPr>
      <w:tblGrid>
        <w:gridCol w:w="4607"/>
        <w:gridCol w:w="4465"/>
      </w:tblGrid>
      <w:tr w:rsidR="00AD5683" w14:paraId="177773DC" w14:textId="77777777" w:rsidTr="004E451D">
        <w:tc>
          <w:tcPr>
            <w:tcW w:w="4607" w:type="dxa"/>
          </w:tcPr>
          <w:p w14:paraId="0E4E929C" w14:textId="77777777" w:rsidR="00AD5683" w:rsidRDefault="00AD5683" w:rsidP="004E451D">
            <w:pPr>
              <w:pStyle w:val="lgende"/>
              <w:jc w:val="center"/>
            </w:pPr>
            <w:r>
              <w:t>Figure 4 : Atélectasie du poumon droit sur tumeur de la bronche souche droite.</w:t>
            </w:r>
          </w:p>
          <w:p w14:paraId="775B2497" w14:textId="77777777" w:rsidR="00AD5683" w:rsidRDefault="00AD5683" w:rsidP="004E451D">
            <w:pPr>
              <w:pStyle w:val="lgende"/>
              <w:jc w:val="center"/>
            </w:pPr>
            <w:r>
              <w:rPr>
                <w:noProof/>
              </w:rPr>
              <w:drawing>
                <wp:inline distT="0" distB="0" distL="0" distR="0" wp14:anchorId="4978F4D8" wp14:editId="463CAFAA">
                  <wp:extent cx="2700000" cy="3132000"/>
                  <wp:effectExtent l="0" t="0" r="5715" b="0"/>
                  <wp:docPr id="30" name="image10.jpg" descr="004"/>
                  <wp:cNvGraphicFramePr/>
                  <a:graphic xmlns:a="http://schemas.openxmlformats.org/drawingml/2006/main">
                    <a:graphicData uri="http://schemas.openxmlformats.org/drawingml/2006/picture">
                      <pic:pic xmlns:pic="http://schemas.openxmlformats.org/drawingml/2006/picture">
                        <pic:nvPicPr>
                          <pic:cNvPr id="0" name="image10.jpg" descr="004"/>
                          <pic:cNvPicPr preferRelativeResize="0"/>
                        </pic:nvPicPr>
                        <pic:blipFill>
                          <a:blip r:embed="rId17"/>
                          <a:srcRect/>
                          <a:stretch>
                            <a:fillRect/>
                          </a:stretch>
                        </pic:blipFill>
                        <pic:spPr>
                          <a:xfrm>
                            <a:off x="0" y="0"/>
                            <a:ext cx="2700000" cy="3132000"/>
                          </a:xfrm>
                          <a:prstGeom prst="rect">
                            <a:avLst/>
                          </a:prstGeom>
                          <a:ln/>
                        </pic:spPr>
                      </pic:pic>
                    </a:graphicData>
                  </a:graphic>
                </wp:inline>
              </w:drawing>
            </w:r>
          </w:p>
        </w:tc>
        <w:tc>
          <w:tcPr>
            <w:tcW w:w="4465" w:type="dxa"/>
          </w:tcPr>
          <w:p w14:paraId="7E979E5A" w14:textId="77777777" w:rsidR="00AD5683" w:rsidRDefault="00AD5683" w:rsidP="004E451D">
            <w:pPr>
              <w:pStyle w:val="lgende"/>
              <w:jc w:val="center"/>
            </w:pPr>
            <w:r>
              <w:t>Figure 5 : Opacité arrondie de plus de 3 cm (masse) sus-hilaire droite.</w:t>
            </w:r>
          </w:p>
          <w:p w14:paraId="19A2D94F" w14:textId="77777777" w:rsidR="00AD5683" w:rsidRDefault="00AD5683" w:rsidP="004E451D">
            <w:pPr>
              <w:pStyle w:val="lgende"/>
              <w:jc w:val="center"/>
            </w:pPr>
            <w:r>
              <w:rPr>
                <w:noProof/>
              </w:rPr>
              <w:drawing>
                <wp:inline distT="0" distB="0" distL="0" distR="0" wp14:anchorId="3C21EFA5" wp14:editId="579A141D">
                  <wp:extent cx="2700000" cy="3132000"/>
                  <wp:effectExtent l="0" t="0" r="5715" b="0"/>
                  <wp:docPr id="31" name="image19.jpg" descr="figure 5"/>
                  <wp:cNvGraphicFramePr/>
                  <a:graphic xmlns:a="http://schemas.openxmlformats.org/drawingml/2006/main">
                    <a:graphicData uri="http://schemas.openxmlformats.org/drawingml/2006/picture">
                      <pic:pic xmlns:pic="http://schemas.openxmlformats.org/drawingml/2006/picture">
                        <pic:nvPicPr>
                          <pic:cNvPr id="0" name="image19.jpg" descr="figure 5"/>
                          <pic:cNvPicPr preferRelativeResize="0"/>
                        </pic:nvPicPr>
                        <pic:blipFill>
                          <a:blip r:embed="rId18"/>
                          <a:srcRect/>
                          <a:stretch>
                            <a:fillRect/>
                          </a:stretch>
                        </pic:blipFill>
                        <pic:spPr>
                          <a:xfrm>
                            <a:off x="0" y="0"/>
                            <a:ext cx="2700000" cy="3132000"/>
                          </a:xfrm>
                          <a:prstGeom prst="rect">
                            <a:avLst/>
                          </a:prstGeom>
                          <a:ln/>
                        </pic:spPr>
                      </pic:pic>
                    </a:graphicData>
                  </a:graphic>
                </wp:inline>
              </w:drawing>
            </w:r>
          </w:p>
        </w:tc>
      </w:tr>
      <w:tr w:rsidR="00AD5683" w14:paraId="299C4F48" w14:textId="77777777" w:rsidTr="004E451D">
        <w:tc>
          <w:tcPr>
            <w:tcW w:w="9072" w:type="dxa"/>
            <w:gridSpan w:val="2"/>
          </w:tcPr>
          <w:p w14:paraId="5CA46F53" w14:textId="77777777" w:rsidR="00AD5683" w:rsidRDefault="00AD5683" w:rsidP="004E451D">
            <w:pPr>
              <w:pBdr>
                <w:top w:val="nil"/>
                <w:left w:val="nil"/>
                <w:bottom w:val="nil"/>
                <w:right w:val="nil"/>
                <w:between w:val="nil"/>
              </w:pBdr>
              <w:spacing w:line="276" w:lineRule="auto"/>
              <w:rPr>
                <w:rFonts w:ascii="Arial" w:eastAsia="Arial" w:hAnsi="Arial" w:cs="Arial"/>
                <w:sz w:val="18"/>
                <w:szCs w:val="18"/>
              </w:rPr>
            </w:pPr>
          </w:p>
          <w:p w14:paraId="2B4FAA08" w14:textId="77777777" w:rsidR="00AD5683" w:rsidRDefault="00AD5683" w:rsidP="004E451D">
            <w:pPr>
              <w:pStyle w:val="lgende"/>
            </w:pPr>
            <w:r>
              <w:t>Figure 6 : A : RT avec opacité arrondie de plus de 3 cm (masse) d’allure excavée. B : TDM thoracique correspondant avec masse excavée et à contours irréguliers et spiculés, associée à un nodule périphérique du segment supérieur du lobe inférieur droit et du lobe supérieur gauche.</w:t>
            </w:r>
          </w:p>
          <w:p w14:paraId="2A3AB772" w14:textId="77777777" w:rsidR="00AD5683" w:rsidRDefault="00AD5683" w:rsidP="004E451D">
            <w:pPr>
              <w:spacing w:line="276" w:lineRule="auto"/>
              <w:jc w:val="center"/>
            </w:pPr>
            <w:r>
              <w:rPr>
                <w:noProof/>
              </w:rPr>
              <w:lastRenderedPageBreak/>
              <w:drawing>
                <wp:inline distT="0" distB="0" distL="0" distR="0" wp14:anchorId="1DBE3ABB" wp14:editId="6F2749D4">
                  <wp:extent cx="5676900" cy="2439113"/>
                  <wp:effectExtent l="0" t="0" r="0" b="0"/>
                  <wp:docPr id="33"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19"/>
                          <a:srcRect/>
                          <a:stretch>
                            <a:fillRect/>
                          </a:stretch>
                        </pic:blipFill>
                        <pic:spPr>
                          <a:xfrm>
                            <a:off x="0" y="0"/>
                            <a:ext cx="5682907" cy="2441694"/>
                          </a:xfrm>
                          <a:prstGeom prst="rect">
                            <a:avLst/>
                          </a:prstGeom>
                          <a:ln/>
                        </pic:spPr>
                      </pic:pic>
                    </a:graphicData>
                  </a:graphic>
                </wp:inline>
              </w:drawing>
            </w:r>
          </w:p>
        </w:tc>
      </w:tr>
      <w:tr w:rsidR="00AD5683" w14:paraId="363B37DF" w14:textId="77777777" w:rsidTr="004E451D">
        <w:tc>
          <w:tcPr>
            <w:tcW w:w="9072" w:type="dxa"/>
            <w:gridSpan w:val="2"/>
          </w:tcPr>
          <w:p w14:paraId="6C9A3FD7" w14:textId="77777777" w:rsidR="00AD5683" w:rsidRDefault="00AD5683" w:rsidP="004E451D">
            <w:pPr>
              <w:pBdr>
                <w:top w:val="nil"/>
                <w:left w:val="nil"/>
                <w:bottom w:val="nil"/>
                <w:right w:val="nil"/>
                <w:between w:val="nil"/>
              </w:pBdr>
              <w:spacing w:line="276" w:lineRule="auto"/>
              <w:rPr>
                <w:rFonts w:ascii="Arial" w:eastAsia="Arial" w:hAnsi="Arial" w:cs="Arial"/>
                <w:sz w:val="18"/>
                <w:szCs w:val="18"/>
              </w:rPr>
            </w:pPr>
          </w:p>
          <w:p w14:paraId="74900E44" w14:textId="77777777" w:rsidR="00AD5683" w:rsidRDefault="00AD5683" w:rsidP="004E451D">
            <w:pPr>
              <w:pStyle w:val="lgende"/>
            </w:pPr>
            <w:r>
              <w:t>Figure 7 : Tumeur du lobe supérieur gauche (apex), envahissant le corps et le canal vertébral, et la côte.</w:t>
            </w:r>
          </w:p>
          <w:p w14:paraId="55804DF3" w14:textId="77777777" w:rsidR="00AD5683" w:rsidRDefault="00AD5683" w:rsidP="004E451D">
            <w:pPr>
              <w:spacing w:line="276" w:lineRule="auto"/>
              <w:ind w:left="360"/>
              <w:jc w:val="center"/>
            </w:pPr>
            <w:r>
              <w:rPr>
                <w:noProof/>
              </w:rPr>
              <w:drawing>
                <wp:inline distT="0" distB="0" distL="0" distR="0" wp14:anchorId="18C72793" wp14:editId="2B45E7D4">
                  <wp:extent cx="2552065" cy="2711450"/>
                  <wp:effectExtent l="0" t="0" r="0" b="0"/>
                  <wp:docPr id="35" name="image16.jpg" descr="figure 10"/>
                  <wp:cNvGraphicFramePr/>
                  <a:graphic xmlns:a="http://schemas.openxmlformats.org/drawingml/2006/main">
                    <a:graphicData uri="http://schemas.openxmlformats.org/drawingml/2006/picture">
                      <pic:pic xmlns:pic="http://schemas.openxmlformats.org/drawingml/2006/picture">
                        <pic:nvPicPr>
                          <pic:cNvPr id="0" name="image16.jpg" descr="figure 10"/>
                          <pic:cNvPicPr preferRelativeResize="0"/>
                        </pic:nvPicPr>
                        <pic:blipFill>
                          <a:blip r:embed="rId20"/>
                          <a:srcRect/>
                          <a:stretch>
                            <a:fillRect/>
                          </a:stretch>
                        </pic:blipFill>
                        <pic:spPr>
                          <a:xfrm>
                            <a:off x="0" y="0"/>
                            <a:ext cx="2552065" cy="2711450"/>
                          </a:xfrm>
                          <a:prstGeom prst="rect">
                            <a:avLst/>
                          </a:prstGeom>
                          <a:ln/>
                        </pic:spPr>
                      </pic:pic>
                    </a:graphicData>
                  </a:graphic>
                </wp:inline>
              </w:drawing>
            </w:r>
          </w:p>
        </w:tc>
      </w:tr>
    </w:tbl>
    <w:p w14:paraId="18DB42A0" w14:textId="77777777" w:rsidR="00AD5683" w:rsidRDefault="00AD5683" w:rsidP="004E451D">
      <w:pPr>
        <w:spacing w:line="276" w:lineRule="auto"/>
      </w:pPr>
    </w:p>
    <w:p w14:paraId="2E97BB15" w14:textId="77777777" w:rsidR="00AD5683" w:rsidRDefault="00AD5683" w:rsidP="004E451D">
      <w:pPr>
        <w:spacing w:line="276" w:lineRule="auto"/>
      </w:pPr>
      <w:r>
        <w:t>La TDM donne une première estimation</w:t>
      </w:r>
      <w:r>
        <w:rPr>
          <w:i/>
          <w:iCs/>
        </w:rPr>
        <w:t xml:space="preserve"> </w:t>
      </w:r>
      <w:r>
        <w:t>de l’extension ganglionnaire (figure 8) :</w:t>
      </w:r>
    </w:p>
    <w:p w14:paraId="0DF0EEFF" w14:textId="77777777" w:rsidR="00AD5683" w:rsidRDefault="00AD5683" w:rsidP="004E451D">
      <w:pPr>
        <w:spacing w:line="276" w:lineRule="auto"/>
      </w:pPr>
      <w:r>
        <w:t>- Absence d’adénopathie = N0.</w:t>
      </w:r>
    </w:p>
    <w:p w14:paraId="6F0D625C" w14:textId="77777777" w:rsidR="00AD5683" w:rsidRDefault="00AD5683" w:rsidP="004E451D">
      <w:pPr>
        <w:spacing w:line="276" w:lineRule="auto"/>
      </w:pPr>
      <w:r>
        <w:t>- Site(s) hilaire(s) envahi(s) = N1.</w:t>
      </w:r>
    </w:p>
    <w:p w14:paraId="6F834653" w14:textId="77777777" w:rsidR="00AD5683" w:rsidRDefault="00AD5683" w:rsidP="004E451D">
      <w:pPr>
        <w:spacing w:line="276" w:lineRule="auto"/>
      </w:pPr>
      <w:r>
        <w:t xml:space="preserve">- Site(s) médiastinal(aux) homolatéral(aux) ou sous </w:t>
      </w:r>
      <w:proofErr w:type="spellStart"/>
      <w:r>
        <w:t>carinaire</w:t>
      </w:r>
      <w:proofErr w:type="spellEnd"/>
      <w:r>
        <w:t xml:space="preserve"> envahi(s) = N2.</w:t>
      </w:r>
    </w:p>
    <w:p w14:paraId="1A2DD55E" w14:textId="77777777" w:rsidR="00AD5683" w:rsidRDefault="00AD5683" w:rsidP="004E451D">
      <w:pPr>
        <w:spacing w:line="276" w:lineRule="auto"/>
      </w:pPr>
      <w:r>
        <w:t xml:space="preserve">- Site(s) médiastinal(aux) controlatéral(aux) ou </w:t>
      </w:r>
      <w:proofErr w:type="spellStart"/>
      <w:r>
        <w:t>sus-claviculaire</w:t>
      </w:r>
      <w:proofErr w:type="spellEnd"/>
      <w:r>
        <w:t>(s) envahi(s) = N3.</w:t>
      </w:r>
    </w:p>
    <w:p w14:paraId="6B5F2A52" w14:textId="77777777" w:rsidR="00AD5683" w:rsidRDefault="00AD5683" w:rsidP="004E451D">
      <w:pPr>
        <w:spacing w:line="276" w:lineRule="auto"/>
      </w:pPr>
    </w:p>
    <w:p w14:paraId="3CE78E51" w14:textId="77777777" w:rsidR="00AD5683" w:rsidRDefault="00AD5683" w:rsidP="004E451D">
      <w:pPr>
        <w:spacing w:line="276" w:lineRule="auto"/>
      </w:pPr>
      <w:r>
        <w:t>Peut montrer aussi des métastases :</w:t>
      </w:r>
    </w:p>
    <w:p w14:paraId="1A4B7D17" w14:textId="77777777" w:rsidR="00AD5683" w:rsidRDefault="00AD5683" w:rsidP="004E451D">
      <w:pPr>
        <w:spacing w:line="276" w:lineRule="auto"/>
      </w:pPr>
      <w:r>
        <w:t xml:space="preserve">- Pulmonaires ou pleurales. </w:t>
      </w:r>
    </w:p>
    <w:p w14:paraId="5D0A8FA7" w14:textId="77777777" w:rsidR="00AD5683" w:rsidRDefault="00AD5683" w:rsidP="004E451D">
      <w:pPr>
        <w:spacing w:line="276" w:lineRule="auto"/>
      </w:pPr>
      <w:r>
        <w:t>- Hépatiques, surrénaliennes, costales ou vertébrales (figure 9).</w:t>
      </w:r>
    </w:p>
    <w:p w14:paraId="7935F1A0" w14:textId="77777777" w:rsidR="00AD5683" w:rsidRDefault="00AD5683" w:rsidP="004E451D">
      <w:pPr>
        <w:spacing w:line="276" w:lineRule="auto"/>
      </w:pPr>
      <w:r>
        <w:t>- Cérébrales.</w:t>
      </w:r>
    </w:p>
    <w:p w14:paraId="25837FE9" w14:textId="77777777" w:rsidR="00AD5683" w:rsidRDefault="00AD5683" w:rsidP="004E451D">
      <w:pPr>
        <w:spacing w:line="276" w:lineRule="auto"/>
        <w:jc w:val="left"/>
      </w:pPr>
      <w:r>
        <w:br w:type="page"/>
      </w:r>
    </w:p>
    <w:tbl>
      <w:tblPr>
        <w:tblW w:w="9072" w:type="dxa"/>
        <w:tblBorders>
          <w:top w:val="nil"/>
          <w:left w:val="nil"/>
          <w:bottom w:val="nil"/>
          <w:right w:val="nil"/>
          <w:insideH w:val="nil"/>
          <w:insideV w:val="nil"/>
        </w:tblBorders>
        <w:tblLayout w:type="fixed"/>
        <w:tblLook w:val="0400" w:firstRow="0" w:lastRow="0" w:firstColumn="0" w:lastColumn="0" w:noHBand="0" w:noVBand="1"/>
      </w:tblPr>
      <w:tblGrid>
        <w:gridCol w:w="9072"/>
      </w:tblGrid>
      <w:tr w:rsidR="00AD5683" w14:paraId="07317C2C" w14:textId="77777777" w:rsidTr="004E451D">
        <w:trPr>
          <w:trHeight w:val="3546"/>
        </w:trPr>
        <w:tc>
          <w:tcPr>
            <w:tcW w:w="9072" w:type="dxa"/>
          </w:tcPr>
          <w:p w14:paraId="40CEDFFE" w14:textId="35E41F53" w:rsidR="00AD5683" w:rsidRDefault="00AD5683" w:rsidP="004E451D">
            <w:pPr>
              <w:pStyle w:val="lgende"/>
            </w:pPr>
            <w:r>
              <w:lastRenderedPageBreak/>
              <w:t xml:space="preserve">Figure 8 : Stadification de l’envahissement ganglionnaire (T= </w:t>
            </w:r>
            <w:proofErr w:type="spellStart"/>
            <w:r>
              <w:t>Tumor</w:t>
            </w:r>
            <w:proofErr w:type="spellEnd"/>
            <w:r>
              <w:t xml:space="preserve"> (Tumeur en français), N= Node (ganglion en français).</w:t>
            </w:r>
          </w:p>
          <w:p w14:paraId="5B73DEA6" w14:textId="0B92813B" w:rsidR="00AD5683" w:rsidRDefault="004E451D" w:rsidP="004E451D">
            <w:pPr>
              <w:pBdr>
                <w:top w:val="nil"/>
                <w:left w:val="nil"/>
                <w:bottom w:val="nil"/>
                <w:right w:val="nil"/>
                <w:between w:val="nil"/>
              </w:pBdr>
              <w:spacing w:line="276" w:lineRule="auto"/>
              <w:rPr>
                <w:rFonts w:ascii="Arial" w:eastAsia="Arial" w:hAnsi="Arial" w:cs="Arial"/>
                <w:sz w:val="18"/>
                <w:szCs w:val="18"/>
              </w:rPr>
            </w:pPr>
            <w:r>
              <w:rPr>
                <w:noProof/>
              </w:rPr>
              <w:drawing>
                <wp:anchor distT="0" distB="0" distL="114300" distR="114300" simplePos="0" relativeHeight="251967488" behindDoc="0" locked="0" layoutInCell="1" hidden="0" allowOverlap="1" wp14:anchorId="33DB770C" wp14:editId="7F9197DA">
                  <wp:simplePos x="0" y="0"/>
                  <wp:positionH relativeFrom="column">
                    <wp:posOffset>1301750</wp:posOffset>
                  </wp:positionH>
                  <wp:positionV relativeFrom="paragraph">
                    <wp:posOffset>8890</wp:posOffset>
                  </wp:positionV>
                  <wp:extent cx="3016250" cy="2600960"/>
                  <wp:effectExtent l="0" t="0" r="0" b="0"/>
                  <wp:wrapSquare wrapText="bothSides" distT="0" distB="0" distL="114300" distR="114300"/>
                  <wp:docPr id="34"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1"/>
                          <a:srcRect/>
                          <a:stretch>
                            <a:fillRect/>
                          </a:stretch>
                        </pic:blipFill>
                        <pic:spPr>
                          <a:xfrm>
                            <a:off x="0" y="0"/>
                            <a:ext cx="3016250" cy="2600960"/>
                          </a:xfrm>
                          <a:prstGeom prst="rect">
                            <a:avLst/>
                          </a:prstGeom>
                          <a:ln/>
                        </pic:spPr>
                      </pic:pic>
                    </a:graphicData>
                  </a:graphic>
                </wp:anchor>
              </w:drawing>
            </w:r>
          </w:p>
        </w:tc>
      </w:tr>
      <w:tr w:rsidR="00AD5683" w14:paraId="1B6D5410" w14:textId="77777777" w:rsidTr="004E451D">
        <w:tc>
          <w:tcPr>
            <w:tcW w:w="9072" w:type="dxa"/>
          </w:tcPr>
          <w:p w14:paraId="10754CC0" w14:textId="77777777" w:rsidR="00AD5683" w:rsidRDefault="00AD5683" w:rsidP="004E451D">
            <w:pPr>
              <w:pStyle w:val="lgende"/>
            </w:pPr>
            <w:r>
              <w:t xml:space="preserve">Figure 9 : Métastases avec lyses osseuses : TDM thoraco-abdomino-pelvienne d’un homme de 78 ans avec adénocarcinome bronchique métastatique. </w:t>
            </w:r>
          </w:p>
          <w:p w14:paraId="7F0E0E07" w14:textId="77777777" w:rsidR="00AD5683" w:rsidRDefault="00AD5683" w:rsidP="004E451D">
            <w:pPr>
              <w:pStyle w:val="lgende"/>
            </w:pPr>
            <w:r>
              <w:t xml:space="preserve">Coupe coronale thoracique en fenêtre médiastinale montrant une masse pulmonaire centrale gauche (astérisque), associée à une lésion osseuse lytique costale droite (flèche blanche) compatible avec une métastase osseuse. </w:t>
            </w:r>
          </w:p>
          <w:p w14:paraId="593D3028" w14:textId="4AAF9599" w:rsidR="00AD5683" w:rsidRDefault="004E451D" w:rsidP="004E451D">
            <w:pPr>
              <w:pStyle w:val="lgende"/>
            </w:pPr>
            <w:r>
              <w:rPr>
                <w:noProof/>
              </w:rPr>
              <w:drawing>
                <wp:anchor distT="0" distB="0" distL="114300" distR="114300" simplePos="0" relativeHeight="251968512" behindDoc="0" locked="0" layoutInCell="1" hidden="0" allowOverlap="1" wp14:anchorId="2455A645" wp14:editId="64FE0E86">
                  <wp:simplePos x="0" y="0"/>
                  <wp:positionH relativeFrom="column">
                    <wp:posOffset>-68580</wp:posOffset>
                  </wp:positionH>
                  <wp:positionV relativeFrom="paragraph">
                    <wp:posOffset>325755</wp:posOffset>
                  </wp:positionV>
                  <wp:extent cx="5734050" cy="2433320"/>
                  <wp:effectExtent l="0" t="0" r="0" b="5080"/>
                  <wp:wrapSquare wrapText="bothSides" distT="0" distB="0" distL="114300" distR="114300"/>
                  <wp:docPr id="27"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2"/>
                          <a:srcRect t="5297" b="5249"/>
                          <a:stretch>
                            <a:fillRect/>
                          </a:stretch>
                        </pic:blipFill>
                        <pic:spPr>
                          <a:xfrm>
                            <a:off x="0" y="0"/>
                            <a:ext cx="5734050" cy="2433320"/>
                          </a:xfrm>
                          <a:prstGeom prst="rect">
                            <a:avLst/>
                          </a:prstGeom>
                          <a:ln/>
                        </pic:spPr>
                      </pic:pic>
                    </a:graphicData>
                  </a:graphic>
                  <wp14:sizeRelH relativeFrom="margin">
                    <wp14:pctWidth>0</wp14:pctWidth>
                  </wp14:sizeRelH>
                  <wp14:sizeRelV relativeFrom="margin">
                    <wp14:pctHeight>0</wp14:pctHeight>
                  </wp14:sizeRelV>
                </wp:anchor>
              </w:drawing>
            </w:r>
            <w:r w:rsidR="00AD5683">
              <w:t>(B) Coupe axiale pelvienne montrant une localisation osseuse lytique de l’aile iliaque droite (flèche blanche), compatible avec une métastase osseuse.</w:t>
            </w:r>
          </w:p>
        </w:tc>
      </w:tr>
    </w:tbl>
    <w:p w14:paraId="4C3EA202" w14:textId="77777777" w:rsidR="00AD5683" w:rsidRDefault="00AD5683" w:rsidP="004E451D">
      <w:pPr>
        <w:spacing w:line="276" w:lineRule="auto"/>
      </w:pPr>
    </w:p>
    <w:p w14:paraId="19DA0969" w14:textId="2496D8FC" w:rsidR="00AD5683" w:rsidRDefault="00AD5683">
      <w:pPr>
        <w:pStyle w:val="Titre3"/>
        <w:numPr>
          <w:ilvl w:val="1"/>
          <w:numId w:val="18"/>
        </w:numPr>
      </w:pPr>
      <w:r>
        <w:t xml:space="preserve">TEP-TDM au 18-FDG </w:t>
      </w:r>
    </w:p>
    <w:p w14:paraId="5CA7BD16" w14:textId="77777777" w:rsidR="00AD5683" w:rsidRDefault="00AD5683" w:rsidP="004E451D">
      <w:pPr>
        <w:spacing w:line="276" w:lineRule="auto"/>
      </w:pPr>
      <w:r>
        <w:t>- Examen d’imagerie fonctionnelle qui fait appel à du glucose marqué par un radio nucléotide : le fluor 18 (18FDG) qui se fixe préférentiellement dans les cellules et tissus à haut métabolisme (tumeurs, mais aussi inflammation ou infection).</w:t>
      </w:r>
    </w:p>
    <w:p w14:paraId="2A0DDAD2" w14:textId="77777777" w:rsidR="00AD5683" w:rsidRDefault="00AD5683" w:rsidP="004E451D">
      <w:pPr>
        <w:spacing w:line="276" w:lineRule="auto"/>
      </w:pPr>
      <w:r>
        <w:lastRenderedPageBreak/>
        <w:t>- Le 18FDG TEP (Tomographie à émission de positons) -scanner est indiqué chez les patients pour lesquels une chirurgie d’exérèse ou une radiothérapie curative est envisagée (formes localisées ou localement avancées).</w:t>
      </w:r>
    </w:p>
    <w:p w14:paraId="70907E5B" w14:textId="77777777" w:rsidR="00AD5683" w:rsidRDefault="00AD5683" w:rsidP="004E451D">
      <w:pPr>
        <w:spacing w:line="276" w:lineRule="auto"/>
      </w:pPr>
      <w:r>
        <w:t>- Valeur prédictive négative élevée pour le bilan d’extension.</w:t>
      </w:r>
    </w:p>
    <w:p w14:paraId="724C619E" w14:textId="77777777" w:rsidR="00AD5683" w:rsidRDefault="00AD5683" w:rsidP="004E451D">
      <w:pPr>
        <w:spacing w:line="276" w:lineRule="auto"/>
      </w:pPr>
      <w:r>
        <w:t>- Les indications les plus pertinentes sont :</w:t>
      </w:r>
    </w:p>
    <w:p w14:paraId="7749CE46" w14:textId="77777777" w:rsidR="00AD5683" w:rsidRDefault="00AD5683">
      <w:pPr>
        <w:numPr>
          <w:ilvl w:val="1"/>
          <w:numId w:val="13"/>
        </w:numPr>
        <w:spacing w:line="276" w:lineRule="auto"/>
        <w:ind w:left="284" w:hanging="142"/>
      </w:pPr>
      <w:r>
        <w:t>La caractérisation d’un nodule pulmonaire de nature incertaine.</w:t>
      </w:r>
    </w:p>
    <w:p w14:paraId="657B5893" w14:textId="77777777" w:rsidR="00AD5683" w:rsidRDefault="00AD5683">
      <w:pPr>
        <w:numPr>
          <w:ilvl w:val="1"/>
          <w:numId w:val="13"/>
        </w:numPr>
        <w:spacing w:line="276" w:lineRule="auto"/>
        <w:ind w:left="284" w:hanging="142"/>
      </w:pPr>
      <w:r>
        <w:t xml:space="preserve">Le </w:t>
      </w:r>
      <w:proofErr w:type="spellStart"/>
      <w:r>
        <w:t>staging</w:t>
      </w:r>
      <w:proofErr w:type="spellEnd"/>
      <w:r>
        <w:t xml:space="preserve"> médiastinal d’un cancer a priori résécable, car une adénopathie de taille normale à la TDM peut malgré tout s’avérer hypermétabolique au TEP scanner et justifier un examen histologique préalable à la décision chirurgicale.</w:t>
      </w:r>
    </w:p>
    <w:p w14:paraId="4801F710" w14:textId="77777777" w:rsidR="00AD5683" w:rsidRDefault="00AD5683">
      <w:pPr>
        <w:numPr>
          <w:ilvl w:val="1"/>
          <w:numId w:val="13"/>
        </w:numPr>
        <w:spacing w:line="276" w:lineRule="auto"/>
        <w:ind w:left="284" w:hanging="142"/>
      </w:pPr>
      <w:r>
        <w:t xml:space="preserve">Le bilan d’extension à distance d’une tumeur </w:t>
      </w:r>
      <w:r>
        <w:rPr>
          <w:i/>
          <w:iCs/>
        </w:rPr>
        <w:t>a priori</w:t>
      </w:r>
      <w:r>
        <w:t xml:space="preserve"> éligible à un traitement local (chirurgie ou radiothérapie).</w:t>
      </w:r>
    </w:p>
    <w:p w14:paraId="0E6FFDBA" w14:textId="77777777" w:rsidR="00AD5683" w:rsidRDefault="00AD5683" w:rsidP="004E451D">
      <w:pPr>
        <w:spacing w:line="276" w:lineRule="auto"/>
        <w:ind w:left="1134" w:hanging="1134"/>
      </w:pPr>
    </w:p>
    <w:p w14:paraId="79658509" w14:textId="77777777" w:rsidR="00AD5683" w:rsidRDefault="00AD5683" w:rsidP="004E451D">
      <w:pPr>
        <w:pStyle w:val="lgende"/>
      </w:pPr>
      <w:r>
        <w:t>Figure 10 : Suite du cas de la figure 3 (rappelé ici). La fixation du 18FDG est limitée à la tumeur, sans fixation ganglionnaire médiastinale ni fixation pathologique à distance (NB fixation cérébrale, des voies excrétrices urinaires ou vésicale non pathologique).</w:t>
      </w:r>
    </w:p>
    <w:p w14:paraId="46AD9A83" w14:textId="77777777" w:rsidR="00AD5683" w:rsidRDefault="00AD5683" w:rsidP="004E451D">
      <w:pPr>
        <w:spacing w:line="276" w:lineRule="auto"/>
        <w:ind w:left="1134" w:hanging="1134"/>
      </w:pPr>
      <w:r>
        <w:rPr>
          <w:noProof/>
        </w:rPr>
        <w:drawing>
          <wp:inline distT="0" distB="0" distL="0" distR="0" wp14:anchorId="7C33CDDF" wp14:editId="4FC55565">
            <wp:extent cx="5774788" cy="2507379"/>
            <wp:effectExtent l="0" t="0" r="0" b="7620"/>
            <wp:docPr id="37"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16"/>
                    <a:srcRect/>
                    <a:stretch>
                      <a:fillRect/>
                    </a:stretch>
                  </pic:blipFill>
                  <pic:spPr>
                    <a:xfrm>
                      <a:off x="0" y="0"/>
                      <a:ext cx="5787969" cy="2513102"/>
                    </a:xfrm>
                    <a:prstGeom prst="rect">
                      <a:avLst/>
                    </a:prstGeom>
                    <a:ln/>
                  </pic:spPr>
                </pic:pic>
              </a:graphicData>
            </a:graphic>
          </wp:inline>
        </w:drawing>
      </w:r>
    </w:p>
    <w:p w14:paraId="0D0D7154" w14:textId="77777777" w:rsidR="00AD5683" w:rsidRDefault="00AD5683" w:rsidP="004E451D">
      <w:pPr>
        <w:spacing w:line="276" w:lineRule="auto"/>
        <w:jc w:val="center"/>
      </w:pPr>
      <w:r>
        <w:rPr>
          <w:noProof/>
        </w:rPr>
        <w:drawing>
          <wp:inline distT="0" distB="0" distL="0" distR="0" wp14:anchorId="11B407F1" wp14:editId="42A1658B">
            <wp:extent cx="4635500" cy="2305685"/>
            <wp:effectExtent l="0" t="0" r="0" b="0"/>
            <wp:docPr id="38" name="image27.jpg" descr="figure 11"/>
            <wp:cNvGraphicFramePr/>
            <a:graphic xmlns:a="http://schemas.openxmlformats.org/drawingml/2006/main">
              <a:graphicData uri="http://schemas.openxmlformats.org/drawingml/2006/picture">
                <pic:pic xmlns:pic="http://schemas.openxmlformats.org/drawingml/2006/picture">
                  <pic:nvPicPr>
                    <pic:cNvPr id="0" name="image27.jpg" descr="figure 11"/>
                    <pic:cNvPicPr preferRelativeResize="0"/>
                  </pic:nvPicPr>
                  <pic:blipFill>
                    <a:blip r:embed="rId23"/>
                    <a:srcRect/>
                    <a:stretch>
                      <a:fillRect/>
                    </a:stretch>
                  </pic:blipFill>
                  <pic:spPr>
                    <a:xfrm>
                      <a:off x="0" y="0"/>
                      <a:ext cx="4635500" cy="2305685"/>
                    </a:xfrm>
                    <a:prstGeom prst="rect">
                      <a:avLst/>
                    </a:prstGeom>
                    <a:ln/>
                  </pic:spPr>
                </pic:pic>
              </a:graphicData>
            </a:graphic>
          </wp:inline>
        </w:drawing>
      </w:r>
    </w:p>
    <w:p w14:paraId="57C15FE8" w14:textId="77777777" w:rsidR="00AD5683" w:rsidRDefault="00AD5683" w:rsidP="004E451D">
      <w:pPr>
        <w:spacing w:line="276" w:lineRule="auto"/>
        <w:rPr>
          <w:b/>
          <w:bCs/>
        </w:rPr>
      </w:pPr>
    </w:p>
    <w:p w14:paraId="3089308F" w14:textId="0D8D05ED" w:rsidR="00AD5683" w:rsidRDefault="00AD5683">
      <w:pPr>
        <w:pStyle w:val="Titre3"/>
        <w:numPr>
          <w:ilvl w:val="1"/>
          <w:numId w:val="18"/>
        </w:numPr>
      </w:pPr>
      <w:r>
        <w:t>L’IRM thoracique</w:t>
      </w:r>
    </w:p>
    <w:p w14:paraId="1A18994C" w14:textId="77777777" w:rsidR="00AD5683" w:rsidRDefault="00AD5683" w:rsidP="004E451D">
      <w:pPr>
        <w:spacing w:line="276" w:lineRule="auto"/>
      </w:pPr>
      <w:r>
        <w:lastRenderedPageBreak/>
        <w:t xml:space="preserve">Sauf cas exceptionnel, ce type d’imagerie n’a pas sa place dans le CP. </w:t>
      </w:r>
    </w:p>
    <w:p w14:paraId="3CBDA6B1" w14:textId="77777777" w:rsidR="00AD5683" w:rsidRDefault="00AD5683" w:rsidP="004E451D">
      <w:pPr>
        <w:spacing w:line="276" w:lineRule="auto"/>
      </w:pPr>
      <w:r>
        <w:t xml:space="preserve">Elle est, dans certains cas, utile pour préciser les rapports d’une tumeur de l’apex (Pancoast Tobias) avec les vaisseaux sous claviers, le plexus brachial, et les foramens intervertébraux, dans le cas où le scanner est insuffisant, pour en évaluer la </w:t>
      </w:r>
      <w:proofErr w:type="spellStart"/>
      <w:r>
        <w:t>résécabilité</w:t>
      </w:r>
      <w:proofErr w:type="spellEnd"/>
      <w:r>
        <w:t>.</w:t>
      </w:r>
    </w:p>
    <w:p w14:paraId="52B0A2FA" w14:textId="77777777" w:rsidR="00AD5683" w:rsidRDefault="00AD5683" w:rsidP="004E451D">
      <w:pPr>
        <w:spacing w:line="276" w:lineRule="auto"/>
        <w:jc w:val="left"/>
        <w:rPr>
          <w:b/>
          <w:bCs/>
        </w:rPr>
      </w:pPr>
      <w:r>
        <w:br w:type="page"/>
      </w:r>
    </w:p>
    <w:p w14:paraId="5D692005" w14:textId="77777777" w:rsidR="00AD5683" w:rsidRDefault="00AD5683" w:rsidP="004E451D">
      <w:pPr>
        <w:pStyle w:val="Titre2"/>
      </w:pPr>
      <w:r>
        <w:lastRenderedPageBreak/>
        <w:t>Diagnostic histologique des cancers du poumon</w:t>
      </w:r>
    </w:p>
    <w:p w14:paraId="24FE396F" w14:textId="36366B47" w:rsidR="00AD5683" w:rsidRDefault="00AD5683">
      <w:pPr>
        <w:pStyle w:val="Titre3"/>
        <w:numPr>
          <w:ilvl w:val="1"/>
          <w:numId w:val="19"/>
        </w:numPr>
        <w:ind w:left="851" w:hanging="425"/>
      </w:pPr>
      <w:r>
        <w:t>Bronchoscopie souple (fibroscopie bronchique)</w:t>
      </w:r>
    </w:p>
    <w:p w14:paraId="47EE1417" w14:textId="77777777" w:rsidR="00AD5683" w:rsidRDefault="00AD5683" w:rsidP="004E451D">
      <w:pPr>
        <w:pStyle w:val="lgende"/>
      </w:pPr>
      <w:r>
        <w:t>Figure 11 : La bronchoscopie souple visualise l’arbre bronchique jusqu’au niveau sous-segmentaire. Elle est réalisée sous anesthésie locale ou sous sédation. Des biopsies bronchiques sont réalisées sur les anomalies observées (bourgeon tumoral, infiltration).</w:t>
      </w:r>
    </w:p>
    <w:p w14:paraId="13859C1C" w14:textId="77777777" w:rsidR="00AD5683" w:rsidRDefault="00AD5683" w:rsidP="004E451D">
      <w:pPr>
        <w:spacing w:line="276" w:lineRule="auto"/>
        <w:ind w:left="1260" w:hanging="1260"/>
        <w:jc w:val="center"/>
      </w:pPr>
      <w:r>
        <w:rPr>
          <w:noProof/>
        </w:rPr>
        <w:drawing>
          <wp:inline distT="0" distB="0" distL="0" distR="0" wp14:anchorId="44C159CA" wp14:editId="489E817C">
            <wp:extent cx="4683856" cy="3497688"/>
            <wp:effectExtent l="0" t="0" r="0" b="0"/>
            <wp:docPr id="39" name="image25.jpg"/>
            <wp:cNvGraphicFramePr/>
            <a:graphic xmlns:a="http://schemas.openxmlformats.org/drawingml/2006/main">
              <a:graphicData uri="http://schemas.openxmlformats.org/drawingml/2006/picture">
                <pic:pic xmlns:pic="http://schemas.openxmlformats.org/drawingml/2006/picture">
                  <pic:nvPicPr>
                    <pic:cNvPr id="0" name="image25.jpg"/>
                    <pic:cNvPicPr preferRelativeResize="0"/>
                  </pic:nvPicPr>
                  <pic:blipFill>
                    <a:blip r:embed="rId24"/>
                    <a:srcRect/>
                    <a:stretch>
                      <a:fillRect/>
                    </a:stretch>
                  </pic:blipFill>
                  <pic:spPr>
                    <a:xfrm>
                      <a:off x="0" y="0"/>
                      <a:ext cx="4683856" cy="3497688"/>
                    </a:xfrm>
                    <a:prstGeom prst="rect">
                      <a:avLst/>
                    </a:prstGeom>
                    <a:ln/>
                  </pic:spPr>
                </pic:pic>
              </a:graphicData>
            </a:graphic>
          </wp:inline>
        </w:drawing>
      </w:r>
    </w:p>
    <w:p w14:paraId="07C2AB47" w14:textId="77777777" w:rsidR="00AD5683" w:rsidRDefault="00AD5683" w:rsidP="004E451D">
      <w:pPr>
        <w:spacing w:line="276" w:lineRule="auto"/>
      </w:pPr>
    </w:p>
    <w:p w14:paraId="523172BF" w14:textId="6DCBCA1C" w:rsidR="00AD5683" w:rsidRDefault="00AD5683">
      <w:pPr>
        <w:pStyle w:val="Titre3"/>
        <w:numPr>
          <w:ilvl w:val="1"/>
          <w:numId w:val="19"/>
        </w:numPr>
        <w:ind w:left="851" w:hanging="491"/>
      </w:pPr>
      <w:r>
        <w:t>Echo-endoscopie bronchique</w:t>
      </w:r>
    </w:p>
    <w:p w14:paraId="4E0BECD1" w14:textId="77777777" w:rsidR="00AD5683" w:rsidRDefault="00AD5683" w:rsidP="004E451D">
      <w:pPr>
        <w:spacing w:line="276" w:lineRule="auto"/>
      </w:pPr>
      <w:r>
        <w:t>Lorsqu’il existe des adénopathies satellites d’un CP au contact de la trachée ou d’une grosse bronche, on peut documenter son atteinte par ponction à l’aiguille sous guidage d’une sonde d’échographie située à l’extrémité de l’endoscope.</w:t>
      </w:r>
    </w:p>
    <w:p w14:paraId="3A88E930" w14:textId="77777777" w:rsidR="00AD5683" w:rsidRDefault="00AD5683" w:rsidP="004E451D">
      <w:pPr>
        <w:pBdr>
          <w:top w:val="nil"/>
          <w:left w:val="nil"/>
          <w:bottom w:val="nil"/>
          <w:right w:val="nil"/>
          <w:between w:val="nil"/>
        </w:pBdr>
        <w:spacing w:line="276" w:lineRule="auto"/>
      </w:pPr>
    </w:p>
    <w:p w14:paraId="3166B96B" w14:textId="6A877144" w:rsidR="00AD5683" w:rsidRDefault="00AD5683" w:rsidP="004E451D">
      <w:pPr>
        <w:pStyle w:val="lgende"/>
      </w:pPr>
      <w:r>
        <w:t>Figure 12 : Ponction à l’aiguille des adénopathies au contact de la trachée (écho-endoscopie bronchique). Voir aussi figure 1</w:t>
      </w:r>
      <w:r w:rsidR="0007472D">
        <w:t>3</w:t>
      </w:r>
      <w:r>
        <w:t xml:space="preserve"> « ponction échoguidée par voie endoscopique des adénopathies médiastinales » dans l’item</w:t>
      </w:r>
      <w:r w:rsidR="0007472D">
        <w:t>210</w:t>
      </w:r>
      <w:r>
        <w:t>.</w:t>
      </w:r>
    </w:p>
    <w:p w14:paraId="4CE415B0" w14:textId="77777777" w:rsidR="00AD5683" w:rsidRDefault="00AD5683" w:rsidP="004E451D">
      <w:pPr>
        <w:spacing w:line="276" w:lineRule="auto"/>
        <w:jc w:val="center"/>
      </w:pPr>
      <w:r>
        <w:rPr>
          <w:noProof/>
        </w:rPr>
        <w:lastRenderedPageBreak/>
        <w:drawing>
          <wp:inline distT="0" distB="0" distL="0" distR="0" wp14:anchorId="03DA497E" wp14:editId="68421946">
            <wp:extent cx="3053080" cy="3140710"/>
            <wp:effectExtent l="0" t="0" r="0" b="0"/>
            <wp:docPr id="40" name="image30.jpg" descr="figure 15"/>
            <wp:cNvGraphicFramePr/>
            <a:graphic xmlns:a="http://schemas.openxmlformats.org/drawingml/2006/main">
              <a:graphicData uri="http://schemas.openxmlformats.org/drawingml/2006/picture">
                <pic:pic xmlns:pic="http://schemas.openxmlformats.org/drawingml/2006/picture">
                  <pic:nvPicPr>
                    <pic:cNvPr id="0" name="image30.jpg" descr="figure 15"/>
                    <pic:cNvPicPr preferRelativeResize="0"/>
                  </pic:nvPicPr>
                  <pic:blipFill>
                    <a:blip r:embed="rId25"/>
                    <a:srcRect/>
                    <a:stretch>
                      <a:fillRect/>
                    </a:stretch>
                  </pic:blipFill>
                  <pic:spPr>
                    <a:xfrm>
                      <a:off x="0" y="0"/>
                      <a:ext cx="3053080" cy="3140710"/>
                    </a:xfrm>
                    <a:prstGeom prst="rect">
                      <a:avLst/>
                    </a:prstGeom>
                    <a:ln/>
                  </pic:spPr>
                </pic:pic>
              </a:graphicData>
            </a:graphic>
          </wp:inline>
        </w:drawing>
      </w:r>
      <w:r>
        <w:t xml:space="preserve">. </w:t>
      </w:r>
    </w:p>
    <w:p w14:paraId="6520D647" w14:textId="77777777" w:rsidR="00AD5683" w:rsidRDefault="00AD5683" w:rsidP="004E451D">
      <w:pPr>
        <w:spacing w:line="276" w:lineRule="auto"/>
      </w:pPr>
    </w:p>
    <w:p w14:paraId="37C95DBA" w14:textId="0A047CB6" w:rsidR="00AD5683" w:rsidRDefault="00AD5683">
      <w:pPr>
        <w:pStyle w:val="Titre3"/>
        <w:numPr>
          <w:ilvl w:val="1"/>
          <w:numId w:val="19"/>
        </w:numPr>
        <w:ind w:left="851" w:hanging="491"/>
      </w:pPr>
      <w:r>
        <w:t xml:space="preserve">Ponction-biopsie </w:t>
      </w:r>
      <w:proofErr w:type="spellStart"/>
      <w:r>
        <w:t>trans-pariétale</w:t>
      </w:r>
      <w:proofErr w:type="spellEnd"/>
      <w:r>
        <w:t xml:space="preserve"> à l’aiguille</w:t>
      </w:r>
    </w:p>
    <w:p w14:paraId="431D6CAE" w14:textId="77777777" w:rsidR="00AD5683" w:rsidRDefault="00AD5683" w:rsidP="004E451D">
      <w:pPr>
        <w:spacing w:line="276" w:lineRule="auto"/>
      </w:pPr>
      <w:r>
        <w:t>Elle est réalisée sous anesthésie locale sous guidage TDM.</w:t>
      </w:r>
    </w:p>
    <w:p w14:paraId="5ADF2D52" w14:textId="77777777" w:rsidR="00AD5683" w:rsidRDefault="00AD5683" w:rsidP="004E451D">
      <w:pPr>
        <w:spacing w:line="276" w:lineRule="auto"/>
      </w:pPr>
      <w:r>
        <w:t xml:space="preserve">Elle peut être </w:t>
      </w:r>
      <w:proofErr w:type="spellStart"/>
      <w:r>
        <w:t>écho-guidée</w:t>
      </w:r>
      <w:proofErr w:type="spellEnd"/>
      <w:r>
        <w:t xml:space="preserve"> si la lésion a un contact pariétal direct.</w:t>
      </w:r>
    </w:p>
    <w:p w14:paraId="3EDA8206" w14:textId="77777777" w:rsidR="00AD5683" w:rsidRDefault="00AD5683" w:rsidP="004E451D">
      <w:pPr>
        <w:spacing w:line="276" w:lineRule="auto"/>
      </w:pPr>
      <w:r>
        <w:t xml:space="preserve">Très utile pour les nodules et masses périphériques. </w:t>
      </w:r>
    </w:p>
    <w:p w14:paraId="5FBAF4D9" w14:textId="77777777" w:rsidR="00AD5683" w:rsidRDefault="00AD5683" w:rsidP="004E451D">
      <w:pPr>
        <w:spacing w:line="276" w:lineRule="auto"/>
      </w:pPr>
      <w:r>
        <w:t>Se complique :</w:t>
      </w:r>
    </w:p>
    <w:p w14:paraId="22500C6A" w14:textId="77777777" w:rsidR="00AD5683" w:rsidRDefault="00AD5683" w:rsidP="004E451D">
      <w:pPr>
        <w:spacing w:line="276" w:lineRule="auto"/>
      </w:pPr>
      <w:r>
        <w:t>- Dans environ 10 à 20 % des cas d’un pneumothorax, souvent minime et bien toléré.</w:t>
      </w:r>
    </w:p>
    <w:p w14:paraId="73F90157" w14:textId="77777777" w:rsidR="00AD5683" w:rsidRDefault="00AD5683" w:rsidP="004E451D">
      <w:pPr>
        <w:spacing w:line="276" w:lineRule="auto"/>
      </w:pPr>
      <w:r>
        <w:t>- D’hémoptysie dans 2 à 18 % des cas (mais dans près de 70 % des cas, saignements infraclinique). Rarement grave (&lt; 0,2 % des cas).</w:t>
      </w:r>
    </w:p>
    <w:p w14:paraId="32B567B5" w14:textId="77777777" w:rsidR="00AD5683" w:rsidRDefault="00AD5683" w:rsidP="004E451D">
      <w:pPr>
        <w:spacing w:line="276" w:lineRule="auto"/>
        <w:ind w:left="1260" w:hanging="1260"/>
      </w:pPr>
    </w:p>
    <w:p w14:paraId="74586364" w14:textId="77777777" w:rsidR="00AD5683" w:rsidRDefault="00AD5683" w:rsidP="004E451D">
      <w:pPr>
        <w:pStyle w:val="lgende"/>
      </w:pPr>
      <w:r>
        <w:t xml:space="preserve">Figure 13 : Ponction d’une tumeur périphérique sous guidage TDM. </w:t>
      </w:r>
    </w:p>
    <w:p w14:paraId="7DE9EEF5" w14:textId="77777777" w:rsidR="00AD5683" w:rsidRDefault="00AD5683" w:rsidP="004E451D">
      <w:pPr>
        <w:spacing w:line="276" w:lineRule="auto"/>
        <w:ind w:left="1260" w:hanging="1260"/>
        <w:jc w:val="center"/>
      </w:pPr>
      <w:r>
        <w:rPr>
          <w:noProof/>
        </w:rPr>
        <w:lastRenderedPageBreak/>
        <w:drawing>
          <wp:inline distT="0" distB="0" distL="0" distR="0" wp14:anchorId="4AD07C9A" wp14:editId="3B49088C">
            <wp:extent cx="4262120" cy="2711450"/>
            <wp:effectExtent l="0" t="0" r="0" b="0"/>
            <wp:docPr id="22" name="image26.jpg" descr="figure 16"/>
            <wp:cNvGraphicFramePr/>
            <a:graphic xmlns:a="http://schemas.openxmlformats.org/drawingml/2006/main">
              <a:graphicData uri="http://schemas.openxmlformats.org/drawingml/2006/picture">
                <pic:pic xmlns:pic="http://schemas.openxmlformats.org/drawingml/2006/picture">
                  <pic:nvPicPr>
                    <pic:cNvPr id="0" name="image26.jpg" descr="figure 16"/>
                    <pic:cNvPicPr preferRelativeResize="0"/>
                  </pic:nvPicPr>
                  <pic:blipFill>
                    <a:blip r:embed="rId26"/>
                    <a:srcRect/>
                    <a:stretch>
                      <a:fillRect/>
                    </a:stretch>
                  </pic:blipFill>
                  <pic:spPr>
                    <a:xfrm>
                      <a:off x="0" y="0"/>
                      <a:ext cx="4262120" cy="2711450"/>
                    </a:xfrm>
                    <a:prstGeom prst="rect">
                      <a:avLst/>
                    </a:prstGeom>
                    <a:ln/>
                  </pic:spPr>
                </pic:pic>
              </a:graphicData>
            </a:graphic>
          </wp:inline>
        </w:drawing>
      </w:r>
    </w:p>
    <w:p w14:paraId="1281221F" w14:textId="77777777" w:rsidR="00AD5683" w:rsidRDefault="00AD5683" w:rsidP="004E451D">
      <w:pPr>
        <w:pBdr>
          <w:top w:val="nil"/>
          <w:left w:val="nil"/>
          <w:bottom w:val="nil"/>
          <w:right w:val="nil"/>
          <w:between w:val="nil"/>
        </w:pBdr>
        <w:spacing w:after="240" w:line="276" w:lineRule="auto"/>
        <w:ind w:left="720" w:hanging="360"/>
        <w:jc w:val="left"/>
        <w:rPr>
          <w:b/>
          <w:bCs/>
        </w:rPr>
      </w:pPr>
    </w:p>
    <w:p w14:paraId="7F06AF23" w14:textId="105A2B50" w:rsidR="00AD5683" w:rsidRDefault="004E451D">
      <w:pPr>
        <w:pStyle w:val="Titre3"/>
        <w:numPr>
          <w:ilvl w:val="1"/>
          <w:numId w:val="19"/>
        </w:numPr>
        <w:ind w:left="851" w:hanging="491"/>
      </w:pPr>
      <w:r>
        <w:rPr>
          <w:noProof/>
        </w:rPr>
        <w:drawing>
          <wp:anchor distT="0" distB="0" distL="114300" distR="114300" simplePos="0" relativeHeight="251969536" behindDoc="0" locked="0" layoutInCell="1" hidden="0" allowOverlap="1" wp14:anchorId="7BD9AC36" wp14:editId="5FE9C831">
            <wp:simplePos x="0" y="0"/>
            <wp:positionH relativeFrom="column">
              <wp:posOffset>-262841</wp:posOffset>
            </wp:positionH>
            <wp:positionV relativeFrom="paragraph">
              <wp:posOffset>316230</wp:posOffset>
            </wp:positionV>
            <wp:extent cx="153670" cy="137160"/>
            <wp:effectExtent l="0" t="0" r="0" b="0"/>
            <wp:wrapSquare wrapText="bothSides" distT="0" distB="0" distL="114300" distR="114300"/>
            <wp:docPr id="2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rsidR="00AD5683">
        <w:t>Techniques chirurgicales</w:t>
      </w:r>
    </w:p>
    <w:p w14:paraId="3E79D48A" w14:textId="69113E94" w:rsidR="00AD5683" w:rsidRDefault="00AD5683" w:rsidP="004E451D">
      <w:pPr>
        <w:spacing w:line="276" w:lineRule="auto"/>
        <w:rPr>
          <w:color w:val="0070C0"/>
        </w:rPr>
      </w:pPr>
      <w:r>
        <w:rPr>
          <w:color w:val="0070C0"/>
        </w:rPr>
        <w:t xml:space="preserve">Si le diagnostic n’a pas été obtenu de façon moins invasive, qu’il n’y a pas d’autre lésion à distance qui soit accessible à un geste simple et si la suspicion de cancer est élevée : </w:t>
      </w:r>
    </w:p>
    <w:p w14:paraId="62DB91AA" w14:textId="77777777" w:rsidR="00AD5683" w:rsidRDefault="00AD5683" w:rsidP="004E451D">
      <w:pPr>
        <w:spacing w:line="276" w:lineRule="auto"/>
        <w:rPr>
          <w:color w:val="0070C0"/>
        </w:rPr>
      </w:pPr>
      <w:r>
        <w:rPr>
          <w:color w:val="0070C0"/>
        </w:rPr>
        <w:t>- Médiastinoscopie :</w:t>
      </w:r>
    </w:p>
    <w:p w14:paraId="1C70174D" w14:textId="77777777" w:rsidR="00AD5683" w:rsidRDefault="00AD5683">
      <w:pPr>
        <w:numPr>
          <w:ilvl w:val="0"/>
          <w:numId w:val="6"/>
        </w:numPr>
        <w:spacing w:line="276" w:lineRule="auto"/>
        <w:ind w:left="284" w:hanging="142"/>
        <w:rPr>
          <w:color w:val="0070C0"/>
        </w:rPr>
      </w:pPr>
      <w:r>
        <w:rPr>
          <w:color w:val="0070C0"/>
        </w:rPr>
        <w:t xml:space="preserve">Permet l’abord des sites ganglionnaires </w:t>
      </w:r>
      <w:proofErr w:type="spellStart"/>
      <w:r>
        <w:rPr>
          <w:color w:val="0070C0"/>
        </w:rPr>
        <w:t>latéro</w:t>
      </w:r>
      <w:proofErr w:type="spellEnd"/>
      <w:r>
        <w:rPr>
          <w:color w:val="0070C0"/>
        </w:rPr>
        <w:t xml:space="preserve">-trachéaux. </w:t>
      </w:r>
    </w:p>
    <w:p w14:paraId="133AB812" w14:textId="77777777" w:rsidR="00AD5683" w:rsidRDefault="00AD5683" w:rsidP="004E451D">
      <w:pPr>
        <w:spacing w:line="276" w:lineRule="auto"/>
        <w:rPr>
          <w:color w:val="0070C0"/>
        </w:rPr>
      </w:pPr>
      <w:r>
        <w:rPr>
          <w:color w:val="0070C0"/>
        </w:rPr>
        <w:t>- Vidéo-thoracoscopie :</w:t>
      </w:r>
    </w:p>
    <w:p w14:paraId="4EB44EE0" w14:textId="77777777" w:rsidR="00AD5683" w:rsidRDefault="00AD5683">
      <w:pPr>
        <w:numPr>
          <w:ilvl w:val="0"/>
          <w:numId w:val="6"/>
        </w:numPr>
        <w:spacing w:line="276" w:lineRule="auto"/>
        <w:ind w:left="284" w:hanging="142"/>
        <w:rPr>
          <w:color w:val="0070C0"/>
        </w:rPr>
      </w:pPr>
      <w:r>
        <w:rPr>
          <w:color w:val="0070C0"/>
        </w:rPr>
        <w:t>En cas d’épanchement pleural exsudatif (voir item 202).</w:t>
      </w:r>
    </w:p>
    <w:p w14:paraId="7642B406" w14:textId="77777777" w:rsidR="00AD5683" w:rsidRDefault="00AD5683">
      <w:pPr>
        <w:numPr>
          <w:ilvl w:val="0"/>
          <w:numId w:val="6"/>
        </w:numPr>
        <w:spacing w:line="276" w:lineRule="auto"/>
        <w:ind w:left="284" w:hanging="142"/>
        <w:rPr>
          <w:color w:val="0070C0"/>
        </w:rPr>
      </w:pPr>
      <w:r>
        <w:rPr>
          <w:color w:val="0070C0"/>
        </w:rPr>
        <w:t>Ou abord d’aires ganglionnaires non accessibles en Médiastinoscopie (notamment à gauche).</w:t>
      </w:r>
    </w:p>
    <w:p w14:paraId="78014369" w14:textId="77777777" w:rsidR="00AD5683" w:rsidRDefault="00AD5683">
      <w:pPr>
        <w:numPr>
          <w:ilvl w:val="0"/>
          <w:numId w:val="6"/>
        </w:numPr>
        <w:spacing w:line="276" w:lineRule="auto"/>
        <w:ind w:left="284" w:hanging="142"/>
        <w:rPr>
          <w:color w:val="0070C0"/>
        </w:rPr>
      </w:pPr>
      <w:r>
        <w:rPr>
          <w:color w:val="0070C0"/>
        </w:rPr>
        <w:t>Ou abord d’une lésion périphérique non accessible en ponction-biopsie transthoracique.</w:t>
      </w:r>
    </w:p>
    <w:p w14:paraId="63840F73" w14:textId="0DA84589" w:rsidR="00AD5683" w:rsidRDefault="00AD5683" w:rsidP="004E451D">
      <w:pPr>
        <w:spacing w:line="276" w:lineRule="auto"/>
      </w:pPr>
    </w:p>
    <w:p w14:paraId="40ECD04F" w14:textId="0B806101" w:rsidR="00AD5683" w:rsidRDefault="002B548A" w:rsidP="002B548A">
      <w:pPr>
        <w:pStyle w:val="lgende"/>
      </w:pPr>
      <w:r>
        <w:rPr>
          <w:noProof/>
        </w:rPr>
        <w:lastRenderedPageBreak/>
        <w:drawing>
          <wp:anchor distT="0" distB="0" distL="114300" distR="114300" simplePos="0" relativeHeight="251984896" behindDoc="0" locked="0" layoutInCell="1" allowOverlap="1" wp14:anchorId="17B17972" wp14:editId="4FF37CFE">
            <wp:simplePos x="0" y="0"/>
            <wp:positionH relativeFrom="margin">
              <wp:align>center</wp:align>
            </wp:positionH>
            <wp:positionV relativeFrom="paragraph">
              <wp:posOffset>196313</wp:posOffset>
            </wp:positionV>
            <wp:extent cx="3957955" cy="3390265"/>
            <wp:effectExtent l="0" t="0" r="4445" b="635"/>
            <wp:wrapTopAndBottom/>
            <wp:docPr id="9"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a:xfrm>
                      <a:off x="0" y="0"/>
                      <a:ext cx="3957955" cy="3390265"/>
                    </a:xfrm>
                    <a:prstGeom prst="rect">
                      <a:avLst/>
                    </a:prstGeom>
                    <a:ln/>
                  </pic:spPr>
                </pic:pic>
              </a:graphicData>
            </a:graphic>
          </wp:anchor>
        </w:drawing>
      </w:r>
      <w:r>
        <w:t>F</w:t>
      </w:r>
      <w:r w:rsidR="00AD5683">
        <w:t>igure 14 : Médiastinoscopie axiale.</w:t>
      </w:r>
    </w:p>
    <w:p w14:paraId="580043AF" w14:textId="1FF07575" w:rsidR="00AD5683" w:rsidRDefault="00AD5683" w:rsidP="002B548A">
      <w:pPr>
        <w:spacing w:line="276" w:lineRule="auto"/>
      </w:pPr>
    </w:p>
    <w:p w14:paraId="1D317A60" w14:textId="3ECDF79B" w:rsidR="00AD5683" w:rsidRDefault="00AD5683">
      <w:pPr>
        <w:pStyle w:val="Titre3"/>
        <w:numPr>
          <w:ilvl w:val="1"/>
          <w:numId w:val="19"/>
        </w:numPr>
        <w:ind w:left="851" w:hanging="425"/>
      </w:pPr>
      <w:r>
        <w:t>Autres techniques</w:t>
      </w:r>
    </w:p>
    <w:p w14:paraId="0E307AA3" w14:textId="0395F525" w:rsidR="00AD5683" w:rsidRDefault="00AD5683" w:rsidP="004E451D">
      <w:pPr>
        <w:spacing w:line="276" w:lineRule="auto"/>
        <w:rPr>
          <w:color w:val="0070C0"/>
        </w:rPr>
      </w:pPr>
      <w:r>
        <w:rPr>
          <w:color w:val="0070C0"/>
        </w:rPr>
        <w:t>Dans certains cas, ponction-biopsie (TDM ou échoguidée) ou exérèse d’une lésion à distance :</w:t>
      </w:r>
    </w:p>
    <w:p w14:paraId="74DD76CF" w14:textId="77777777" w:rsidR="00AD5683" w:rsidRDefault="00AD5683" w:rsidP="004E451D">
      <w:pPr>
        <w:spacing w:line="276" w:lineRule="auto"/>
        <w:rPr>
          <w:color w:val="0070C0"/>
        </w:rPr>
      </w:pPr>
      <w:r>
        <w:rPr>
          <w:color w:val="0070C0"/>
        </w:rPr>
        <w:t xml:space="preserve">- Adénopathie </w:t>
      </w:r>
      <w:proofErr w:type="spellStart"/>
      <w:r>
        <w:rPr>
          <w:color w:val="0070C0"/>
        </w:rPr>
        <w:t>sus-claviculaire</w:t>
      </w:r>
      <w:proofErr w:type="spellEnd"/>
      <w:r>
        <w:rPr>
          <w:color w:val="0070C0"/>
        </w:rPr>
        <w:t xml:space="preserve"> et métastase cutanée : lorsqu‘une de ces localisations de la maladie est détectée cliniquement, il est souhaitable que la biopsie diagnostique porte sur elles pour deux raisons : parce que leur biopsie est peu risquée et leur positivité affirme le stade N3 ou M1 respectivement.</w:t>
      </w:r>
    </w:p>
    <w:p w14:paraId="6F23DADB" w14:textId="77777777" w:rsidR="00AD5683" w:rsidRDefault="00AD5683" w:rsidP="004E451D">
      <w:pPr>
        <w:spacing w:line="276" w:lineRule="auto"/>
        <w:rPr>
          <w:color w:val="0070C0"/>
        </w:rPr>
      </w:pPr>
      <w:r>
        <w:rPr>
          <w:color w:val="0070C0"/>
        </w:rPr>
        <w:t>- Métastase hépatique.</w:t>
      </w:r>
    </w:p>
    <w:p w14:paraId="4D9006E8" w14:textId="77777777" w:rsidR="00AD5683" w:rsidRDefault="00AD5683" w:rsidP="004E451D">
      <w:pPr>
        <w:spacing w:line="276" w:lineRule="auto"/>
        <w:rPr>
          <w:color w:val="0070C0"/>
        </w:rPr>
      </w:pPr>
      <w:r>
        <w:rPr>
          <w:color w:val="0070C0"/>
        </w:rPr>
        <w:t>- Lésion ostéolytique.</w:t>
      </w:r>
    </w:p>
    <w:p w14:paraId="2965DC28" w14:textId="77777777" w:rsidR="00AD5683" w:rsidRDefault="00AD5683" w:rsidP="004E451D">
      <w:pPr>
        <w:spacing w:line="276" w:lineRule="auto"/>
        <w:rPr>
          <w:color w:val="0070C0"/>
        </w:rPr>
      </w:pPr>
      <w:r>
        <w:rPr>
          <w:color w:val="0070C0"/>
        </w:rPr>
        <w:t>- Métastase cérébrale.</w:t>
      </w:r>
    </w:p>
    <w:p w14:paraId="43BBB742" w14:textId="77777777" w:rsidR="00AD5683" w:rsidRDefault="00AD5683" w:rsidP="004E451D">
      <w:pPr>
        <w:spacing w:line="276" w:lineRule="auto"/>
      </w:pPr>
    </w:p>
    <w:p w14:paraId="137238D2" w14:textId="6705FFF1" w:rsidR="00AD5683" w:rsidRDefault="00AD5683">
      <w:pPr>
        <w:pStyle w:val="Titre3"/>
        <w:numPr>
          <w:ilvl w:val="1"/>
          <w:numId w:val="19"/>
        </w:numPr>
        <w:ind w:left="851" w:hanging="491"/>
      </w:pPr>
      <w:r>
        <w:t>Choix de la technique diagnostique en fonction de la localisation de la lésion</w:t>
      </w:r>
    </w:p>
    <w:p w14:paraId="1FFA7B9A" w14:textId="77777777" w:rsidR="00AD5683" w:rsidRDefault="00AD5683" w:rsidP="004E451D">
      <w:pPr>
        <w:spacing w:line="276" w:lineRule="auto"/>
      </w:pPr>
      <w:r>
        <w:t>Lésion centrale (1</w:t>
      </w:r>
      <w:r>
        <w:rPr>
          <w:vertAlign w:val="superscript"/>
        </w:rPr>
        <w:t>er</w:t>
      </w:r>
      <w:r>
        <w:t xml:space="preserve"> tiers du thorax autour de la carène) :</w:t>
      </w:r>
    </w:p>
    <w:p w14:paraId="676475F8" w14:textId="77777777" w:rsidR="00AD5683" w:rsidRDefault="00AD5683">
      <w:pPr>
        <w:numPr>
          <w:ilvl w:val="0"/>
          <w:numId w:val="5"/>
        </w:numPr>
        <w:spacing w:line="276" w:lineRule="auto"/>
        <w:ind w:left="284" w:hanging="142"/>
      </w:pPr>
      <w:r>
        <w:t>Habituellement accessible en fibroscopie bronchique.</w:t>
      </w:r>
    </w:p>
    <w:p w14:paraId="140E9FAF" w14:textId="77777777" w:rsidR="00AD5683" w:rsidRDefault="00AD5683" w:rsidP="004E451D">
      <w:pPr>
        <w:spacing w:line="276" w:lineRule="auto"/>
      </w:pPr>
    </w:p>
    <w:p w14:paraId="1010C854" w14:textId="77777777" w:rsidR="00AD5683" w:rsidRDefault="00AD5683" w:rsidP="004E451D">
      <w:pPr>
        <w:spacing w:line="276" w:lineRule="auto"/>
      </w:pPr>
      <w:r>
        <w:t>Lésion périphérique (1/3 périphérique) :</w:t>
      </w:r>
    </w:p>
    <w:p w14:paraId="6EE20A7E" w14:textId="77777777" w:rsidR="00AD5683" w:rsidRDefault="00AD5683">
      <w:pPr>
        <w:numPr>
          <w:ilvl w:val="0"/>
          <w:numId w:val="5"/>
        </w:numPr>
        <w:spacing w:line="276" w:lineRule="auto"/>
        <w:ind w:left="284" w:hanging="142"/>
      </w:pPr>
      <w:r>
        <w:t xml:space="preserve">Habituellement accessible en ponction </w:t>
      </w:r>
      <w:proofErr w:type="spellStart"/>
      <w:r>
        <w:t>trans-pariétale</w:t>
      </w:r>
      <w:proofErr w:type="spellEnd"/>
      <w:r>
        <w:t xml:space="preserve"> à l’aiguille.</w:t>
      </w:r>
    </w:p>
    <w:p w14:paraId="70B964A7" w14:textId="77777777" w:rsidR="00AD5683" w:rsidRDefault="00AD5683">
      <w:pPr>
        <w:numPr>
          <w:ilvl w:val="0"/>
          <w:numId w:val="5"/>
        </w:numPr>
        <w:spacing w:line="276" w:lineRule="auto"/>
        <w:ind w:left="284" w:hanging="142"/>
      </w:pPr>
      <w:r>
        <w:t>À défaut, par vidéo-thoracoscopie exploratrice.</w:t>
      </w:r>
    </w:p>
    <w:p w14:paraId="135755A1" w14:textId="77777777" w:rsidR="00AD5683" w:rsidRDefault="00AD5683" w:rsidP="004E451D">
      <w:pPr>
        <w:spacing w:line="276" w:lineRule="auto"/>
      </w:pPr>
    </w:p>
    <w:p w14:paraId="187CB7D0" w14:textId="77777777" w:rsidR="00AD5683" w:rsidRDefault="00AD5683" w:rsidP="004E451D">
      <w:pPr>
        <w:spacing w:line="276" w:lineRule="auto"/>
      </w:pPr>
      <w:r>
        <w:t>Entre les deux :</w:t>
      </w:r>
    </w:p>
    <w:p w14:paraId="03A4747E" w14:textId="77777777" w:rsidR="00AD5683" w:rsidRDefault="00AD5683">
      <w:pPr>
        <w:numPr>
          <w:ilvl w:val="0"/>
          <w:numId w:val="5"/>
        </w:numPr>
        <w:spacing w:line="276" w:lineRule="auto"/>
        <w:ind w:left="284" w:hanging="142"/>
      </w:pPr>
      <w:r>
        <w:t xml:space="preserve">Accessible en fibroscopie bronchique, en ponction </w:t>
      </w:r>
      <w:proofErr w:type="spellStart"/>
      <w:r>
        <w:t>trans-pariétale</w:t>
      </w:r>
      <w:proofErr w:type="spellEnd"/>
      <w:r>
        <w:t xml:space="preserve"> à l’aiguille ou par vidéo-thoracoscopie.</w:t>
      </w:r>
    </w:p>
    <w:p w14:paraId="5715B5A7" w14:textId="77777777" w:rsidR="00AD5683" w:rsidRDefault="00AD5683" w:rsidP="004E451D">
      <w:pPr>
        <w:spacing w:line="276" w:lineRule="auto"/>
      </w:pPr>
    </w:p>
    <w:p w14:paraId="76E6A420" w14:textId="77777777" w:rsidR="00AD5683" w:rsidRDefault="00AD5683" w:rsidP="004E451D">
      <w:pPr>
        <w:spacing w:line="276" w:lineRule="auto"/>
      </w:pPr>
      <w:r>
        <w:lastRenderedPageBreak/>
        <w:t>Si adénopathies au contact de la trachée :</w:t>
      </w:r>
    </w:p>
    <w:p w14:paraId="09336560" w14:textId="77777777" w:rsidR="00AD5683" w:rsidRDefault="00AD5683">
      <w:pPr>
        <w:numPr>
          <w:ilvl w:val="0"/>
          <w:numId w:val="5"/>
        </w:numPr>
        <w:spacing w:line="276" w:lineRule="auto"/>
        <w:ind w:left="284" w:hanging="142"/>
      </w:pPr>
      <w:r>
        <w:t xml:space="preserve">Abord ganglionnaire à l’aiguille sous écho-endoscopie ou </w:t>
      </w:r>
      <w:proofErr w:type="spellStart"/>
      <w:r>
        <w:t>médiastinoscopie</w:t>
      </w:r>
      <w:proofErr w:type="spellEnd"/>
      <w:r>
        <w:t>.</w:t>
      </w:r>
    </w:p>
    <w:p w14:paraId="0073CA1C" w14:textId="75006E0D" w:rsidR="00AD5683" w:rsidRDefault="00AD5683" w:rsidP="004E451D">
      <w:pPr>
        <w:spacing w:line="276" w:lineRule="auto"/>
        <w:jc w:val="left"/>
        <w:rPr>
          <w:rFonts w:ascii="Arial" w:eastAsia="Arial" w:hAnsi="Arial" w:cs="Arial"/>
          <w:sz w:val="18"/>
          <w:szCs w:val="18"/>
        </w:rPr>
      </w:pPr>
    </w:p>
    <w:p w14:paraId="751D53A2" w14:textId="77777777" w:rsidR="00AD5683" w:rsidRDefault="00AD5683" w:rsidP="002B548A">
      <w:pPr>
        <w:pStyle w:val="lgende"/>
      </w:pPr>
      <w:r>
        <w:t>Figure 15 : Choix de la technique diagnostique en fonction de la localisation de la lésion.</w:t>
      </w:r>
    </w:p>
    <w:p w14:paraId="011E684A" w14:textId="77777777" w:rsidR="00AD5683" w:rsidRDefault="00AD5683" w:rsidP="004E451D">
      <w:pPr>
        <w:pBdr>
          <w:top w:val="nil"/>
          <w:left w:val="nil"/>
          <w:bottom w:val="nil"/>
          <w:right w:val="nil"/>
          <w:between w:val="nil"/>
        </w:pBdr>
        <w:spacing w:line="276" w:lineRule="auto"/>
        <w:rPr>
          <w:rFonts w:ascii="Arial" w:eastAsia="Arial" w:hAnsi="Arial" w:cs="Arial"/>
          <w:sz w:val="18"/>
          <w:szCs w:val="18"/>
        </w:rPr>
      </w:pPr>
      <w:r>
        <w:rPr>
          <w:noProof/>
        </w:rPr>
        <w:drawing>
          <wp:anchor distT="0" distB="0" distL="114300" distR="114300" simplePos="0" relativeHeight="251971584" behindDoc="0" locked="0" layoutInCell="1" hidden="0" allowOverlap="1" wp14:anchorId="3A372070" wp14:editId="6FE43BC8">
            <wp:simplePos x="0" y="0"/>
            <wp:positionH relativeFrom="column">
              <wp:posOffset>480059</wp:posOffset>
            </wp:positionH>
            <wp:positionV relativeFrom="paragraph">
              <wp:posOffset>472</wp:posOffset>
            </wp:positionV>
            <wp:extent cx="5160010" cy="5160010"/>
            <wp:effectExtent l="0" t="0" r="0" b="0"/>
            <wp:wrapTopAndBottom distT="0" distB="0"/>
            <wp:docPr id="26" name="image21.jpg"/>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a:blip r:embed="rId28"/>
                    <a:srcRect/>
                    <a:stretch>
                      <a:fillRect/>
                    </a:stretch>
                  </pic:blipFill>
                  <pic:spPr>
                    <a:xfrm>
                      <a:off x="0" y="0"/>
                      <a:ext cx="5160010" cy="5160010"/>
                    </a:xfrm>
                    <a:prstGeom prst="rect">
                      <a:avLst/>
                    </a:prstGeom>
                    <a:ln/>
                  </pic:spPr>
                </pic:pic>
              </a:graphicData>
            </a:graphic>
          </wp:anchor>
        </w:drawing>
      </w:r>
    </w:p>
    <w:p w14:paraId="06939642" w14:textId="77777777" w:rsidR="00AD5683" w:rsidRDefault="00AD5683" w:rsidP="002B548A">
      <w:pPr>
        <w:pStyle w:val="Titre2"/>
      </w:pPr>
      <w:bookmarkStart w:id="3" w:name="_heading=h.3lgncud7tvon" w:colFirst="0" w:colLast="0"/>
      <w:bookmarkEnd w:id="3"/>
      <w:r>
        <w:t>Recherches complémentaires sur la tumeur</w:t>
      </w:r>
    </w:p>
    <w:p w14:paraId="66F81E5E" w14:textId="3602F627" w:rsidR="00AD5683" w:rsidRDefault="002B548A" w:rsidP="004E451D">
      <w:pPr>
        <w:spacing w:line="276" w:lineRule="auto"/>
        <w:rPr>
          <w:color w:val="0070C0"/>
        </w:rPr>
      </w:pPr>
      <w:r>
        <w:rPr>
          <w:noProof/>
        </w:rPr>
        <w:drawing>
          <wp:anchor distT="0" distB="0" distL="114300" distR="114300" simplePos="0" relativeHeight="251972608" behindDoc="0" locked="0" layoutInCell="1" hidden="0" allowOverlap="1" wp14:anchorId="21D6525B" wp14:editId="31AB7315">
            <wp:simplePos x="0" y="0"/>
            <wp:positionH relativeFrom="column">
              <wp:posOffset>-271194</wp:posOffset>
            </wp:positionH>
            <wp:positionV relativeFrom="paragraph">
              <wp:posOffset>13335</wp:posOffset>
            </wp:positionV>
            <wp:extent cx="153670" cy="137160"/>
            <wp:effectExtent l="0" t="0" r="0" b="0"/>
            <wp:wrapSquare wrapText="bothSides" distT="0" distB="0" distL="114300" distR="114300"/>
            <wp:docPr id="2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rsidR="00AD5683">
        <w:rPr>
          <w:color w:val="0070C0"/>
        </w:rPr>
        <w:t>Du fait de l’émergence de thérapies ciblées (notamment les ITK) et de l’immunothérapie pour la prise en charge des CP, il convient :</w:t>
      </w:r>
    </w:p>
    <w:p w14:paraId="57B1F0EB" w14:textId="77777777" w:rsidR="00AD5683" w:rsidRDefault="00AD5683" w:rsidP="004E451D">
      <w:pPr>
        <w:spacing w:line="276" w:lineRule="auto"/>
        <w:rPr>
          <w:color w:val="0070C0"/>
        </w:rPr>
      </w:pPr>
      <w:r>
        <w:rPr>
          <w:color w:val="0070C0"/>
        </w:rPr>
        <w:t>- De disposer de matériel histologique (tissus) pour le diagnostic.</w:t>
      </w:r>
    </w:p>
    <w:p w14:paraId="6074501F" w14:textId="77777777" w:rsidR="00AD5683" w:rsidRDefault="00AD5683" w:rsidP="004E451D">
      <w:pPr>
        <w:spacing w:line="276" w:lineRule="auto"/>
        <w:rPr>
          <w:color w:val="0070C0"/>
        </w:rPr>
      </w:pPr>
      <w:r>
        <w:rPr>
          <w:color w:val="0070C0"/>
        </w:rPr>
        <w:t>- À défaut, du matériel cytologique riche en cellules tumorales, notamment les liquides des séreuses ou une ponction ganglionnaire en écho-endoscopie, peut être utilisé.</w:t>
      </w:r>
    </w:p>
    <w:p w14:paraId="69328C8D" w14:textId="77777777" w:rsidR="00AD5683" w:rsidRDefault="00AD5683" w:rsidP="004E451D">
      <w:pPr>
        <w:spacing w:line="276" w:lineRule="auto"/>
        <w:rPr>
          <w:color w:val="0070C0"/>
        </w:rPr>
      </w:pPr>
      <w:r>
        <w:rPr>
          <w:color w:val="0070C0"/>
        </w:rPr>
        <w:t xml:space="preserve">- De disposer d’une quantité importante de matériel à la prise en charge initiale, notamment pour la réalisation des différentes techniques de recherches moléculaires. </w:t>
      </w:r>
    </w:p>
    <w:p w14:paraId="5346EE83" w14:textId="77777777" w:rsidR="00AD5683" w:rsidRDefault="00AD5683" w:rsidP="004E451D">
      <w:pPr>
        <w:spacing w:line="276" w:lineRule="auto"/>
        <w:rPr>
          <w:color w:val="0070C0"/>
        </w:rPr>
      </w:pPr>
      <w:r>
        <w:rPr>
          <w:color w:val="0070C0"/>
        </w:rPr>
        <w:t>- Dans les cancers non à petites cellules le bilan minimal en termes de biomarqueurs tumoraux est :</w:t>
      </w:r>
    </w:p>
    <w:p w14:paraId="63390A01" w14:textId="77777777" w:rsidR="00AD5683" w:rsidRDefault="00AD5683">
      <w:pPr>
        <w:numPr>
          <w:ilvl w:val="0"/>
          <w:numId w:val="14"/>
        </w:numPr>
        <w:pBdr>
          <w:top w:val="nil"/>
          <w:left w:val="nil"/>
          <w:bottom w:val="nil"/>
          <w:right w:val="nil"/>
          <w:between w:val="nil"/>
        </w:pBdr>
        <w:spacing w:line="276" w:lineRule="auto"/>
        <w:ind w:left="284" w:hanging="142"/>
        <w:rPr>
          <w:color w:val="0070C0"/>
        </w:rPr>
      </w:pPr>
      <w:r>
        <w:rPr>
          <w:color w:val="0070C0"/>
        </w:rPr>
        <w:t>L’expression de PD-L1.</w:t>
      </w:r>
    </w:p>
    <w:p w14:paraId="1E41B037" w14:textId="77777777" w:rsidR="00AD5683" w:rsidRDefault="00AD5683">
      <w:pPr>
        <w:numPr>
          <w:ilvl w:val="0"/>
          <w:numId w:val="14"/>
        </w:numPr>
        <w:pBdr>
          <w:top w:val="nil"/>
          <w:left w:val="nil"/>
          <w:bottom w:val="nil"/>
          <w:right w:val="nil"/>
          <w:between w:val="nil"/>
        </w:pBdr>
        <w:spacing w:line="276" w:lineRule="auto"/>
        <w:ind w:left="284" w:hanging="142"/>
        <w:rPr>
          <w:color w:val="0070C0"/>
        </w:rPr>
      </w:pPr>
      <w:bookmarkStart w:id="4" w:name="_heading=h.lih7g7dwqkp6" w:colFirst="0" w:colLast="0"/>
      <w:bookmarkEnd w:id="4"/>
      <w:r>
        <w:rPr>
          <w:color w:val="0070C0"/>
        </w:rPr>
        <w:lastRenderedPageBreak/>
        <w:t xml:space="preserve">La recherche, en cas d’histologie non épidermoïde, de mutations EGFR et de réarrangement ALK, ROS1, </w:t>
      </w:r>
      <w:r>
        <w:rPr>
          <w:color w:val="00B050"/>
        </w:rPr>
        <w:t>RET… (liste évoluant régulièrement).</w:t>
      </w:r>
    </w:p>
    <w:p w14:paraId="5911FE61" w14:textId="77777777" w:rsidR="00AD5683" w:rsidRDefault="00AD5683" w:rsidP="004E451D">
      <w:pPr>
        <w:spacing w:line="276" w:lineRule="auto"/>
        <w:rPr>
          <w:color w:val="0070C0"/>
        </w:rPr>
      </w:pPr>
      <w:r>
        <w:rPr>
          <w:color w:val="0070C0"/>
        </w:rPr>
        <w:t>- Les indications de ces analyses évoluent très vite actuellement.</w:t>
      </w:r>
    </w:p>
    <w:p w14:paraId="2258A542" w14:textId="77777777" w:rsidR="00AD5683" w:rsidRDefault="00AD5683" w:rsidP="004E451D">
      <w:pPr>
        <w:spacing w:line="276" w:lineRule="auto"/>
        <w:rPr>
          <w:i/>
          <w:iCs/>
        </w:rPr>
      </w:pPr>
    </w:p>
    <w:p w14:paraId="3DC89C89" w14:textId="77777777" w:rsidR="00AD5683" w:rsidRDefault="00AD5683" w:rsidP="002426CC">
      <w:pPr>
        <w:pStyle w:val="Titre2"/>
      </w:pPr>
      <w:r>
        <w:t>Marqueurs tumoraux sanguins</w:t>
      </w:r>
    </w:p>
    <w:p w14:paraId="5429F927" w14:textId="77777777" w:rsidR="00AD5683" w:rsidRDefault="00AD5683" w:rsidP="004E451D">
      <w:pPr>
        <w:spacing w:line="276" w:lineRule="auto"/>
      </w:pPr>
      <w:r>
        <w:t xml:space="preserve">Le dosage de marqueurs tumoraux sériques n'est pas recommandé (aucune indication). </w:t>
      </w:r>
    </w:p>
    <w:p w14:paraId="11327C36" w14:textId="6837A48A" w:rsidR="00AD5683" w:rsidRDefault="00AD5683" w:rsidP="004E451D">
      <w:pPr>
        <w:spacing w:line="276" w:lineRule="auto"/>
        <w:jc w:val="left"/>
        <w:rPr>
          <w:b/>
          <w:bCs/>
          <w:smallCaps/>
          <w:color w:val="FFFFFF"/>
          <w:sz w:val="24"/>
          <w:szCs w:val="24"/>
        </w:rPr>
      </w:pPr>
    </w:p>
    <w:p w14:paraId="58D3D84A" w14:textId="77777777" w:rsidR="00AD5683" w:rsidRDefault="00AD5683" w:rsidP="002426CC">
      <w:pPr>
        <w:pStyle w:val="titredepartie"/>
      </w:pPr>
      <w:r>
        <w:t>TRAITEMENTS ET PRISE EN CHARGE</w:t>
      </w:r>
    </w:p>
    <w:p w14:paraId="521D8352" w14:textId="608477AD" w:rsidR="00AD5683" w:rsidRDefault="00AD5683">
      <w:pPr>
        <w:pStyle w:val="1titre"/>
        <w:numPr>
          <w:ilvl w:val="0"/>
          <w:numId w:val="20"/>
        </w:numPr>
      </w:pPr>
      <w:r>
        <w:t>Bilan pré-thérapeutique</w:t>
      </w:r>
    </w:p>
    <w:p w14:paraId="5143C4F8" w14:textId="75719AB7" w:rsidR="00AD5683" w:rsidRDefault="002426CC">
      <w:pPr>
        <w:pStyle w:val="Titre3"/>
        <w:numPr>
          <w:ilvl w:val="1"/>
          <w:numId w:val="21"/>
        </w:numPr>
        <w:ind w:left="851" w:hanging="491"/>
      </w:pPr>
      <w:r>
        <w:rPr>
          <w:noProof/>
        </w:rPr>
        <w:drawing>
          <wp:anchor distT="0" distB="0" distL="114300" distR="114300" simplePos="0" relativeHeight="251986944" behindDoc="0" locked="0" layoutInCell="1" hidden="0" allowOverlap="1" wp14:anchorId="627F19A6" wp14:editId="79AD75D1">
            <wp:simplePos x="0" y="0"/>
            <wp:positionH relativeFrom="column">
              <wp:posOffset>-286385</wp:posOffset>
            </wp:positionH>
            <wp:positionV relativeFrom="paragraph">
              <wp:posOffset>301674</wp:posOffset>
            </wp:positionV>
            <wp:extent cx="153670" cy="137160"/>
            <wp:effectExtent l="0" t="0" r="0" b="0"/>
            <wp:wrapSquare wrapText="bothSides" distT="0" distB="0" distL="114300" distR="11430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rsidR="00AD5683">
        <w:t>Trois questions principales sont à poser</w:t>
      </w:r>
    </w:p>
    <w:p w14:paraId="2FE83251" w14:textId="14B16B64" w:rsidR="00AD5683" w:rsidRDefault="00AD5683" w:rsidP="004E451D">
      <w:pPr>
        <w:pBdr>
          <w:top w:val="nil"/>
          <w:left w:val="nil"/>
          <w:bottom w:val="nil"/>
          <w:right w:val="nil"/>
          <w:between w:val="nil"/>
        </w:pBdr>
        <w:spacing w:line="276" w:lineRule="auto"/>
        <w:jc w:val="left"/>
        <w:rPr>
          <w:color w:val="0070C0"/>
        </w:rPr>
      </w:pPr>
      <w:r>
        <w:rPr>
          <w:color w:val="0070C0"/>
        </w:rPr>
        <w:t>S’agit-il d’un cancer à petites cellules ou non à petites cellules ?</w:t>
      </w:r>
    </w:p>
    <w:p w14:paraId="79DF0731" w14:textId="77777777" w:rsidR="00AD5683" w:rsidRDefault="00AD5683" w:rsidP="004E451D">
      <w:pPr>
        <w:spacing w:line="276" w:lineRule="auto"/>
        <w:rPr>
          <w:color w:val="0070C0"/>
        </w:rPr>
      </w:pPr>
      <w:bookmarkStart w:id="5" w:name="_heading=h.g9kmttk71a6w" w:colFirst="0" w:colLast="0"/>
      <w:bookmarkEnd w:id="5"/>
      <w:r>
        <w:rPr>
          <w:color w:val="0070C0"/>
        </w:rPr>
        <w:t>- Si petites cellules : chimiothérapie + radiothérapie en cas de forme localisée ou chimiothérapie + immunothérapie en cas de forme métastatique.</w:t>
      </w:r>
    </w:p>
    <w:p w14:paraId="7C23E4B9" w14:textId="77777777" w:rsidR="00AD5683" w:rsidRDefault="00AD5683" w:rsidP="004E451D">
      <w:pPr>
        <w:pBdr>
          <w:top w:val="nil"/>
          <w:left w:val="nil"/>
          <w:bottom w:val="nil"/>
          <w:right w:val="nil"/>
          <w:between w:val="nil"/>
        </w:pBdr>
        <w:spacing w:line="276" w:lineRule="auto"/>
        <w:jc w:val="left"/>
        <w:rPr>
          <w:color w:val="0070C0"/>
        </w:rPr>
      </w:pPr>
    </w:p>
    <w:p w14:paraId="080A8C37" w14:textId="77777777" w:rsidR="00AD5683" w:rsidRDefault="00AD5683" w:rsidP="004E451D">
      <w:pPr>
        <w:pBdr>
          <w:top w:val="nil"/>
          <w:left w:val="nil"/>
          <w:bottom w:val="nil"/>
          <w:right w:val="nil"/>
          <w:between w:val="nil"/>
        </w:pBdr>
        <w:spacing w:line="276" w:lineRule="auto"/>
        <w:jc w:val="left"/>
        <w:rPr>
          <w:color w:val="0070C0"/>
        </w:rPr>
      </w:pPr>
      <w:r>
        <w:rPr>
          <w:color w:val="0070C0"/>
        </w:rPr>
        <w:t>S’il s’agit d’un non à petites cellules, la tumeur est-elle résécable ?</w:t>
      </w:r>
    </w:p>
    <w:p w14:paraId="17B1C8F7" w14:textId="77777777" w:rsidR="00AD5683" w:rsidRDefault="00AD5683" w:rsidP="004E451D">
      <w:pPr>
        <w:spacing w:line="276" w:lineRule="auto"/>
        <w:rPr>
          <w:color w:val="0070C0"/>
        </w:rPr>
      </w:pPr>
      <w:r>
        <w:rPr>
          <w:color w:val="0070C0"/>
        </w:rPr>
        <w:t xml:space="preserve">- Bilan d’extension loco-régional et à distance permettant de classer en stade localisé, localement avancé ou disséminé. </w:t>
      </w:r>
    </w:p>
    <w:p w14:paraId="1A775AF0" w14:textId="77777777" w:rsidR="00AD5683" w:rsidRDefault="00AD5683" w:rsidP="004E451D">
      <w:pPr>
        <w:pBdr>
          <w:top w:val="nil"/>
          <w:left w:val="nil"/>
          <w:bottom w:val="nil"/>
          <w:right w:val="nil"/>
          <w:between w:val="nil"/>
        </w:pBdr>
        <w:spacing w:line="276" w:lineRule="auto"/>
        <w:jc w:val="left"/>
        <w:rPr>
          <w:color w:val="0070C0"/>
        </w:rPr>
      </w:pPr>
    </w:p>
    <w:p w14:paraId="6FE86D4B" w14:textId="77777777" w:rsidR="00AD5683" w:rsidRDefault="00AD5683" w:rsidP="004E451D">
      <w:pPr>
        <w:pBdr>
          <w:top w:val="nil"/>
          <w:left w:val="nil"/>
          <w:bottom w:val="nil"/>
          <w:right w:val="nil"/>
          <w:between w:val="nil"/>
        </w:pBdr>
        <w:spacing w:line="276" w:lineRule="auto"/>
        <w:jc w:val="left"/>
        <w:rPr>
          <w:color w:val="0070C0"/>
        </w:rPr>
      </w:pPr>
      <w:r>
        <w:rPr>
          <w:color w:val="0070C0"/>
        </w:rPr>
        <w:t>Si le CBNPC est résécable, le patient est-il opérable ?</w:t>
      </w:r>
    </w:p>
    <w:p w14:paraId="42B5DAB8" w14:textId="77777777" w:rsidR="00AD5683" w:rsidRDefault="00AD5683" w:rsidP="004E451D">
      <w:pPr>
        <w:spacing w:line="276" w:lineRule="auto"/>
        <w:rPr>
          <w:color w:val="0070C0"/>
        </w:rPr>
      </w:pPr>
      <w:r>
        <w:rPr>
          <w:color w:val="0070C0"/>
        </w:rPr>
        <w:t xml:space="preserve">- Bilan d’opérabilité.  </w:t>
      </w:r>
    </w:p>
    <w:p w14:paraId="5594A414" w14:textId="77777777" w:rsidR="00AD5683" w:rsidRDefault="00AD5683" w:rsidP="004E451D">
      <w:pPr>
        <w:spacing w:line="276" w:lineRule="auto"/>
      </w:pPr>
    </w:p>
    <w:p w14:paraId="426767EF" w14:textId="4230F0FF" w:rsidR="00AD5683" w:rsidRDefault="00AD5683">
      <w:pPr>
        <w:pStyle w:val="Titre3"/>
        <w:numPr>
          <w:ilvl w:val="1"/>
          <w:numId w:val="21"/>
        </w:numPr>
        <w:ind w:left="851" w:hanging="491"/>
      </w:pPr>
      <w:r>
        <w:t>Bilan d’extension</w:t>
      </w:r>
    </w:p>
    <w:p w14:paraId="140B1F68" w14:textId="77777777" w:rsidR="00AD5683" w:rsidRDefault="00AD5683" w:rsidP="004E451D">
      <w:pPr>
        <w:spacing w:line="276" w:lineRule="auto"/>
        <w:rPr>
          <w:b/>
          <w:bCs/>
          <w:color w:val="0070C0"/>
        </w:rPr>
      </w:pPr>
      <w:r>
        <w:rPr>
          <w:b/>
          <w:bCs/>
          <w:color w:val="0070C0"/>
        </w:rPr>
        <w:t xml:space="preserve">L’objectif du bilan d’extension est de définir le stade </w:t>
      </w:r>
      <w:proofErr w:type="spellStart"/>
      <w:r>
        <w:rPr>
          <w:b/>
          <w:bCs/>
          <w:color w:val="0070C0"/>
        </w:rPr>
        <w:t>cTNM</w:t>
      </w:r>
      <w:proofErr w:type="spellEnd"/>
      <w:r>
        <w:rPr>
          <w:b/>
          <w:bCs/>
          <w:color w:val="0070C0"/>
        </w:rPr>
        <w:t>.</w:t>
      </w:r>
    </w:p>
    <w:p w14:paraId="09C09B9F" w14:textId="77777777" w:rsidR="00AD5683" w:rsidRDefault="00AD5683" w:rsidP="004E451D">
      <w:pPr>
        <w:spacing w:line="276" w:lineRule="auto"/>
        <w:rPr>
          <w:color w:val="0070C0"/>
        </w:rPr>
      </w:pPr>
      <w:r>
        <w:rPr>
          <w:color w:val="0070C0"/>
        </w:rPr>
        <w:t>- Évalue l’extension de la tumeur aux organes de voisinage, aux structures locorégionales ainsi que l’existence d’éventuelles métastases à distance.</w:t>
      </w:r>
    </w:p>
    <w:p w14:paraId="3D1ED723" w14:textId="77777777" w:rsidR="00AD5683" w:rsidRDefault="00AD5683" w:rsidP="004E451D">
      <w:pPr>
        <w:spacing w:line="276" w:lineRule="auto"/>
        <w:rPr>
          <w:color w:val="0070C0"/>
        </w:rPr>
      </w:pPr>
      <w:r>
        <w:rPr>
          <w:color w:val="0070C0"/>
        </w:rPr>
        <w:t xml:space="preserve">- Résume </w:t>
      </w:r>
      <w:proofErr w:type="gramStart"/>
      <w:r>
        <w:rPr>
          <w:color w:val="0070C0"/>
        </w:rPr>
        <w:t>toutes les données résultant</w:t>
      </w:r>
      <w:proofErr w:type="gramEnd"/>
      <w:r>
        <w:rPr>
          <w:color w:val="0070C0"/>
        </w:rPr>
        <w:t> :</w:t>
      </w:r>
    </w:p>
    <w:p w14:paraId="63303247" w14:textId="77777777" w:rsidR="00AD5683" w:rsidRDefault="00AD5683">
      <w:pPr>
        <w:numPr>
          <w:ilvl w:val="1"/>
          <w:numId w:val="15"/>
        </w:numPr>
        <w:pBdr>
          <w:top w:val="nil"/>
          <w:left w:val="nil"/>
          <w:bottom w:val="nil"/>
          <w:right w:val="nil"/>
          <w:between w:val="nil"/>
        </w:pBdr>
        <w:spacing w:line="276" w:lineRule="auto"/>
        <w:ind w:left="284" w:hanging="142"/>
        <w:rPr>
          <w:color w:val="0070C0"/>
        </w:rPr>
      </w:pPr>
      <w:r>
        <w:rPr>
          <w:color w:val="0070C0"/>
        </w:rPr>
        <w:t>De l’examen clinique : systématique.</w:t>
      </w:r>
    </w:p>
    <w:p w14:paraId="4B05C275" w14:textId="77777777" w:rsidR="00AD5683" w:rsidRDefault="00AD5683">
      <w:pPr>
        <w:numPr>
          <w:ilvl w:val="1"/>
          <w:numId w:val="15"/>
        </w:numPr>
        <w:pBdr>
          <w:top w:val="nil"/>
          <w:left w:val="nil"/>
          <w:bottom w:val="nil"/>
          <w:right w:val="nil"/>
          <w:between w:val="nil"/>
        </w:pBdr>
        <w:spacing w:line="276" w:lineRule="auto"/>
        <w:ind w:left="284" w:hanging="142"/>
        <w:rPr>
          <w:color w:val="0070C0"/>
        </w:rPr>
      </w:pPr>
      <w:r>
        <w:rPr>
          <w:color w:val="0070C0"/>
        </w:rPr>
        <w:t>De la TDM thoraco-abdomino-pelvienne injectée (injection systématique sauf CI).</w:t>
      </w:r>
    </w:p>
    <w:p w14:paraId="3701D53A" w14:textId="77777777" w:rsidR="00AD5683" w:rsidRDefault="00AD5683">
      <w:pPr>
        <w:numPr>
          <w:ilvl w:val="1"/>
          <w:numId w:val="15"/>
        </w:numPr>
        <w:pBdr>
          <w:top w:val="nil"/>
          <w:left w:val="nil"/>
          <w:bottom w:val="nil"/>
          <w:right w:val="nil"/>
          <w:between w:val="nil"/>
        </w:pBdr>
        <w:spacing w:line="276" w:lineRule="auto"/>
        <w:ind w:left="284" w:hanging="142"/>
        <w:rPr>
          <w:color w:val="0070C0"/>
        </w:rPr>
      </w:pPr>
      <w:r>
        <w:rPr>
          <w:color w:val="0070C0"/>
        </w:rPr>
        <w:t>De l’imagerie cérébrale (TDM injectée ou IRM injectée) : systématique.</w:t>
      </w:r>
    </w:p>
    <w:p w14:paraId="5C5DD9ED" w14:textId="77777777" w:rsidR="00AD5683" w:rsidRDefault="00AD5683">
      <w:pPr>
        <w:numPr>
          <w:ilvl w:val="1"/>
          <w:numId w:val="15"/>
        </w:numPr>
        <w:pBdr>
          <w:top w:val="nil"/>
          <w:left w:val="nil"/>
          <w:bottom w:val="nil"/>
          <w:right w:val="nil"/>
          <w:between w:val="nil"/>
        </w:pBdr>
        <w:spacing w:line="276" w:lineRule="auto"/>
        <w:ind w:left="284" w:hanging="142"/>
        <w:rPr>
          <w:color w:val="0070C0"/>
        </w:rPr>
      </w:pPr>
      <w:r>
        <w:rPr>
          <w:color w:val="0070C0"/>
        </w:rPr>
        <w:t>De la TEP TDM au 18 FDG : réalisée en cas de maladie a priori localisée sur les données TDM (donc pas réalisée en première intention).</w:t>
      </w:r>
    </w:p>
    <w:p w14:paraId="177E3A5B" w14:textId="77777777" w:rsidR="00AD5683" w:rsidRDefault="00AD5683">
      <w:pPr>
        <w:numPr>
          <w:ilvl w:val="1"/>
          <w:numId w:val="15"/>
        </w:numPr>
        <w:pBdr>
          <w:top w:val="nil"/>
          <w:left w:val="nil"/>
          <w:bottom w:val="nil"/>
          <w:right w:val="nil"/>
          <w:between w:val="nil"/>
        </w:pBdr>
        <w:spacing w:line="276" w:lineRule="auto"/>
        <w:ind w:left="284" w:hanging="142"/>
        <w:rPr>
          <w:color w:val="0070C0"/>
        </w:rPr>
      </w:pPr>
      <w:r>
        <w:rPr>
          <w:color w:val="0070C0"/>
        </w:rPr>
        <w:t>De la bronchoscopie et des ponctions cytologiques éventuelles (plèvre) lorsqu’elles ont été réalisées.</w:t>
      </w:r>
    </w:p>
    <w:p w14:paraId="6091860E" w14:textId="77777777" w:rsidR="00AD5683" w:rsidRDefault="00AD5683" w:rsidP="004E451D">
      <w:pPr>
        <w:spacing w:line="276" w:lineRule="auto"/>
      </w:pPr>
    </w:p>
    <w:p w14:paraId="49D0AE7D" w14:textId="77777777" w:rsidR="00AD5683" w:rsidRDefault="00AD5683" w:rsidP="004E451D">
      <w:pPr>
        <w:spacing w:line="276" w:lineRule="auto"/>
        <w:rPr>
          <w:color w:val="0070C0"/>
        </w:rPr>
      </w:pPr>
      <w:r>
        <w:rPr>
          <w:color w:val="0070C0"/>
        </w:rPr>
        <w:t>L’évaluation de l’extension N (ganglionnaire) s’effectue par la TDM, complétée par la TEP-TDM au 18FDG. S’il est nécessaire d’obtenir la preuve anatomopathologique de l’extension ganglionnaire (</w:t>
      </w:r>
      <w:proofErr w:type="spellStart"/>
      <w:r>
        <w:rPr>
          <w:color w:val="0070C0"/>
        </w:rPr>
        <w:t>staging</w:t>
      </w:r>
      <w:proofErr w:type="spellEnd"/>
      <w:r>
        <w:rPr>
          <w:color w:val="0070C0"/>
        </w:rPr>
        <w:t>), l’écho-endoscopie est l’examen de 1</w:t>
      </w:r>
      <w:r>
        <w:rPr>
          <w:color w:val="0070C0"/>
          <w:vertAlign w:val="superscript"/>
        </w:rPr>
        <w:t>re</w:t>
      </w:r>
      <w:r>
        <w:rPr>
          <w:color w:val="0070C0"/>
        </w:rPr>
        <w:t xml:space="preserve"> intention.</w:t>
      </w:r>
    </w:p>
    <w:p w14:paraId="65C2BE5C" w14:textId="77777777" w:rsidR="00AD5683" w:rsidRDefault="00AD5683" w:rsidP="004E451D">
      <w:pPr>
        <w:spacing w:line="276" w:lineRule="auto"/>
        <w:rPr>
          <w:color w:val="0070C0"/>
        </w:rPr>
      </w:pPr>
    </w:p>
    <w:p w14:paraId="7B0DBE2A" w14:textId="77777777" w:rsidR="00AD5683" w:rsidRDefault="00AD5683" w:rsidP="004E451D">
      <w:pPr>
        <w:spacing w:line="276" w:lineRule="auto"/>
        <w:rPr>
          <w:color w:val="0070C0"/>
        </w:rPr>
      </w:pPr>
      <w:r>
        <w:rPr>
          <w:color w:val="0070C0"/>
        </w:rPr>
        <w:t xml:space="preserve">L’exhaustivité de l’évaluation de l’extension M (métastases) est déterminante dans le cadre de tumeurs potentiellement accessibles à un traitement local à visée curative (chirurgie ou radiothérapie thoracique). </w:t>
      </w:r>
    </w:p>
    <w:p w14:paraId="59453CEE" w14:textId="77777777" w:rsidR="00AD5683" w:rsidRDefault="00AD5683" w:rsidP="004E451D">
      <w:pPr>
        <w:spacing w:line="276" w:lineRule="auto"/>
        <w:rPr>
          <w:color w:val="0070C0"/>
        </w:rPr>
      </w:pPr>
    </w:p>
    <w:p w14:paraId="503F510C" w14:textId="77777777" w:rsidR="00AD5683" w:rsidRPr="002426CC" w:rsidRDefault="00AD5683" w:rsidP="002426CC">
      <w:pPr>
        <w:pStyle w:val="lgende"/>
        <w:jc w:val="center"/>
        <w:rPr>
          <w:color w:val="0070C0"/>
        </w:rPr>
      </w:pPr>
      <w:r w:rsidRPr="002426CC">
        <w:rPr>
          <w:color w:val="0070C0"/>
        </w:rPr>
        <w:t>Figure 16 : Mise en évidence d’une métastase cérébrale unique fronto-temporale gauche.</w:t>
      </w:r>
    </w:p>
    <w:p w14:paraId="28152A5A" w14:textId="77777777" w:rsidR="00AD5683" w:rsidRPr="002426CC" w:rsidRDefault="00AD5683" w:rsidP="002426CC">
      <w:pPr>
        <w:pStyle w:val="lgende"/>
        <w:jc w:val="center"/>
        <w:rPr>
          <w:i/>
          <w:iCs/>
          <w:color w:val="0070C0"/>
        </w:rPr>
      </w:pPr>
      <w:r w:rsidRPr="002426CC">
        <w:rPr>
          <w:i/>
          <w:iCs/>
          <w:noProof/>
          <w:color w:val="0070C0"/>
        </w:rPr>
        <w:drawing>
          <wp:inline distT="0" distB="0" distL="0" distR="0" wp14:anchorId="1F572A68" wp14:editId="6E02A987">
            <wp:extent cx="1987550" cy="2552065"/>
            <wp:effectExtent l="0" t="0" r="0" b="0"/>
            <wp:docPr id="25" name="image12.jpg" descr="figure 19"/>
            <wp:cNvGraphicFramePr/>
            <a:graphic xmlns:a="http://schemas.openxmlformats.org/drawingml/2006/main">
              <a:graphicData uri="http://schemas.openxmlformats.org/drawingml/2006/picture">
                <pic:pic xmlns:pic="http://schemas.openxmlformats.org/drawingml/2006/picture">
                  <pic:nvPicPr>
                    <pic:cNvPr id="0" name="image12.jpg" descr="figure 19"/>
                    <pic:cNvPicPr preferRelativeResize="0"/>
                  </pic:nvPicPr>
                  <pic:blipFill>
                    <a:blip r:embed="rId29"/>
                    <a:srcRect/>
                    <a:stretch>
                      <a:fillRect/>
                    </a:stretch>
                  </pic:blipFill>
                  <pic:spPr>
                    <a:xfrm>
                      <a:off x="0" y="0"/>
                      <a:ext cx="1987550" cy="2552065"/>
                    </a:xfrm>
                    <a:prstGeom prst="rect">
                      <a:avLst/>
                    </a:prstGeom>
                    <a:ln/>
                  </pic:spPr>
                </pic:pic>
              </a:graphicData>
            </a:graphic>
          </wp:inline>
        </w:drawing>
      </w:r>
    </w:p>
    <w:p w14:paraId="4F06953D" w14:textId="77777777" w:rsidR="00AD5683" w:rsidRDefault="00AD5683" w:rsidP="004E451D">
      <w:pPr>
        <w:spacing w:line="276" w:lineRule="auto"/>
        <w:rPr>
          <w:color w:val="0070C0"/>
        </w:rPr>
      </w:pPr>
    </w:p>
    <w:p w14:paraId="4A981722" w14:textId="77777777" w:rsidR="00AD5683" w:rsidRDefault="00AD5683" w:rsidP="004E451D">
      <w:pPr>
        <w:spacing w:line="276" w:lineRule="auto"/>
        <w:rPr>
          <w:color w:val="0070C0"/>
        </w:rPr>
      </w:pPr>
      <w:r>
        <w:rPr>
          <w:color w:val="0070C0"/>
        </w:rPr>
        <w:t xml:space="preserve">Au terme de ce bilan, on peut établir la stadification </w:t>
      </w:r>
      <w:r>
        <w:rPr>
          <w:b/>
          <w:bCs/>
          <w:color w:val="0070C0"/>
        </w:rPr>
        <w:t xml:space="preserve">TNM </w:t>
      </w:r>
      <w:r>
        <w:rPr>
          <w:color w:val="0070C0"/>
        </w:rPr>
        <w:t>de la tumeur :</w:t>
      </w:r>
    </w:p>
    <w:p w14:paraId="47BC4240" w14:textId="77777777" w:rsidR="00AD5683" w:rsidRDefault="00AD5683" w:rsidP="004E451D">
      <w:pPr>
        <w:spacing w:line="276" w:lineRule="auto"/>
        <w:rPr>
          <w:color w:val="0070C0"/>
        </w:rPr>
      </w:pPr>
      <w:r>
        <w:rPr>
          <w:color w:val="0070C0"/>
        </w:rPr>
        <w:t>- Le T (tumeur) représente l’extension loco-régionale de la tumeur.</w:t>
      </w:r>
    </w:p>
    <w:p w14:paraId="1C46755B" w14:textId="77777777" w:rsidR="00AD5683" w:rsidRDefault="00AD5683" w:rsidP="004E451D">
      <w:pPr>
        <w:spacing w:line="276" w:lineRule="auto"/>
        <w:rPr>
          <w:color w:val="0070C0"/>
        </w:rPr>
      </w:pPr>
      <w:r>
        <w:rPr>
          <w:color w:val="0070C0"/>
        </w:rPr>
        <w:t>- Le N (</w:t>
      </w:r>
      <w:proofErr w:type="spellStart"/>
      <w:r>
        <w:rPr>
          <w:color w:val="0070C0"/>
        </w:rPr>
        <w:t>node</w:t>
      </w:r>
      <w:proofErr w:type="spellEnd"/>
      <w:r>
        <w:rPr>
          <w:color w:val="0070C0"/>
        </w:rPr>
        <w:t xml:space="preserve"> = ganglion en anglais) représente l’extension ganglionnaire de la tumeur.</w:t>
      </w:r>
    </w:p>
    <w:p w14:paraId="5610F14F" w14:textId="77777777" w:rsidR="00AD5683" w:rsidRDefault="00AD5683" w:rsidP="004E451D">
      <w:pPr>
        <w:spacing w:line="276" w:lineRule="auto"/>
        <w:rPr>
          <w:color w:val="0070C0"/>
        </w:rPr>
      </w:pPr>
      <w:r>
        <w:rPr>
          <w:color w:val="0070C0"/>
        </w:rPr>
        <w:t>- Le M (métastase) représente l’extension à distance de la tumeur.</w:t>
      </w:r>
    </w:p>
    <w:p w14:paraId="630647F4" w14:textId="77777777" w:rsidR="00AD5683" w:rsidRDefault="00AD5683" w:rsidP="004E451D">
      <w:pPr>
        <w:spacing w:line="276" w:lineRule="auto"/>
        <w:rPr>
          <w:i/>
          <w:iCs/>
        </w:rPr>
      </w:pPr>
    </w:p>
    <w:p w14:paraId="030336D5" w14:textId="77777777" w:rsidR="00AD5683" w:rsidRDefault="00AD5683" w:rsidP="004E451D">
      <w:pPr>
        <w:spacing w:line="276" w:lineRule="auto"/>
        <w:rPr>
          <w:color w:val="0070C0"/>
        </w:rPr>
      </w:pPr>
      <w:r>
        <w:rPr>
          <w:color w:val="0070C0"/>
        </w:rPr>
        <w:t>Comme tout bilan d’extension de tumeur, on distingue :</w:t>
      </w:r>
    </w:p>
    <w:p w14:paraId="2D5B3F07" w14:textId="77777777" w:rsidR="00AD5683" w:rsidRDefault="00AD5683" w:rsidP="004E451D">
      <w:pPr>
        <w:spacing w:line="276" w:lineRule="auto"/>
        <w:rPr>
          <w:color w:val="0070C0"/>
        </w:rPr>
      </w:pPr>
      <w:r>
        <w:rPr>
          <w:color w:val="0070C0"/>
        </w:rPr>
        <w:t xml:space="preserve">- Le </w:t>
      </w:r>
      <w:proofErr w:type="spellStart"/>
      <w:r>
        <w:rPr>
          <w:color w:val="0070C0"/>
        </w:rPr>
        <w:t>cTNM</w:t>
      </w:r>
      <w:proofErr w:type="spellEnd"/>
      <w:r>
        <w:rPr>
          <w:color w:val="0070C0"/>
        </w:rPr>
        <w:t xml:space="preserve"> = extension « clinique » (basée sur les examens cliniques et paracliniques) de la tumeur (« c » signifie </w:t>
      </w:r>
      <w:proofErr w:type="spellStart"/>
      <w:r>
        <w:rPr>
          <w:color w:val="0070C0"/>
        </w:rPr>
        <w:t>clinical</w:t>
      </w:r>
      <w:proofErr w:type="spellEnd"/>
      <w:r>
        <w:rPr>
          <w:color w:val="0070C0"/>
        </w:rPr>
        <w:t>).</w:t>
      </w:r>
    </w:p>
    <w:p w14:paraId="208DCB7C" w14:textId="77777777" w:rsidR="00AD5683" w:rsidRDefault="00AD5683" w:rsidP="004E451D">
      <w:pPr>
        <w:spacing w:line="276" w:lineRule="auto"/>
        <w:rPr>
          <w:color w:val="0070C0"/>
        </w:rPr>
      </w:pPr>
      <w:r>
        <w:rPr>
          <w:color w:val="0070C0"/>
        </w:rPr>
        <w:t xml:space="preserve">- Du </w:t>
      </w:r>
      <w:proofErr w:type="spellStart"/>
      <w:r>
        <w:rPr>
          <w:color w:val="0070C0"/>
        </w:rPr>
        <w:t>pTNM</w:t>
      </w:r>
      <w:proofErr w:type="spellEnd"/>
      <w:r>
        <w:rPr>
          <w:color w:val="0070C0"/>
        </w:rPr>
        <w:t xml:space="preserve"> = extension anatomopathologique de la tumeur, en post-opératoire quand le T et surtout le N auront été définitivement expertisés par l’analyse anatomopathologique </w:t>
      </w:r>
      <w:proofErr w:type="gramStart"/>
      <w:r>
        <w:rPr>
          <w:color w:val="0070C0"/>
        </w:rPr>
        <w:t>( «</w:t>
      </w:r>
      <w:proofErr w:type="gramEnd"/>
      <w:r>
        <w:rPr>
          <w:color w:val="0070C0"/>
        </w:rPr>
        <w:t xml:space="preserve"> p » signifie </w:t>
      </w:r>
      <w:proofErr w:type="spellStart"/>
      <w:r>
        <w:rPr>
          <w:color w:val="0070C0"/>
        </w:rPr>
        <w:t>pathology</w:t>
      </w:r>
      <w:proofErr w:type="spellEnd"/>
      <w:r>
        <w:rPr>
          <w:color w:val="0070C0"/>
        </w:rPr>
        <w:t>).</w:t>
      </w:r>
    </w:p>
    <w:p w14:paraId="7AC419A7" w14:textId="77777777" w:rsidR="00AD5683" w:rsidRDefault="00AD5683" w:rsidP="004E451D">
      <w:pPr>
        <w:spacing w:line="276" w:lineRule="auto"/>
        <w:rPr>
          <w:i/>
          <w:iCs/>
        </w:rPr>
      </w:pPr>
    </w:p>
    <w:p w14:paraId="5019120E" w14:textId="77777777" w:rsidR="00AD5683" w:rsidRDefault="00AD5683" w:rsidP="004E451D">
      <w:pPr>
        <w:spacing w:line="276" w:lineRule="auto"/>
        <w:rPr>
          <w:b/>
          <w:bCs/>
        </w:rPr>
      </w:pPr>
      <w:r>
        <w:rPr>
          <w:b/>
          <w:bCs/>
          <w:u w:val="single"/>
        </w:rPr>
        <w:t>Pour la pratique</w:t>
      </w:r>
      <w:r>
        <w:rPr>
          <w:b/>
          <w:bCs/>
        </w:rPr>
        <w:t xml:space="preserve"> ou retiendra qu’il existe trois grands stades pour le CP non à petites cellules : </w:t>
      </w:r>
    </w:p>
    <w:p w14:paraId="6CD67C9F" w14:textId="77777777" w:rsidR="00AD5683" w:rsidRDefault="00AD5683" w:rsidP="004E451D">
      <w:pPr>
        <w:spacing w:line="276" w:lineRule="auto"/>
      </w:pPr>
      <w:r>
        <w:t>- Localisé (stades I et II).</w:t>
      </w:r>
    </w:p>
    <w:p w14:paraId="7B77E249" w14:textId="77777777" w:rsidR="00AD5683" w:rsidRDefault="00AD5683" w:rsidP="004E451D">
      <w:pPr>
        <w:spacing w:line="276" w:lineRule="auto"/>
      </w:pPr>
      <w:r>
        <w:t>- Localement avancé (stade III).</w:t>
      </w:r>
    </w:p>
    <w:p w14:paraId="4130F48B" w14:textId="77777777" w:rsidR="00AD5683" w:rsidRDefault="00AD5683" w:rsidP="004E451D">
      <w:pPr>
        <w:spacing w:line="276" w:lineRule="auto"/>
      </w:pPr>
      <w:r>
        <w:t xml:space="preserve">- Disséminé (stade IV) </w:t>
      </w:r>
    </w:p>
    <w:p w14:paraId="0E22533D" w14:textId="77777777" w:rsidR="00AD5683" w:rsidRDefault="00AD5683" w:rsidP="004E451D">
      <w:pPr>
        <w:spacing w:line="276" w:lineRule="auto"/>
      </w:pPr>
    </w:p>
    <w:p w14:paraId="55DFFD5C" w14:textId="098AE813" w:rsidR="00AD5683" w:rsidRDefault="00AD5683">
      <w:pPr>
        <w:pStyle w:val="Titre3"/>
        <w:numPr>
          <w:ilvl w:val="1"/>
          <w:numId w:val="21"/>
        </w:numPr>
        <w:ind w:left="851" w:hanging="491"/>
      </w:pPr>
      <w:r>
        <w:t>Évaluation de l'état général</w:t>
      </w:r>
    </w:p>
    <w:p w14:paraId="0D07A717" w14:textId="77777777" w:rsidR="00AD5683" w:rsidRDefault="00AD5683" w:rsidP="004E451D">
      <w:pPr>
        <w:spacing w:line="276" w:lineRule="auto"/>
      </w:pPr>
      <w:r>
        <w:t>L’évaluation de l’état général est fondamentale car cela conditionne la décision thérapeutique. C’est un facteur pronostique majeur.</w:t>
      </w:r>
    </w:p>
    <w:p w14:paraId="79A1C9B6" w14:textId="77777777" w:rsidR="00AD5683" w:rsidRDefault="00AD5683" w:rsidP="004E451D">
      <w:pPr>
        <w:spacing w:line="276" w:lineRule="auto"/>
      </w:pPr>
      <w:r>
        <w:t xml:space="preserve">Il est évalué par plusieurs échelles dont l’indice de performance (Performance </w:t>
      </w:r>
      <w:proofErr w:type="spellStart"/>
      <w:r>
        <w:t>Status</w:t>
      </w:r>
      <w:proofErr w:type="spellEnd"/>
      <w:r>
        <w:t xml:space="preserve"> de l’OMS ou ECOG) avec une échelle de 0 à 5 (tableau 3). </w:t>
      </w:r>
    </w:p>
    <w:p w14:paraId="4EC43956" w14:textId="77777777" w:rsidR="00AD5683" w:rsidRDefault="00AD5683" w:rsidP="004E451D">
      <w:pPr>
        <w:spacing w:line="276" w:lineRule="auto"/>
      </w:pPr>
    </w:p>
    <w:p w14:paraId="58D87993" w14:textId="77777777" w:rsidR="00AD5683" w:rsidRDefault="00AD5683" w:rsidP="002426CC">
      <w:pPr>
        <w:pStyle w:val="lgende"/>
      </w:pPr>
      <w:r>
        <w:t xml:space="preserve">Tableau 3 : Performance </w:t>
      </w:r>
      <w:proofErr w:type="spellStart"/>
      <w:r>
        <w:t>Status</w:t>
      </w:r>
      <w:proofErr w:type="spellEnd"/>
      <w:r>
        <w:t xml:space="preserve"> (OMS)</w:t>
      </w:r>
    </w:p>
    <w:tbl>
      <w:tblPr>
        <w:tblW w:w="8926" w:type="dxa"/>
        <w:tblBorders>
          <w:top w:val="single" w:sz="2" w:space="0" w:color="747474" w:themeColor="background2" w:themeShade="80"/>
          <w:left w:val="single" w:sz="2" w:space="0" w:color="747474" w:themeColor="background2" w:themeShade="80"/>
          <w:bottom w:val="single" w:sz="2" w:space="0" w:color="747474" w:themeColor="background2" w:themeShade="80"/>
          <w:right w:val="single" w:sz="2" w:space="0" w:color="747474" w:themeColor="background2" w:themeShade="80"/>
          <w:insideH w:val="single" w:sz="2" w:space="0" w:color="747474" w:themeColor="background2" w:themeShade="80"/>
          <w:insideV w:val="single" w:sz="2" w:space="0" w:color="747474" w:themeColor="background2" w:themeShade="80"/>
        </w:tblBorders>
        <w:tblLayout w:type="fixed"/>
        <w:tblLook w:val="0400" w:firstRow="0" w:lastRow="0" w:firstColumn="0" w:lastColumn="0" w:noHBand="0" w:noVBand="1"/>
      </w:tblPr>
      <w:tblGrid>
        <w:gridCol w:w="8926"/>
      </w:tblGrid>
      <w:tr w:rsidR="00AD5683" w:rsidRPr="002426CC" w14:paraId="16CBFA55" w14:textId="77777777" w:rsidTr="002426CC">
        <w:tc>
          <w:tcPr>
            <w:tcW w:w="8926" w:type="dxa"/>
          </w:tcPr>
          <w:p w14:paraId="03BCD45F" w14:textId="77777777" w:rsidR="00AD5683" w:rsidRPr="002426CC" w:rsidRDefault="00AD5683" w:rsidP="004E451D">
            <w:pPr>
              <w:spacing w:line="276" w:lineRule="auto"/>
              <w:ind w:left="737" w:hanging="737"/>
              <w:rPr>
                <w:rFonts w:ascii="Calibri" w:hAnsi="Calibri" w:cs="Calibri"/>
              </w:rPr>
            </w:pPr>
            <w:r w:rsidRPr="002426CC">
              <w:rPr>
                <w:rFonts w:ascii="Calibri" w:hAnsi="Calibri" w:cs="Calibri"/>
              </w:rPr>
              <w:t>0</w:t>
            </w:r>
            <w:r w:rsidRPr="002426CC">
              <w:rPr>
                <w:rFonts w:ascii="Calibri" w:hAnsi="Calibri" w:cs="Calibri"/>
              </w:rPr>
              <w:tab/>
              <w:t>Personne normale – activité physique intacte – efforts possibles sans limitation.</w:t>
            </w:r>
          </w:p>
          <w:p w14:paraId="7E2BFD6D" w14:textId="77777777" w:rsidR="00AD5683" w:rsidRPr="002426CC" w:rsidRDefault="00AD5683" w:rsidP="004E451D">
            <w:pPr>
              <w:spacing w:line="276" w:lineRule="auto"/>
              <w:ind w:left="737" w:hanging="737"/>
              <w:rPr>
                <w:rFonts w:ascii="Calibri" w:hAnsi="Calibri" w:cs="Calibri"/>
              </w:rPr>
            </w:pPr>
            <w:r w:rsidRPr="002426CC">
              <w:rPr>
                <w:rFonts w:ascii="Calibri" w:hAnsi="Calibri" w:cs="Calibri"/>
              </w:rPr>
              <w:t>1</w:t>
            </w:r>
            <w:r w:rsidRPr="002426CC">
              <w:rPr>
                <w:rFonts w:ascii="Calibri" w:hAnsi="Calibri" w:cs="Calibri"/>
              </w:rPr>
              <w:tab/>
              <w:t>Réduction des efforts – autonomie complète.</w:t>
            </w:r>
          </w:p>
          <w:p w14:paraId="78A63249" w14:textId="77777777" w:rsidR="00AD5683" w:rsidRPr="002426CC" w:rsidRDefault="00AD5683" w:rsidP="004E451D">
            <w:pPr>
              <w:spacing w:line="276" w:lineRule="auto"/>
              <w:ind w:left="737" w:hanging="737"/>
              <w:rPr>
                <w:rFonts w:ascii="Calibri" w:hAnsi="Calibri" w:cs="Calibri"/>
              </w:rPr>
            </w:pPr>
            <w:r w:rsidRPr="002426CC">
              <w:rPr>
                <w:rFonts w:ascii="Calibri" w:hAnsi="Calibri" w:cs="Calibri"/>
              </w:rPr>
              <w:lastRenderedPageBreak/>
              <w:t>2</w:t>
            </w:r>
            <w:r w:rsidRPr="002426CC">
              <w:rPr>
                <w:rFonts w:ascii="Calibri" w:hAnsi="Calibri" w:cs="Calibri"/>
              </w:rPr>
              <w:tab/>
              <w:t>Autonome – se fatigue facilement – nécessité de se reposer (lit ou fauteuil) moins de la moitié des heures de veille.</w:t>
            </w:r>
          </w:p>
          <w:p w14:paraId="1AE405BF" w14:textId="77777777" w:rsidR="00AD5683" w:rsidRPr="002426CC" w:rsidRDefault="00AD5683" w:rsidP="004E451D">
            <w:pPr>
              <w:spacing w:line="276" w:lineRule="auto"/>
              <w:ind w:left="737" w:hanging="737"/>
              <w:rPr>
                <w:rFonts w:ascii="Calibri" w:hAnsi="Calibri" w:cs="Calibri"/>
              </w:rPr>
            </w:pPr>
            <w:r w:rsidRPr="002426CC">
              <w:rPr>
                <w:rFonts w:ascii="Calibri" w:hAnsi="Calibri" w:cs="Calibri"/>
              </w:rPr>
              <w:t>3</w:t>
            </w:r>
            <w:r w:rsidRPr="002426CC">
              <w:rPr>
                <w:rFonts w:ascii="Calibri" w:hAnsi="Calibri" w:cs="Calibri"/>
              </w:rPr>
              <w:tab/>
              <w:t>Personne dépendante – lever possible – nécessité de se reposer (lit ou fauteuil) plus de la moitié des heures de veille.</w:t>
            </w:r>
          </w:p>
          <w:p w14:paraId="38BD212A" w14:textId="77777777" w:rsidR="00AD5683" w:rsidRPr="002426CC" w:rsidRDefault="00AD5683" w:rsidP="004E451D">
            <w:pPr>
              <w:spacing w:line="276" w:lineRule="auto"/>
              <w:ind w:left="737" w:hanging="737"/>
              <w:rPr>
                <w:rFonts w:ascii="Calibri" w:hAnsi="Calibri" w:cs="Calibri"/>
              </w:rPr>
            </w:pPr>
            <w:r w:rsidRPr="002426CC">
              <w:rPr>
                <w:rFonts w:ascii="Calibri" w:hAnsi="Calibri" w:cs="Calibri"/>
              </w:rPr>
              <w:t>4</w:t>
            </w:r>
            <w:r w:rsidRPr="002426CC">
              <w:rPr>
                <w:rFonts w:ascii="Calibri" w:hAnsi="Calibri" w:cs="Calibri"/>
              </w:rPr>
              <w:tab/>
              <w:t>Dépendance totale – état quasi grabataire – totalement confiné au lit ou au fauteuil.</w:t>
            </w:r>
          </w:p>
          <w:p w14:paraId="4AAE2B9D" w14:textId="7400F6F2" w:rsidR="00AD5683" w:rsidRPr="002426CC" w:rsidRDefault="00AD5683">
            <w:pPr>
              <w:pStyle w:val="1titre"/>
              <w:numPr>
                <w:ilvl w:val="0"/>
                <w:numId w:val="22"/>
              </w:numPr>
              <w:spacing w:after="0" w:line="276" w:lineRule="auto"/>
              <w:ind w:hanging="720"/>
              <w:rPr>
                <w:rFonts w:ascii="Calibri" w:hAnsi="Calibri" w:cs="Calibri"/>
                <w:b w:val="0"/>
                <w:bCs w:val="0"/>
              </w:rPr>
            </w:pPr>
            <w:r w:rsidRPr="002426CC">
              <w:rPr>
                <w:rFonts w:ascii="Calibri" w:hAnsi="Calibri" w:cs="Calibri"/>
                <w:b w:val="0"/>
                <w:bCs w:val="0"/>
              </w:rPr>
              <w:t>Décédé.</w:t>
            </w:r>
          </w:p>
        </w:tc>
      </w:tr>
    </w:tbl>
    <w:p w14:paraId="2A4F4F9E" w14:textId="77777777" w:rsidR="00AD5683" w:rsidRDefault="00AD5683" w:rsidP="004E451D">
      <w:pPr>
        <w:spacing w:line="276" w:lineRule="auto"/>
      </w:pPr>
    </w:p>
    <w:p w14:paraId="3FAE37D7" w14:textId="6FE61BAA" w:rsidR="00AD5683" w:rsidRDefault="002426CC">
      <w:pPr>
        <w:pStyle w:val="Titre3"/>
        <w:numPr>
          <w:ilvl w:val="1"/>
          <w:numId w:val="21"/>
        </w:numPr>
        <w:ind w:left="851" w:hanging="491"/>
      </w:pPr>
      <w:r>
        <w:t>É</w:t>
      </w:r>
      <w:r w:rsidR="00AD5683">
        <w:t>tat nutritionnel</w:t>
      </w:r>
    </w:p>
    <w:p w14:paraId="19A10BF9" w14:textId="77777777" w:rsidR="00AD5683" w:rsidRDefault="00AD5683" w:rsidP="004E451D">
      <w:pPr>
        <w:spacing w:line="276" w:lineRule="auto"/>
      </w:pPr>
      <w:r>
        <w:t>L’état nutritionnel, facteur pronostic important, doit être systématiquement évalué (cliniquement et biologiquement).</w:t>
      </w:r>
    </w:p>
    <w:p w14:paraId="52551344" w14:textId="77777777" w:rsidR="00AD5683" w:rsidRDefault="00AD5683" w:rsidP="004E451D">
      <w:pPr>
        <w:spacing w:line="276" w:lineRule="auto"/>
      </w:pPr>
    </w:p>
    <w:p w14:paraId="24D1004E" w14:textId="6C9C5816" w:rsidR="00AD5683" w:rsidRDefault="00AD5683">
      <w:pPr>
        <w:pStyle w:val="Titre3"/>
        <w:numPr>
          <w:ilvl w:val="1"/>
          <w:numId w:val="21"/>
        </w:numPr>
        <w:ind w:left="851" w:hanging="491"/>
      </w:pPr>
      <w:r>
        <w:t>Paramètres cardio-respiratoires</w:t>
      </w:r>
    </w:p>
    <w:p w14:paraId="010579B2" w14:textId="77777777" w:rsidR="00AD5683" w:rsidRDefault="00AD5683" w:rsidP="004E451D">
      <w:pPr>
        <w:spacing w:line="276" w:lineRule="auto"/>
      </w:pPr>
      <w:r>
        <w:t xml:space="preserve">L’examen clinique recherche une BPCO, une insuffisance respiratoire et évalue la classe fonctionnelle de la dyspnée. </w:t>
      </w:r>
    </w:p>
    <w:p w14:paraId="4A1A4E79" w14:textId="77777777" w:rsidR="00AD5683" w:rsidRDefault="00AD5683" w:rsidP="004E451D">
      <w:pPr>
        <w:spacing w:line="276" w:lineRule="auto"/>
      </w:pPr>
      <w:r>
        <w:t>+ Les épreuves fonctionnelles respiratoires (au minimum une spirométrie et une mesure de la DLCO) sont réalisées dans tous les cas où un traitement local paraît possible.</w:t>
      </w:r>
    </w:p>
    <w:p w14:paraId="6E414342" w14:textId="77777777" w:rsidR="00AD5683" w:rsidRDefault="00AD5683" w:rsidP="004E451D">
      <w:pPr>
        <w:spacing w:line="276" w:lineRule="auto"/>
      </w:pPr>
      <w:r>
        <w:t>En cas d’anomalie, le bilan est complété par :</w:t>
      </w:r>
    </w:p>
    <w:p w14:paraId="58BE3555" w14:textId="77777777" w:rsidR="00AD5683" w:rsidRDefault="00AD5683" w:rsidP="004E451D">
      <w:pPr>
        <w:spacing w:line="276" w:lineRule="auto"/>
      </w:pPr>
      <w:r>
        <w:t>- Une épreuve d’effort cardio-respiratoire (avec mesure de la VO</w:t>
      </w:r>
      <w:r>
        <w:rPr>
          <w:vertAlign w:val="subscript"/>
        </w:rPr>
        <w:t>2</w:t>
      </w:r>
      <w:r>
        <w:t>max).</w:t>
      </w:r>
    </w:p>
    <w:p w14:paraId="1410EF8C" w14:textId="77777777" w:rsidR="00AD5683" w:rsidRDefault="00AD5683" w:rsidP="004E451D">
      <w:pPr>
        <w:spacing w:line="276" w:lineRule="auto"/>
      </w:pPr>
      <w:r>
        <w:t>- Une scintigraphie pulmonaire de ventilation/perfusion pour évaluer le VEMS prévisible en post-opératoire en fonction de l’intervention envisagée (lobectomie ou pneumonectomie).</w:t>
      </w:r>
    </w:p>
    <w:p w14:paraId="68C29663" w14:textId="77777777" w:rsidR="00AD5683" w:rsidRDefault="00AD5683" w:rsidP="004E451D">
      <w:pPr>
        <w:spacing w:line="276" w:lineRule="auto"/>
      </w:pPr>
    </w:p>
    <w:p w14:paraId="0C104D94" w14:textId="77777777" w:rsidR="00AD5683" w:rsidRDefault="00AD5683" w:rsidP="004E451D">
      <w:pPr>
        <w:spacing w:line="276" w:lineRule="auto"/>
      </w:pPr>
      <w:r>
        <w:t>Les comorbidités cardiovasculaires sont systématiquement recherchées.</w:t>
      </w:r>
    </w:p>
    <w:p w14:paraId="687CD2AC" w14:textId="77777777" w:rsidR="00AD5683" w:rsidRDefault="00AD5683" w:rsidP="004E451D">
      <w:pPr>
        <w:spacing w:line="276" w:lineRule="auto"/>
      </w:pPr>
    </w:p>
    <w:tbl>
      <w:tblPr>
        <w:tblW w:w="9067" w:type="dxa"/>
        <w:tblBorders>
          <w:top w:val="single" w:sz="2" w:space="0" w:color="747474" w:themeColor="background2" w:themeShade="80"/>
          <w:left w:val="single" w:sz="2" w:space="0" w:color="747474" w:themeColor="background2" w:themeShade="80"/>
          <w:bottom w:val="single" w:sz="2" w:space="0" w:color="747474" w:themeColor="background2" w:themeShade="80"/>
          <w:right w:val="single" w:sz="2" w:space="0" w:color="747474" w:themeColor="background2" w:themeShade="80"/>
          <w:insideH w:val="single" w:sz="2" w:space="0" w:color="747474" w:themeColor="background2" w:themeShade="80"/>
          <w:insideV w:val="single" w:sz="2" w:space="0" w:color="747474" w:themeColor="background2" w:themeShade="80"/>
        </w:tblBorders>
        <w:tblLayout w:type="fixed"/>
        <w:tblLook w:val="0400" w:firstRow="0" w:lastRow="0" w:firstColumn="0" w:lastColumn="0" w:noHBand="0" w:noVBand="1"/>
      </w:tblPr>
      <w:tblGrid>
        <w:gridCol w:w="9067"/>
      </w:tblGrid>
      <w:tr w:rsidR="00AD5683" w14:paraId="6357FD42" w14:textId="77777777" w:rsidTr="00EE5B34">
        <w:tc>
          <w:tcPr>
            <w:tcW w:w="9067" w:type="dxa"/>
          </w:tcPr>
          <w:p w14:paraId="1575E699" w14:textId="53684438" w:rsidR="00AD5683" w:rsidRDefault="00AD5683" w:rsidP="004E451D">
            <w:pPr>
              <w:spacing w:line="276" w:lineRule="auto"/>
            </w:pPr>
            <w:r>
              <w:rPr>
                <w:noProof/>
              </w:rPr>
              <w:drawing>
                <wp:anchor distT="0" distB="0" distL="114300" distR="114300" simplePos="0" relativeHeight="251974656" behindDoc="0" locked="0" layoutInCell="1" hidden="0" allowOverlap="1" wp14:anchorId="772E8066" wp14:editId="4E00B9AC">
                  <wp:simplePos x="0" y="0"/>
                  <wp:positionH relativeFrom="column">
                    <wp:posOffset>67311</wp:posOffset>
                  </wp:positionH>
                  <wp:positionV relativeFrom="paragraph">
                    <wp:posOffset>59690</wp:posOffset>
                  </wp:positionV>
                  <wp:extent cx="615950" cy="617220"/>
                  <wp:effectExtent l="0" t="0" r="0" b="0"/>
                  <wp:wrapSquare wrapText="bothSides" distT="0" distB="0" distL="114300" distR="114300"/>
                  <wp:docPr id="2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30"/>
                          <a:srcRect/>
                          <a:stretch>
                            <a:fillRect/>
                          </a:stretch>
                        </pic:blipFill>
                        <pic:spPr>
                          <a:xfrm>
                            <a:off x="0" y="0"/>
                            <a:ext cx="615950" cy="617220"/>
                          </a:xfrm>
                          <a:prstGeom prst="rect">
                            <a:avLst/>
                          </a:prstGeom>
                          <a:ln/>
                        </pic:spPr>
                      </pic:pic>
                    </a:graphicData>
                  </a:graphic>
                </wp:anchor>
              </w:drawing>
            </w:r>
            <w:r>
              <w:t xml:space="preserve">Une chirurgie d’exérèse n'est pas envisageable si le VEMS prédit en post-opératoire est &lt; 30 % de la théorique. </w:t>
            </w:r>
          </w:p>
          <w:p w14:paraId="671C4A54" w14:textId="77777777" w:rsidR="00AD5683" w:rsidRDefault="00AD5683" w:rsidP="004E451D">
            <w:pPr>
              <w:spacing w:line="276" w:lineRule="auto"/>
            </w:pPr>
          </w:p>
          <w:p w14:paraId="435C750C" w14:textId="739506C5" w:rsidR="00AD5683" w:rsidRDefault="00AD5683" w:rsidP="004E451D">
            <w:pPr>
              <w:spacing w:line="276" w:lineRule="auto"/>
            </w:pPr>
            <w:r>
              <w:t>En pratique, on peut retenir qu’enlever un lobe (lobectomie) représente environ une</w:t>
            </w:r>
            <w:r w:rsidR="003A5C93">
              <w:t xml:space="preserve"> baisse</w:t>
            </w:r>
            <w:r>
              <w:t xml:space="preserve"> d’un quart des capacités respiratoires (le lobe moyen étant tout petit par rapport aux 4 autres lobes, il n’est pas pris en compte).</w:t>
            </w:r>
          </w:p>
          <w:p w14:paraId="4D0322DA" w14:textId="77777777" w:rsidR="00AD5683" w:rsidRDefault="00AD5683" w:rsidP="004E451D">
            <w:pPr>
              <w:spacing w:line="276" w:lineRule="auto"/>
            </w:pPr>
          </w:p>
          <w:p w14:paraId="0C5CE8B4" w14:textId="77777777" w:rsidR="00AD5683" w:rsidRDefault="00AD5683" w:rsidP="004E451D">
            <w:pPr>
              <w:spacing w:line="276" w:lineRule="auto"/>
            </w:pPr>
            <w:r>
              <w:t>Exemple : on envisage une lobectomie chez un patient dont le VEMS est à 80 % de la valeur théorique. Le VEMS prédit en post-opératoire sera de 60 % de la valeur théorique. On peut donc envisager la lobectomie (car le VEMS prédit en post-opératoire est &gt; 30 % de la valeur théorique).</w:t>
            </w:r>
          </w:p>
        </w:tc>
      </w:tr>
    </w:tbl>
    <w:p w14:paraId="419BABD6" w14:textId="77777777" w:rsidR="00AD5683" w:rsidRDefault="00AD5683" w:rsidP="004E451D">
      <w:pPr>
        <w:spacing w:line="276" w:lineRule="auto"/>
      </w:pPr>
    </w:p>
    <w:p w14:paraId="0C1C08F0" w14:textId="5AD94561" w:rsidR="00AD5683" w:rsidRDefault="00AD5683">
      <w:pPr>
        <w:pStyle w:val="Titre3"/>
        <w:numPr>
          <w:ilvl w:val="1"/>
          <w:numId w:val="21"/>
        </w:numPr>
        <w:ind w:left="851" w:hanging="491"/>
      </w:pPr>
      <w:r>
        <w:t>Évaluation gériatrique</w:t>
      </w:r>
    </w:p>
    <w:p w14:paraId="2A8F8AA6" w14:textId="77777777" w:rsidR="00AD5683" w:rsidRDefault="00AD5683" w:rsidP="004E451D">
      <w:pPr>
        <w:spacing w:line="276" w:lineRule="auto"/>
      </w:pPr>
      <w:r>
        <w:t xml:space="preserve">Pour les personnes de plus de 70 ans, une évaluation </w:t>
      </w:r>
      <w:proofErr w:type="spellStart"/>
      <w:r>
        <w:t>oncogériatrique</w:t>
      </w:r>
      <w:proofErr w:type="spellEnd"/>
      <w:r>
        <w:t xml:space="preserve"> est indiquée (score G8 au minimum).</w:t>
      </w:r>
    </w:p>
    <w:p w14:paraId="5FC6C344" w14:textId="77777777" w:rsidR="00AD5683" w:rsidRDefault="00AD5683" w:rsidP="004E451D">
      <w:pPr>
        <w:spacing w:line="276" w:lineRule="auto"/>
      </w:pPr>
    </w:p>
    <w:p w14:paraId="673DF40C" w14:textId="7581DE7F" w:rsidR="00AD5683" w:rsidRDefault="00AD5683">
      <w:pPr>
        <w:pStyle w:val="Titre2"/>
        <w:numPr>
          <w:ilvl w:val="0"/>
          <w:numId w:val="21"/>
        </w:numPr>
        <w:ind w:left="567" w:hanging="283"/>
      </w:pPr>
      <w:r>
        <w:t>Stratégies thérapeutiques dans les cancers « non à petites cellules »</w:t>
      </w:r>
    </w:p>
    <w:p w14:paraId="4EC86339" w14:textId="77777777" w:rsidR="00AD5683" w:rsidRDefault="00AD5683" w:rsidP="004E451D">
      <w:pPr>
        <w:spacing w:line="276" w:lineRule="auto"/>
      </w:pPr>
      <w:r>
        <w:t xml:space="preserve">Dans tous les cas : l’arrêt du tabac est impératif… La poursuite du tabagisme augmente le risque de complications des traitements anti-cancéreux et en réduit l’efficacité. </w:t>
      </w:r>
    </w:p>
    <w:p w14:paraId="78936D00" w14:textId="77777777" w:rsidR="00AD5683" w:rsidRDefault="00AD5683" w:rsidP="004E451D">
      <w:pPr>
        <w:spacing w:line="276" w:lineRule="auto"/>
      </w:pPr>
    </w:p>
    <w:p w14:paraId="4AC99D66" w14:textId="5C8DB469" w:rsidR="00AD5683" w:rsidRDefault="00AD5683">
      <w:pPr>
        <w:pStyle w:val="Titre3"/>
        <w:numPr>
          <w:ilvl w:val="1"/>
          <w:numId w:val="21"/>
        </w:numPr>
        <w:ind w:left="851" w:hanging="491"/>
      </w:pPr>
      <w:r>
        <w:lastRenderedPageBreak/>
        <w:t>Cancers localisés (stades I et II)</w:t>
      </w:r>
    </w:p>
    <w:p w14:paraId="33A82A65" w14:textId="77777777" w:rsidR="00AD5683" w:rsidRDefault="00AD5683" w:rsidP="004E451D">
      <w:pPr>
        <w:widowControl w:val="0"/>
        <w:pBdr>
          <w:top w:val="nil"/>
          <w:left w:val="nil"/>
          <w:bottom w:val="nil"/>
          <w:right w:val="nil"/>
          <w:between w:val="nil"/>
        </w:pBdr>
        <w:spacing w:line="276" w:lineRule="auto"/>
      </w:pPr>
      <w:r>
        <w:t>Les cancers du poumon découverts au stade localisé représentent 15 à 30 % des cas.</w:t>
      </w:r>
    </w:p>
    <w:p w14:paraId="556F4473" w14:textId="77777777" w:rsidR="00AD5683" w:rsidRDefault="00AD5683" w:rsidP="004E451D">
      <w:pPr>
        <w:spacing w:line="276" w:lineRule="auto"/>
      </w:pPr>
    </w:p>
    <w:p w14:paraId="28A1CEDD" w14:textId="77777777" w:rsidR="00AD5683" w:rsidRDefault="00AD5683" w:rsidP="004E451D">
      <w:pPr>
        <w:spacing w:line="276" w:lineRule="auto"/>
      </w:pPr>
      <w:r>
        <w:t>Si le patient est opérable, une chirurgie d’exérèse (résection anatomique et curage ganglionnaire médiastinal) constitue le traitement principal.</w:t>
      </w:r>
    </w:p>
    <w:p w14:paraId="6289BB04" w14:textId="77777777" w:rsidR="00AD5683" w:rsidRDefault="00AD5683" w:rsidP="004E451D">
      <w:pPr>
        <w:spacing w:line="276" w:lineRule="auto"/>
      </w:pPr>
      <w:r>
        <w:t>Traitements complémentaires :</w:t>
      </w:r>
    </w:p>
    <w:p w14:paraId="58D87446" w14:textId="77777777" w:rsidR="00AD5683" w:rsidRDefault="00000000" w:rsidP="004E451D">
      <w:pPr>
        <w:spacing w:line="276" w:lineRule="auto"/>
      </w:pPr>
      <w:sdt>
        <w:sdtPr>
          <w:tag w:val="goog_rdk_1"/>
          <w:id w:val="1557458759"/>
        </w:sdtPr>
        <w:sdtContent>
          <w:r w:rsidR="00AD5683">
            <w:rPr>
              <w:rFonts w:ascii="Arial" w:eastAsia="Arial" w:hAnsi="Arial" w:cs="Arial"/>
            </w:rPr>
            <w:t xml:space="preserve">- Une chimiothérapie adjuvante peut être proposée selon le stade en </w:t>
          </w:r>
          <w:proofErr w:type="spellStart"/>
          <w:r w:rsidR="00AD5683">
            <w:rPr>
              <w:rFonts w:ascii="Arial" w:eastAsia="Arial" w:hAnsi="Arial" w:cs="Arial"/>
            </w:rPr>
            <w:t>post-opératoire</w:t>
          </w:r>
          <w:proofErr w:type="spellEnd"/>
          <w:r w:rsidR="00AD5683">
            <w:rPr>
              <w:rFonts w:ascii="Arial" w:eastAsia="Arial" w:hAnsi="Arial" w:cs="Arial"/>
            </w:rPr>
            <w:t xml:space="preserve"> (</w:t>
          </w:r>
          <w:proofErr w:type="spellStart"/>
          <w:r w:rsidR="00AD5683">
            <w:rPr>
              <w:rFonts w:ascii="Arial" w:eastAsia="Arial" w:hAnsi="Arial" w:cs="Arial"/>
            </w:rPr>
            <w:t>pTNM</w:t>
          </w:r>
          <w:proofErr w:type="spellEnd"/>
          <w:r w:rsidR="00AD5683">
            <w:rPr>
              <w:rFonts w:ascii="Arial" w:eastAsia="Arial" w:hAnsi="Arial" w:cs="Arial"/>
            </w:rPr>
            <w:t>).</w:t>
          </w:r>
        </w:sdtContent>
      </w:sdt>
    </w:p>
    <w:p w14:paraId="02F189E2" w14:textId="77777777" w:rsidR="00AD5683" w:rsidRDefault="00AD5683" w:rsidP="004E451D">
      <w:pPr>
        <w:spacing w:line="276" w:lineRule="auto"/>
      </w:pPr>
      <w:r>
        <w:t>- Une thérapie ciblée adjuvante peut être proposée en cas de mutation de l’EGFR ou de réarrangement de ALK.</w:t>
      </w:r>
    </w:p>
    <w:p w14:paraId="07435E86" w14:textId="77777777" w:rsidR="00AD5683" w:rsidRDefault="00AD5683" w:rsidP="004E451D">
      <w:pPr>
        <w:spacing w:line="276" w:lineRule="auto"/>
      </w:pPr>
      <w:r>
        <w:t xml:space="preserve">- Une chimio-immunothérapie néoadjuvante peut être proposée selon le stade en </w:t>
      </w:r>
      <w:proofErr w:type="spellStart"/>
      <w:r>
        <w:t>pré-opératoire</w:t>
      </w:r>
      <w:proofErr w:type="spellEnd"/>
      <w:r>
        <w:t xml:space="preserve"> (</w:t>
      </w:r>
      <w:proofErr w:type="spellStart"/>
      <w:r>
        <w:t>cTNM</w:t>
      </w:r>
      <w:proofErr w:type="spellEnd"/>
      <w:r>
        <w:t>) pour les tumeurs exprimant PD-L1.</w:t>
      </w:r>
    </w:p>
    <w:p w14:paraId="3E8DEFBB" w14:textId="77777777" w:rsidR="00AD5683" w:rsidRDefault="00AD5683" w:rsidP="004E451D">
      <w:pPr>
        <w:spacing w:line="276" w:lineRule="auto"/>
      </w:pPr>
    </w:p>
    <w:p w14:paraId="6632BA7B" w14:textId="74DE883E" w:rsidR="00AD5683" w:rsidRDefault="003A5C93" w:rsidP="004E451D">
      <w:pPr>
        <w:spacing w:line="276" w:lineRule="auto"/>
      </w:pPr>
      <w:r w:rsidRPr="003A5C93">
        <w:t xml:space="preserve">Si le patient n’est pas opérable, une </w:t>
      </w:r>
      <w:proofErr w:type="spellStart"/>
      <w:r w:rsidRPr="003A5C93">
        <w:t>radiothérapie</w:t>
      </w:r>
      <w:proofErr w:type="spellEnd"/>
      <w:r w:rsidRPr="003A5C93">
        <w:t xml:space="preserve"> à </w:t>
      </w:r>
      <w:proofErr w:type="spellStart"/>
      <w:r w:rsidRPr="003A5C93">
        <w:t>visée</w:t>
      </w:r>
      <w:proofErr w:type="spellEnd"/>
      <w:r w:rsidRPr="003A5C93">
        <w:t xml:space="preserve"> curative est </w:t>
      </w:r>
      <w:proofErr w:type="spellStart"/>
      <w:r w:rsidRPr="003A5C93">
        <w:t>recommandée</w:t>
      </w:r>
      <w:proofErr w:type="spellEnd"/>
      <w:r w:rsidRPr="003A5C93">
        <w:t xml:space="preserve">, si possible en conditions </w:t>
      </w:r>
      <w:proofErr w:type="spellStart"/>
      <w:r w:rsidRPr="003A5C93">
        <w:t>stéréotaxiques</w:t>
      </w:r>
      <w:proofErr w:type="spellEnd"/>
      <w:r w:rsidRPr="003A5C93">
        <w:t>.</w:t>
      </w:r>
    </w:p>
    <w:p w14:paraId="4328DE45" w14:textId="77777777" w:rsidR="00AD5683" w:rsidRDefault="00AD5683" w:rsidP="004E451D">
      <w:pPr>
        <w:spacing w:line="276" w:lineRule="auto"/>
      </w:pPr>
    </w:p>
    <w:p w14:paraId="11E3D1E3" w14:textId="70CEF303" w:rsidR="00AD5683" w:rsidRDefault="00AD5683">
      <w:pPr>
        <w:pStyle w:val="Titre3"/>
        <w:numPr>
          <w:ilvl w:val="1"/>
          <w:numId w:val="21"/>
        </w:numPr>
        <w:ind w:left="851" w:hanging="491"/>
      </w:pPr>
      <w:r>
        <w:t>Cancers localement avancés (stades III)</w:t>
      </w:r>
    </w:p>
    <w:p w14:paraId="6BF7BC9E" w14:textId="77777777" w:rsidR="00AD5683" w:rsidRDefault="00AD5683" w:rsidP="004E451D">
      <w:pPr>
        <w:widowControl w:val="0"/>
        <w:pBdr>
          <w:top w:val="nil"/>
          <w:left w:val="nil"/>
          <w:bottom w:val="nil"/>
          <w:right w:val="nil"/>
          <w:between w:val="nil"/>
        </w:pBdr>
        <w:spacing w:line="276" w:lineRule="auto"/>
      </w:pPr>
      <w:r>
        <w:t>Ils représentent environ 20 % des cas.</w:t>
      </w:r>
    </w:p>
    <w:p w14:paraId="1A0BDA5C" w14:textId="77777777" w:rsidR="00AD5683" w:rsidRDefault="00AD5683" w:rsidP="004E451D">
      <w:pPr>
        <w:widowControl w:val="0"/>
        <w:pBdr>
          <w:top w:val="nil"/>
          <w:left w:val="nil"/>
          <w:bottom w:val="nil"/>
          <w:right w:val="nil"/>
          <w:between w:val="nil"/>
        </w:pBdr>
        <w:spacing w:line="276" w:lineRule="auto"/>
      </w:pPr>
      <w:r>
        <w:t xml:space="preserve">Ils relèvent de l’association d’un traitement local (chirurgie ou radiothérapie) associé à une chimiothérapie (doublet à base d’un sel de platine). </w:t>
      </w:r>
    </w:p>
    <w:p w14:paraId="53C4B0B2" w14:textId="77777777" w:rsidR="00AD5683" w:rsidRDefault="00AD5683" w:rsidP="004E451D">
      <w:pPr>
        <w:widowControl w:val="0"/>
        <w:pBdr>
          <w:top w:val="nil"/>
          <w:left w:val="nil"/>
          <w:bottom w:val="nil"/>
          <w:right w:val="nil"/>
          <w:between w:val="nil"/>
        </w:pBdr>
        <w:spacing w:line="276" w:lineRule="auto"/>
      </w:pPr>
      <w:r>
        <w:t>Lorsqu’une radiothérapie est indiquée, elle est réalisée de façon concomitante à la chimiothérapie si possible. Sinon, elle est réalisée de façon séquentielle.</w:t>
      </w:r>
    </w:p>
    <w:p w14:paraId="3BBB7C20" w14:textId="77777777" w:rsidR="00AD5683" w:rsidRDefault="00AD5683" w:rsidP="004E451D">
      <w:pPr>
        <w:widowControl w:val="0"/>
        <w:pBdr>
          <w:top w:val="nil"/>
          <w:left w:val="nil"/>
          <w:bottom w:val="nil"/>
          <w:right w:val="nil"/>
          <w:between w:val="nil"/>
        </w:pBdr>
        <w:spacing w:line="276" w:lineRule="auto"/>
      </w:pPr>
      <w:r>
        <w:t>Une fois cette séquence achevée, un traitement de consolidation par immunothérapie est recommandé pour les tumeurs exprimant PD-L1.</w:t>
      </w:r>
    </w:p>
    <w:p w14:paraId="22959AD6" w14:textId="77777777" w:rsidR="00AD5683" w:rsidRDefault="00AD5683" w:rsidP="004E451D">
      <w:pPr>
        <w:widowControl w:val="0"/>
        <w:pBdr>
          <w:top w:val="nil"/>
          <w:left w:val="nil"/>
          <w:bottom w:val="nil"/>
          <w:right w:val="nil"/>
          <w:between w:val="nil"/>
        </w:pBdr>
        <w:spacing w:line="276" w:lineRule="auto"/>
      </w:pPr>
    </w:p>
    <w:p w14:paraId="6061DAF5" w14:textId="70CB02BE" w:rsidR="00AD5683" w:rsidRDefault="00AD5683">
      <w:pPr>
        <w:pStyle w:val="Titre3"/>
        <w:numPr>
          <w:ilvl w:val="1"/>
          <w:numId w:val="21"/>
        </w:numPr>
        <w:ind w:left="851" w:hanging="491"/>
      </w:pPr>
      <w:r>
        <w:t>CBNPC métastatiques (stades IV)</w:t>
      </w:r>
    </w:p>
    <w:p w14:paraId="2519D354" w14:textId="77777777" w:rsidR="00AD5683" w:rsidRDefault="00AD5683" w:rsidP="004E451D">
      <w:pPr>
        <w:widowControl w:val="0"/>
        <w:pBdr>
          <w:top w:val="nil"/>
          <w:left w:val="nil"/>
          <w:bottom w:val="nil"/>
          <w:right w:val="nil"/>
          <w:between w:val="nil"/>
        </w:pBdr>
        <w:spacing w:line="276" w:lineRule="auto"/>
      </w:pPr>
      <w:r>
        <w:t>Représentent 50 % des cas.</w:t>
      </w:r>
    </w:p>
    <w:p w14:paraId="6ACD0DB0" w14:textId="77777777" w:rsidR="00AD5683" w:rsidRDefault="00AD5683" w:rsidP="004E451D">
      <w:pPr>
        <w:widowControl w:val="0"/>
        <w:pBdr>
          <w:top w:val="nil"/>
          <w:left w:val="nil"/>
          <w:bottom w:val="nil"/>
          <w:right w:val="nil"/>
          <w:between w:val="nil"/>
        </w:pBdr>
        <w:spacing w:line="276" w:lineRule="auto"/>
      </w:pPr>
      <w:r>
        <w:t xml:space="preserve">Ces patients relèvent d’un </w:t>
      </w:r>
      <w:r>
        <w:rPr>
          <w:b/>
          <w:bCs/>
        </w:rPr>
        <w:t>traitement systémique</w:t>
      </w:r>
      <w:r>
        <w:t xml:space="preserve"> exclusif.</w:t>
      </w:r>
    </w:p>
    <w:p w14:paraId="5793006A" w14:textId="77777777" w:rsidR="00AD5683" w:rsidRDefault="00AD5683" w:rsidP="004E451D">
      <w:pPr>
        <w:widowControl w:val="0"/>
        <w:pBdr>
          <w:top w:val="nil"/>
          <w:left w:val="nil"/>
          <w:bottom w:val="nil"/>
          <w:right w:val="nil"/>
          <w:between w:val="nil"/>
        </w:pBdr>
        <w:spacing w:line="276" w:lineRule="auto"/>
      </w:pPr>
      <w:r>
        <w:t xml:space="preserve">Le choix du </w:t>
      </w:r>
      <w:r>
        <w:rPr>
          <w:b/>
          <w:bCs/>
        </w:rPr>
        <w:t>type de traitement</w:t>
      </w:r>
      <w:r>
        <w:t xml:space="preserve"> de 1</w:t>
      </w:r>
      <w:r>
        <w:rPr>
          <w:vertAlign w:val="superscript"/>
        </w:rPr>
        <w:t>ère</w:t>
      </w:r>
      <w:r>
        <w:t xml:space="preserve"> ligne dépend de l’âge du patient, de son état général, de ses comorbidités, du niveau d’expression de PD-L1 de la tumeur, et de la présence d’une altération moléculaire ciblable.</w:t>
      </w:r>
    </w:p>
    <w:p w14:paraId="3D83B681" w14:textId="59B4C677" w:rsidR="00AD5683" w:rsidRPr="003A5C93" w:rsidRDefault="003A5C93" w:rsidP="004E451D">
      <w:pPr>
        <w:widowControl w:val="0"/>
        <w:pBdr>
          <w:top w:val="nil"/>
          <w:left w:val="nil"/>
          <w:bottom w:val="nil"/>
          <w:right w:val="nil"/>
          <w:between w:val="nil"/>
        </w:pBdr>
        <w:spacing w:line="276" w:lineRule="auto"/>
        <w:rPr>
          <w:color w:val="0070C0"/>
        </w:rPr>
      </w:pPr>
      <w:r w:rsidRPr="003A5C93">
        <w:rPr>
          <w:noProof/>
        </w:rPr>
        <w:drawing>
          <wp:anchor distT="0" distB="0" distL="114300" distR="114300" simplePos="0" relativeHeight="251975680" behindDoc="0" locked="0" layoutInCell="1" hidden="0" allowOverlap="1" wp14:anchorId="0CDFD5A0" wp14:editId="5B45B543">
            <wp:simplePos x="0" y="0"/>
            <wp:positionH relativeFrom="column">
              <wp:posOffset>-268654</wp:posOffset>
            </wp:positionH>
            <wp:positionV relativeFrom="paragraph">
              <wp:posOffset>6350</wp:posOffset>
            </wp:positionV>
            <wp:extent cx="153670" cy="137160"/>
            <wp:effectExtent l="0" t="0" r="0" b="0"/>
            <wp:wrapSquare wrapText="bothSides" distT="0" distB="0" distL="114300" distR="114300"/>
            <wp:docPr id="1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rsidR="00AD5683" w:rsidRPr="003A5C93">
        <w:rPr>
          <w:color w:val="0070C0"/>
        </w:rPr>
        <w:t>Les principales options incluent :</w:t>
      </w:r>
    </w:p>
    <w:p w14:paraId="00FD3E18" w14:textId="77777777" w:rsidR="00AD5683" w:rsidRPr="003A5C93" w:rsidRDefault="00AD5683" w:rsidP="004E451D">
      <w:pPr>
        <w:widowControl w:val="0"/>
        <w:pBdr>
          <w:top w:val="nil"/>
          <w:left w:val="nil"/>
          <w:bottom w:val="nil"/>
          <w:right w:val="nil"/>
          <w:between w:val="nil"/>
        </w:pBdr>
        <w:spacing w:line="276" w:lineRule="auto"/>
        <w:rPr>
          <w:color w:val="0070C0"/>
        </w:rPr>
      </w:pPr>
      <w:r w:rsidRPr="003A5C93">
        <w:rPr>
          <w:color w:val="0070C0"/>
        </w:rPr>
        <w:t xml:space="preserve">- Un traitement ciblé (ITK) en cas d’altération moléculaire addictive ciblable (notamment EGFR, ALK, ROS1, </w:t>
      </w:r>
      <w:r w:rsidRPr="003A5C93">
        <w:rPr>
          <w:color w:val="00B050"/>
        </w:rPr>
        <w:t>RET… liste évoluant régulièrement</w:t>
      </w:r>
      <w:r w:rsidRPr="003A5C93">
        <w:rPr>
          <w:color w:val="0070C0"/>
        </w:rPr>
        <w:t>).</w:t>
      </w:r>
    </w:p>
    <w:p w14:paraId="0E43E049" w14:textId="77777777" w:rsidR="00AD5683" w:rsidRPr="003A5C93" w:rsidRDefault="00AD5683" w:rsidP="004E451D">
      <w:pPr>
        <w:widowControl w:val="0"/>
        <w:pBdr>
          <w:top w:val="nil"/>
          <w:left w:val="nil"/>
          <w:bottom w:val="nil"/>
          <w:right w:val="nil"/>
          <w:between w:val="nil"/>
        </w:pBdr>
        <w:spacing w:line="276" w:lineRule="auto"/>
        <w:rPr>
          <w:color w:val="0070C0"/>
        </w:rPr>
      </w:pPr>
      <w:r w:rsidRPr="003A5C93">
        <w:rPr>
          <w:color w:val="0070C0"/>
        </w:rPr>
        <w:t>- Une immunothérapie seule (si PD-L1 &gt; 50 %).</w:t>
      </w:r>
    </w:p>
    <w:p w14:paraId="5D000186" w14:textId="77777777" w:rsidR="00AD5683" w:rsidRPr="003A5C93" w:rsidRDefault="00AD5683" w:rsidP="004E451D">
      <w:pPr>
        <w:widowControl w:val="0"/>
        <w:pBdr>
          <w:top w:val="nil"/>
          <w:left w:val="nil"/>
          <w:bottom w:val="nil"/>
          <w:right w:val="nil"/>
          <w:between w:val="nil"/>
        </w:pBdr>
        <w:spacing w:line="276" w:lineRule="auto"/>
        <w:rPr>
          <w:color w:val="0070C0"/>
        </w:rPr>
      </w:pPr>
      <w:r w:rsidRPr="003A5C93">
        <w:rPr>
          <w:color w:val="0070C0"/>
        </w:rPr>
        <w:t xml:space="preserve">- Une combinaison chimiothérapie + immunothérapie (quelle que soit l’expression de PD-L1). </w:t>
      </w:r>
    </w:p>
    <w:p w14:paraId="64474F13" w14:textId="77777777" w:rsidR="00AD5683" w:rsidRPr="003A5C93" w:rsidRDefault="00AD5683" w:rsidP="004E451D">
      <w:pPr>
        <w:widowControl w:val="0"/>
        <w:pBdr>
          <w:top w:val="nil"/>
          <w:left w:val="nil"/>
          <w:bottom w:val="nil"/>
          <w:right w:val="nil"/>
          <w:between w:val="nil"/>
        </w:pBdr>
        <w:spacing w:line="276" w:lineRule="auto"/>
        <w:rPr>
          <w:color w:val="0070C0"/>
        </w:rPr>
      </w:pPr>
      <w:r w:rsidRPr="003A5C93">
        <w:rPr>
          <w:color w:val="0070C0"/>
        </w:rPr>
        <w:t>- Une chimiothérapie conventionnelle (comprenant un sel de platine) si le patient n’est pas éligible à l’immunothérapie.</w:t>
      </w:r>
    </w:p>
    <w:p w14:paraId="1EB188E3" w14:textId="77777777" w:rsidR="00AD5683" w:rsidRDefault="00AD5683" w:rsidP="004E451D">
      <w:pPr>
        <w:spacing w:line="276" w:lineRule="auto"/>
        <w:jc w:val="left"/>
        <w:rPr>
          <w:i/>
          <w:iCs/>
        </w:rPr>
      </w:pPr>
      <w:r>
        <w:br w:type="page"/>
      </w:r>
    </w:p>
    <w:tbl>
      <w:tblPr>
        <w:tblW w:w="9067" w:type="dxa"/>
        <w:tblBorders>
          <w:top w:val="single" w:sz="2" w:space="0" w:color="747474" w:themeColor="background2" w:themeShade="80"/>
          <w:left w:val="single" w:sz="2" w:space="0" w:color="747474" w:themeColor="background2" w:themeShade="80"/>
          <w:bottom w:val="single" w:sz="2" w:space="0" w:color="747474" w:themeColor="background2" w:themeShade="80"/>
          <w:right w:val="single" w:sz="2" w:space="0" w:color="747474" w:themeColor="background2" w:themeShade="80"/>
          <w:insideH w:val="single" w:sz="2" w:space="0" w:color="747474" w:themeColor="background2" w:themeShade="80"/>
          <w:insideV w:val="single" w:sz="2" w:space="0" w:color="747474" w:themeColor="background2" w:themeShade="80"/>
        </w:tblBorders>
        <w:tblLayout w:type="fixed"/>
        <w:tblLook w:val="0000" w:firstRow="0" w:lastRow="0" w:firstColumn="0" w:lastColumn="0" w:noHBand="0" w:noVBand="0"/>
      </w:tblPr>
      <w:tblGrid>
        <w:gridCol w:w="3823"/>
        <w:gridCol w:w="5244"/>
      </w:tblGrid>
      <w:tr w:rsidR="00AD5683" w14:paraId="55899768" w14:textId="77777777" w:rsidTr="00801191">
        <w:tc>
          <w:tcPr>
            <w:tcW w:w="3823" w:type="dxa"/>
            <w:shd w:val="clear" w:color="auto" w:fill="D1D1D1" w:themeFill="background2" w:themeFillShade="E6"/>
            <w:vAlign w:val="center"/>
          </w:tcPr>
          <w:p w14:paraId="1BDD1F0B" w14:textId="77777777" w:rsidR="00AD5683" w:rsidRPr="00801191" w:rsidRDefault="00AD5683" w:rsidP="004E451D">
            <w:pPr>
              <w:widowControl w:val="0"/>
              <w:pBdr>
                <w:top w:val="nil"/>
                <w:left w:val="nil"/>
                <w:bottom w:val="nil"/>
                <w:right w:val="nil"/>
                <w:between w:val="nil"/>
              </w:pBdr>
              <w:spacing w:line="276" w:lineRule="auto"/>
              <w:jc w:val="center"/>
              <w:rPr>
                <w:b/>
                <w:bCs/>
                <w:color w:val="auto"/>
              </w:rPr>
            </w:pPr>
            <w:r w:rsidRPr="00801191">
              <w:rPr>
                <w:b/>
                <w:bCs/>
                <w:color w:val="auto"/>
              </w:rPr>
              <w:lastRenderedPageBreak/>
              <w:t>Pour la pratique on retiendra 3 grandes situations</w:t>
            </w:r>
          </w:p>
        </w:tc>
        <w:tc>
          <w:tcPr>
            <w:tcW w:w="5244" w:type="dxa"/>
            <w:shd w:val="clear" w:color="auto" w:fill="D1D1D1" w:themeFill="background2" w:themeFillShade="E6"/>
            <w:vAlign w:val="center"/>
          </w:tcPr>
          <w:p w14:paraId="0CFCB3C7" w14:textId="77777777" w:rsidR="00AD5683" w:rsidRPr="00801191" w:rsidRDefault="00AD5683" w:rsidP="004E451D">
            <w:pPr>
              <w:spacing w:line="276" w:lineRule="auto"/>
              <w:jc w:val="center"/>
              <w:rPr>
                <w:b/>
                <w:bCs/>
                <w:color w:val="auto"/>
              </w:rPr>
            </w:pPr>
            <w:r w:rsidRPr="00801191">
              <w:rPr>
                <w:b/>
                <w:bCs/>
                <w:color w:val="auto"/>
              </w:rPr>
              <w:t>Traitement</w:t>
            </w:r>
          </w:p>
        </w:tc>
      </w:tr>
      <w:tr w:rsidR="00AD5683" w14:paraId="6CB31019" w14:textId="77777777" w:rsidTr="00801191">
        <w:tc>
          <w:tcPr>
            <w:tcW w:w="3823" w:type="dxa"/>
            <w:vAlign w:val="center"/>
          </w:tcPr>
          <w:p w14:paraId="1A8260E0" w14:textId="77777777" w:rsidR="00AD5683" w:rsidRDefault="00AD5683" w:rsidP="004E451D">
            <w:pPr>
              <w:spacing w:line="276" w:lineRule="auto"/>
              <w:jc w:val="left"/>
            </w:pPr>
            <w:r>
              <w:t xml:space="preserve">Cancer </w:t>
            </w:r>
            <w:r>
              <w:rPr>
                <w:b/>
                <w:bCs/>
              </w:rPr>
              <w:t xml:space="preserve">localisé </w:t>
            </w:r>
            <w:r>
              <w:t>(Stades I et II) :</w:t>
            </w:r>
          </w:p>
        </w:tc>
        <w:tc>
          <w:tcPr>
            <w:tcW w:w="5244" w:type="dxa"/>
          </w:tcPr>
          <w:p w14:paraId="16CB4107" w14:textId="77777777" w:rsidR="00AD5683" w:rsidRDefault="00AD5683" w:rsidP="004E451D">
            <w:pPr>
              <w:spacing w:line="276" w:lineRule="auto"/>
            </w:pPr>
            <w:r>
              <w:rPr>
                <w:b/>
                <w:bCs/>
              </w:rPr>
              <w:t>Traitement local</w:t>
            </w:r>
            <w:r>
              <w:t xml:space="preserve"> : </w:t>
            </w:r>
          </w:p>
          <w:p w14:paraId="0E8A603E" w14:textId="77777777" w:rsidR="00AD5683" w:rsidRDefault="00AD5683" w:rsidP="004E451D">
            <w:pPr>
              <w:spacing w:line="276" w:lineRule="auto"/>
              <w:rPr>
                <w:b/>
                <w:bCs/>
              </w:rPr>
            </w:pPr>
            <w:r>
              <w:rPr>
                <w:b/>
                <w:bCs/>
              </w:rPr>
              <w:t xml:space="preserve">- Chirurgie </w:t>
            </w:r>
            <w:r>
              <w:t>± traitement systémique complémentaire</w:t>
            </w:r>
          </w:p>
          <w:p w14:paraId="6D9AF4ED" w14:textId="77777777" w:rsidR="00AD5683" w:rsidRDefault="00AD5683" w:rsidP="004E451D">
            <w:pPr>
              <w:spacing w:line="276" w:lineRule="auto"/>
              <w:jc w:val="left"/>
            </w:pPr>
            <w:r>
              <w:t>- Radiothérapie si inopérable</w:t>
            </w:r>
          </w:p>
        </w:tc>
      </w:tr>
      <w:tr w:rsidR="00AD5683" w14:paraId="1759DB7C" w14:textId="77777777" w:rsidTr="00801191">
        <w:tc>
          <w:tcPr>
            <w:tcW w:w="3823" w:type="dxa"/>
            <w:vAlign w:val="center"/>
          </w:tcPr>
          <w:p w14:paraId="2C7D6D6B" w14:textId="77777777" w:rsidR="00AD5683" w:rsidRDefault="00AD5683" w:rsidP="004E451D">
            <w:pPr>
              <w:spacing w:line="276" w:lineRule="auto"/>
              <w:jc w:val="left"/>
            </w:pPr>
            <w:r>
              <w:t xml:space="preserve">Cancer </w:t>
            </w:r>
            <w:r>
              <w:rPr>
                <w:b/>
                <w:bCs/>
              </w:rPr>
              <w:t>localement avancé</w:t>
            </w:r>
            <w:r>
              <w:t xml:space="preserve"> (Stades III)</w:t>
            </w:r>
          </w:p>
        </w:tc>
        <w:tc>
          <w:tcPr>
            <w:tcW w:w="5244" w:type="dxa"/>
          </w:tcPr>
          <w:p w14:paraId="62DB6FB8" w14:textId="77777777" w:rsidR="00AD5683" w:rsidRDefault="00AD5683" w:rsidP="004E451D">
            <w:pPr>
              <w:spacing w:line="276" w:lineRule="auto"/>
            </w:pPr>
            <w:r>
              <w:rPr>
                <w:b/>
                <w:bCs/>
              </w:rPr>
              <w:t xml:space="preserve">Traitement local </w:t>
            </w:r>
            <w:r>
              <w:t xml:space="preserve">(chirurgie ou radiothérapie) + </w:t>
            </w:r>
            <w:r>
              <w:rPr>
                <w:b/>
                <w:bCs/>
              </w:rPr>
              <w:t>traitement systémique</w:t>
            </w:r>
          </w:p>
        </w:tc>
      </w:tr>
      <w:tr w:rsidR="00AD5683" w14:paraId="6183ED3E" w14:textId="77777777" w:rsidTr="00801191">
        <w:tc>
          <w:tcPr>
            <w:tcW w:w="3823" w:type="dxa"/>
            <w:vAlign w:val="center"/>
          </w:tcPr>
          <w:p w14:paraId="6D45DE44" w14:textId="77777777" w:rsidR="00AD5683" w:rsidRDefault="00AD5683" w:rsidP="004E451D">
            <w:pPr>
              <w:spacing w:line="276" w:lineRule="auto"/>
              <w:jc w:val="left"/>
            </w:pPr>
            <w:r>
              <w:t xml:space="preserve">Cancer </w:t>
            </w:r>
            <w:r>
              <w:rPr>
                <w:b/>
                <w:bCs/>
              </w:rPr>
              <w:t>disséminé</w:t>
            </w:r>
            <w:r>
              <w:t xml:space="preserve"> (Stades IV)</w:t>
            </w:r>
          </w:p>
        </w:tc>
        <w:tc>
          <w:tcPr>
            <w:tcW w:w="5244" w:type="dxa"/>
          </w:tcPr>
          <w:p w14:paraId="2C6CB5B7" w14:textId="77777777" w:rsidR="00AD5683" w:rsidRDefault="00AD5683" w:rsidP="004E451D">
            <w:pPr>
              <w:spacing w:line="276" w:lineRule="auto"/>
            </w:pPr>
            <w:r>
              <w:rPr>
                <w:b/>
                <w:bCs/>
              </w:rPr>
              <w:t>Traitement systémique</w:t>
            </w:r>
          </w:p>
        </w:tc>
      </w:tr>
    </w:tbl>
    <w:p w14:paraId="1D315378" w14:textId="77777777" w:rsidR="00AD5683" w:rsidRDefault="00AD5683" w:rsidP="004E451D">
      <w:pPr>
        <w:widowControl w:val="0"/>
        <w:pBdr>
          <w:top w:val="nil"/>
          <w:left w:val="nil"/>
          <w:bottom w:val="nil"/>
          <w:right w:val="nil"/>
          <w:between w:val="nil"/>
        </w:pBdr>
        <w:spacing w:line="276" w:lineRule="auto"/>
        <w:rPr>
          <w:i/>
          <w:iCs/>
        </w:rPr>
      </w:pPr>
    </w:p>
    <w:p w14:paraId="085BE44F" w14:textId="27E9B3A6" w:rsidR="00AD5683" w:rsidRDefault="00AD5683">
      <w:pPr>
        <w:pStyle w:val="Titre3"/>
        <w:numPr>
          <w:ilvl w:val="1"/>
          <w:numId w:val="21"/>
        </w:numPr>
        <w:ind w:left="851" w:hanging="491"/>
      </w:pPr>
      <w:r>
        <w:t>Stratégies thérapeutiques dans les cancers « à petites cellules »</w:t>
      </w:r>
    </w:p>
    <w:p w14:paraId="485269A4" w14:textId="77777777" w:rsidR="00AD5683" w:rsidRDefault="00AD5683" w:rsidP="004E451D">
      <w:pPr>
        <w:widowControl w:val="0"/>
        <w:pBdr>
          <w:top w:val="nil"/>
          <w:left w:val="nil"/>
          <w:bottom w:val="nil"/>
          <w:right w:val="nil"/>
          <w:between w:val="nil"/>
        </w:pBdr>
        <w:spacing w:line="276" w:lineRule="auto"/>
      </w:pPr>
      <w:r>
        <w:t>L’évolution sans traitement est rapide (temps de doublement cellulaire très court) aboutissant rapidement au décès (&lt; 3 mois).</w:t>
      </w:r>
    </w:p>
    <w:p w14:paraId="1CAB823C" w14:textId="77777777" w:rsidR="00AD5683" w:rsidRDefault="00AD5683" w:rsidP="004E451D">
      <w:pPr>
        <w:widowControl w:val="0"/>
        <w:pBdr>
          <w:top w:val="nil"/>
          <w:left w:val="nil"/>
          <w:bottom w:val="nil"/>
          <w:right w:val="nil"/>
          <w:between w:val="nil"/>
        </w:pBdr>
        <w:spacing w:line="276" w:lineRule="auto"/>
      </w:pPr>
      <w:r>
        <w:t>La chimiothérapie est le traitement de référence et doit être instaurée le plus précocement possible (urgence oncologique).</w:t>
      </w:r>
    </w:p>
    <w:p w14:paraId="7AB00079" w14:textId="77777777" w:rsidR="00AD5683" w:rsidRDefault="00AD5683" w:rsidP="004E451D">
      <w:pPr>
        <w:widowControl w:val="0"/>
        <w:pBdr>
          <w:top w:val="nil"/>
          <w:left w:val="nil"/>
          <w:bottom w:val="nil"/>
          <w:right w:val="nil"/>
          <w:between w:val="nil"/>
        </w:pBdr>
        <w:spacing w:line="276" w:lineRule="auto"/>
      </w:pPr>
      <w:r>
        <w:t xml:space="preserve">- Doublet à base de sel de </w:t>
      </w:r>
      <w:r>
        <w:rPr>
          <w:b/>
          <w:bCs/>
        </w:rPr>
        <w:t>platine</w:t>
      </w:r>
      <w:r>
        <w:t xml:space="preserve"> associé à </w:t>
      </w:r>
      <w:r>
        <w:rPr>
          <w:b/>
          <w:bCs/>
        </w:rPr>
        <w:t>l’immunothérapie</w:t>
      </w:r>
      <w:r>
        <w:t xml:space="preserve"> en cas de maladie métastatique.</w:t>
      </w:r>
    </w:p>
    <w:p w14:paraId="4D0F2980" w14:textId="77777777" w:rsidR="00AD5683" w:rsidRDefault="00AD5683" w:rsidP="004E451D">
      <w:pPr>
        <w:widowControl w:val="0"/>
        <w:pBdr>
          <w:top w:val="nil"/>
          <w:left w:val="nil"/>
          <w:bottom w:val="nil"/>
          <w:right w:val="nil"/>
          <w:between w:val="nil"/>
        </w:pBdr>
        <w:spacing w:line="276" w:lineRule="auto"/>
      </w:pPr>
      <w:r>
        <w:t xml:space="preserve">- Souvent très </w:t>
      </w:r>
      <w:proofErr w:type="spellStart"/>
      <w:r>
        <w:t>chimiosensible</w:t>
      </w:r>
      <w:proofErr w:type="spellEnd"/>
      <w:r>
        <w:t xml:space="preserve"> MAIS rechutes rapides avec apparition d’une chimiorésistance.</w:t>
      </w:r>
    </w:p>
    <w:p w14:paraId="59B803F7" w14:textId="6B5E64B8" w:rsidR="00AD5683" w:rsidRDefault="00D0470B" w:rsidP="004E451D">
      <w:pPr>
        <w:widowControl w:val="0"/>
        <w:pBdr>
          <w:top w:val="nil"/>
          <w:left w:val="nil"/>
          <w:bottom w:val="nil"/>
          <w:right w:val="nil"/>
          <w:between w:val="nil"/>
        </w:pBdr>
        <w:spacing w:line="276" w:lineRule="auto"/>
        <w:rPr>
          <w:i/>
          <w:iCs/>
        </w:rPr>
      </w:pPr>
      <w:r>
        <w:rPr>
          <w:noProof/>
        </w:rPr>
        <w:drawing>
          <wp:anchor distT="0" distB="0" distL="114300" distR="114300" simplePos="0" relativeHeight="251976704" behindDoc="0" locked="0" layoutInCell="1" hidden="0" allowOverlap="1" wp14:anchorId="3317F99B" wp14:editId="64ACAC20">
            <wp:simplePos x="0" y="0"/>
            <wp:positionH relativeFrom="column">
              <wp:posOffset>-271731</wp:posOffset>
            </wp:positionH>
            <wp:positionV relativeFrom="paragraph">
              <wp:posOffset>183515</wp:posOffset>
            </wp:positionV>
            <wp:extent cx="153670" cy="137160"/>
            <wp:effectExtent l="0" t="0" r="0" b="0"/>
            <wp:wrapSquare wrapText="bothSides" distT="0" distB="0" distL="114300" distR="11430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p>
    <w:p w14:paraId="037D0D3A" w14:textId="2FFBD670" w:rsidR="00AD5683" w:rsidRDefault="00AD5683" w:rsidP="004E451D">
      <w:pPr>
        <w:widowControl w:val="0"/>
        <w:pBdr>
          <w:top w:val="nil"/>
          <w:left w:val="nil"/>
          <w:bottom w:val="nil"/>
          <w:right w:val="nil"/>
          <w:between w:val="nil"/>
        </w:pBdr>
        <w:spacing w:line="276" w:lineRule="auto"/>
        <w:rPr>
          <w:color w:val="0070C0"/>
        </w:rPr>
      </w:pPr>
      <w:r>
        <w:rPr>
          <w:color w:val="0070C0"/>
        </w:rPr>
        <w:t>En cas de maladie limitée au thorax, une radiothérapie précoce (avant le 2</w:t>
      </w:r>
      <w:r>
        <w:rPr>
          <w:color w:val="0070C0"/>
          <w:vertAlign w:val="superscript"/>
        </w:rPr>
        <w:t>e</w:t>
      </w:r>
      <w:r>
        <w:rPr>
          <w:color w:val="0070C0"/>
        </w:rPr>
        <w:t xml:space="preserve"> cycle) sur la tumeur et le médiastin est associée à la chimiothérapie.</w:t>
      </w:r>
    </w:p>
    <w:p w14:paraId="6F710C29" w14:textId="77777777" w:rsidR="00AD5683" w:rsidRDefault="00AD5683" w:rsidP="004E451D">
      <w:pPr>
        <w:widowControl w:val="0"/>
        <w:pBdr>
          <w:top w:val="nil"/>
          <w:left w:val="nil"/>
          <w:bottom w:val="nil"/>
          <w:right w:val="nil"/>
          <w:between w:val="nil"/>
        </w:pBdr>
        <w:spacing w:line="276" w:lineRule="auto"/>
        <w:rPr>
          <w:color w:val="0070C0"/>
        </w:rPr>
      </w:pPr>
      <w:r>
        <w:rPr>
          <w:color w:val="0070C0"/>
        </w:rPr>
        <w:t xml:space="preserve">La chirurgie n’est, même au stade localisé, pas la règle. </w:t>
      </w:r>
    </w:p>
    <w:p w14:paraId="5EEC7389" w14:textId="77777777" w:rsidR="00AD5683" w:rsidRDefault="00AD5683" w:rsidP="004E451D">
      <w:pPr>
        <w:spacing w:line="276" w:lineRule="auto"/>
        <w:rPr>
          <w:b/>
          <w:bCs/>
          <w:smallCaps/>
        </w:rPr>
      </w:pPr>
    </w:p>
    <w:p w14:paraId="30192550" w14:textId="06416AF2" w:rsidR="00AD5683" w:rsidRDefault="00AD5683">
      <w:pPr>
        <w:pStyle w:val="Titre3"/>
        <w:numPr>
          <w:ilvl w:val="1"/>
          <w:numId w:val="21"/>
        </w:numPr>
        <w:ind w:left="851" w:hanging="491"/>
      </w:pPr>
      <w:r>
        <w:t>Les traitements symptomatiques (Soins de support)</w:t>
      </w:r>
    </w:p>
    <w:p w14:paraId="4FB94009" w14:textId="77777777" w:rsidR="00AD5683" w:rsidRDefault="00AD5683" w:rsidP="004E451D">
      <w:pPr>
        <w:spacing w:line="276" w:lineRule="auto"/>
      </w:pPr>
      <w:r>
        <w:t>Doivent être entrepris dès l’apparition de symptômes, quel que soit le stade de la maladie. Ils sont multiples, incluant un soutien psychologique, nutritionnel et social.</w:t>
      </w:r>
    </w:p>
    <w:p w14:paraId="10DA682C" w14:textId="77777777" w:rsidR="00AD5683" w:rsidRDefault="00AD5683" w:rsidP="004E451D">
      <w:pPr>
        <w:spacing w:line="276" w:lineRule="auto"/>
      </w:pPr>
    </w:p>
    <w:p w14:paraId="25DB1DBA" w14:textId="77777777" w:rsidR="00AD5683" w:rsidRDefault="00AD5683" w:rsidP="004E451D">
      <w:pPr>
        <w:spacing w:line="276" w:lineRule="auto"/>
      </w:pPr>
      <w:r>
        <w:t xml:space="preserve">Ils reposent en particulier sur la prise en charge de la </w:t>
      </w:r>
      <w:r>
        <w:rPr>
          <w:b/>
          <w:bCs/>
        </w:rPr>
        <w:t>douleur</w:t>
      </w:r>
      <w:r>
        <w:t xml:space="preserve"> par les antalgiques de paliers croissants en utilisant (dans l’ordre) les antalgiques de classe I à III, sans hésiter à recourir aux dérivés morphiniques (classe III) + prévention de la constipation.</w:t>
      </w:r>
    </w:p>
    <w:p w14:paraId="621035D2" w14:textId="77777777" w:rsidR="00AD5683" w:rsidRDefault="00AD5683" w:rsidP="004E451D">
      <w:pPr>
        <w:spacing w:line="276" w:lineRule="auto"/>
      </w:pPr>
      <w:r>
        <w:t xml:space="preserve">Radiothérapie focale palliative à visée antalgique pour les lésions osseuses, surrénaliennes ou cutanées, ou menaçant la moelle épinière (risque de compression médullaire). </w:t>
      </w:r>
    </w:p>
    <w:p w14:paraId="22ED9D8C" w14:textId="77777777" w:rsidR="00AD5683" w:rsidRDefault="00AD5683" w:rsidP="004E451D">
      <w:pPr>
        <w:spacing w:line="276" w:lineRule="auto"/>
      </w:pPr>
      <w:r>
        <w:t xml:space="preserve">Parfois une chirurgie est indiquée avant la radiothérapie (enclouage d’un os long, laminectomie vertébrale décompressive) lorsque l’état général le permet, dont l’action peut aussi être antalgique. </w:t>
      </w:r>
    </w:p>
    <w:p w14:paraId="10C1B8B0" w14:textId="77777777" w:rsidR="00AD5683" w:rsidRDefault="00AD5683" w:rsidP="004E451D">
      <w:pPr>
        <w:spacing w:line="276" w:lineRule="auto"/>
      </w:pPr>
      <w:r>
        <w:t>Les douleurs de métastases osseuses peuvent être également soulagées en associant aux antalgiques classiques des anti-inflammatoires non stéroïdiens et/ou un traitement anti-</w:t>
      </w:r>
      <w:proofErr w:type="spellStart"/>
      <w:r>
        <w:t>résorptif</w:t>
      </w:r>
      <w:proofErr w:type="spellEnd"/>
      <w:r>
        <w:t xml:space="preserve"> osseux (</w:t>
      </w:r>
      <w:proofErr w:type="spellStart"/>
      <w:r>
        <w:t>bisphosphonate</w:t>
      </w:r>
      <w:proofErr w:type="spellEnd"/>
      <w:r>
        <w:t xml:space="preserve"> ou inhibiteur de RANK-ligand).</w:t>
      </w:r>
    </w:p>
    <w:p w14:paraId="72D6ED95" w14:textId="77777777" w:rsidR="00AD5683" w:rsidRDefault="00AD5683" w:rsidP="004E451D">
      <w:pPr>
        <w:spacing w:line="276" w:lineRule="auto"/>
      </w:pPr>
      <w:r>
        <w:t xml:space="preserve">Les douleurs liées à des métastases osseuses vertébrales peuvent aussi être efficacement traitées par radiologie interventionnelle (cimentoplastie </w:t>
      </w:r>
      <w:proofErr w:type="spellStart"/>
      <w:r>
        <w:t>per-cutanée</w:t>
      </w:r>
      <w:proofErr w:type="spellEnd"/>
      <w:r>
        <w:t xml:space="preserve">, cryothérapie). </w:t>
      </w:r>
    </w:p>
    <w:p w14:paraId="3A656F6E" w14:textId="77777777" w:rsidR="00AD5683" w:rsidRDefault="00AD5683" w:rsidP="004E451D">
      <w:pPr>
        <w:spacing w:line="276" w:lineRule="auto"/>
      </w:pPr>
      <w:r>
        <w:rPr>
          <w:noProof/>
        </w:rPr>
        <w:drawing>
          <wp:anchor distT="0" distB="0" distL="114300" distR="114300" simplePos="0" relativeHeight="251977728" behindDoc="0" locked="0" layoutInCell="1" hidden="0" allowOverlap="1" wp14:anchorId="684950F0" wp14:editId="356A496B">
            <wp:simplePos x="0" y="0"/>
            <wp:positionH relativeFrom="column">
              <wp:posOffset>-269289</wp:posOffset>
            </wp:positionH>
            <wp:positionV relativeFrom="paragraph">
              <wp:posOffset>178435</wp:posOffset>
            </wp:positionV>
            <wp:extent cx="153670" cy="137160"/>
            <wp:effectExtent l="0" t="0" r="0" b="0"/>
            <wp:wrapSquare wrapText="bothSides" distT="0" distB="0" distL="114300" distR="11430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p>
    <w:p w14:paraId="6070A401" w14:textId="77777777" w:rsidR="00AD5683" w:rsidRDefault="00AD5683" w:rsidP="004E451D">
      <w:pPr>
        <w:spacing w:line="276" w:lineRule="auto"/>
        <w:rPr>
          <w:color w:val="0070C0"/>
        </w:rPr>
      </w:pPr>
      <w:r>
        <w:rPr>
          <w:color w:val="0070C0"/>
        </w:rPr>
        <w:t xml:space="preserve">La </w:t>
      </w:r>
      <w:r>
        <w:rPr>
          <w:b/>
          <w:bCs/>
          <w:color w:val="0070C0"/>
        </w:rPr>
        <w:t>dyspnée</w:t>
      </w:r>
      <w:r>
        <w:rPr>
          <w:color w:val="0070C0"/>
        </w:rPr>
        <w:t xml:space="preserve"> liée à un(e) :</w:t>
      </w:r>
    </w:p>
    <w:p w14:paraId="5C509A6C" w14:textId="77777777" w:rsidR="00AD5683" w:rsidRDefault="00AD5683" w:rsidP="004E451D">
      <w:pPr>
        <w:widowControl w:val="0"/>
        <w:pBdr>
          <w:top w:val="nil"/>
          <w:left w:val="nil"/>
          <w:bottom w:val="nil"/>
          <w:right w:val="nil"/>
          <w:between w:val="nil"/>
        </w:pBdr>
        <w:spacing w:line="276" w:lineRule="auto"/>
        <w:rPr>
          <w:color w:val="0070C0"/>
        </w:rPr>
      </w:pPr>
      <w:r>
        <w:rPr>
          <w:color w:val="0070C0"/>
        </w:rPr>
        <w:t>- Lymphangite carcinomateuse : le traitement étiologique repose sur la prise en charge du cancer. La prise en charge symptomatique est décevante.</w:t>
      </w:r>
    </w:p>
    <w:p w14:paraId="1B40F5D5" w14:textId="77777777" w:rsidR="00AD5683" w:rsidRDefault="00AD5683" w:rsidP="004E451D">
      <w:pPr>
        <w:widowControl w:val="0"/>
        <w:pBdr>
          <w:top w:val="nil"/>
          <w:left w:val="nil"/>
          <w:bottom w:val="nil"/>
          <w:right w:val="nil"/>
          <w:between w:val="nil"/>
        </w:pBdr>
        <w:spacing w:line="276" w:lineRule="auto"/>
        <w:rPr>
          <w:color w:val="0070C0"/>
        </w:rPr>
      </w:pPr>
      <w:r>
        <w:rPr>
          <w:color w:val="0070C0"/>
        </w:rPr>
        <w:t xml:space="preserve">- Obstruction de la trachée ou d’une bronche principale. La désobstruction ± prothèse </w:t>
      </w:r>
      <w:proofErr w:type="spellStart"/>
      <w:r>
        <w:rPr>
          <w:color w:val="0070C0"/>
        </w:rPr>
        <w:t>endobronchique</w:t>
      </w:r>
      <w:proofErr w:type="spellEnd"/>
      <w:r>
        <w:rPr>
          <w:color w:val="0070C0"/>
        </w:rPr>
        <w:t xml:space="preserve"> est à discuter.</w:t>
      </w:r>
    </w:p>
    <w:p w14:paraId="2623A2A1" w14:textId="77777777" w:rsidR="00AD5683" w:rsidRDefault="00AD5683" w:rsidP="004E451D">
      <w:pPr>
        <w:widowControl w:val="0"/>
        <w:pBdr>
          <w:top w:val="nil"/>
          <w:left w:val="nil"/>
          <w:bottom w:val="nil"/>
          <w:right w:val="nil"/>
          <w:between w:val="nil"/>
        </w:pBdr>
        <w:spacing w:line="276" w:lineRule="auto"/>
        <w:rPr>
          <w:color w:val="0070C0"/>
        </w:rPr>
      </w:pPr>
      <w:r>
        <w:rPr>
          <w:color w:val="0070C0"/>
        </w:rPr>
        <w:t xml:space="preserve">- Pleurésie néoplasique abondante, récidivante après ponction pleurale : symphyse pleurale par </w:t>
      </w:r>
      <w:proofErr w:type="spellStart"/>
      <w:r>
        <w:rPr>
          <w:color w:val="0070C0"/>
        </w:rPr>
        <w:lastRenderedPageBreak/>
        <w:t>talcage</w:t>
      </w:r>
      <w:proofErr w:type="spellEnd"/>
      <w:r>
        <w:rPr>
          <w:color w:val="0070C0"/>
        </w:rPr>
        <w:t xml:space="preserve"> ou drainage à demeure (cathéter pleural </w:t>
      </w:r>
      <w:proofErr w:type="spellStart"/>
      <w:r>
        <w:rPr>
          <w:color w:val="0070C0"/>
        </w:rPr>
        <w:t>tunnelisé</w:t>
      </w:r>
      <w:proofErr w:type="spellEnd"/>
      <w:r>
        <w:rPr>
          <w:color w:val="0070C0"/>
        </w:rPr>
        <w:t>).</w:t>
      </w:r>
    </w:p>
    <w:p w14:paraId="4022C172" w14:textId="77777777" w:rsidR="00AD5683" w:rsidRDefault="00AD5683" w:rsidP="004E451D">
      <w:pPr>
        <w:widowControl w:val="0"/>
        <w:pBdr>
          <w:top w:val="nil"/>
          <w:left w:val="nil"/>
          <w:bottom w:val="nil"/>
          <w:right w:val="nil"/>
          <w:between w:val="nil"/>
        </w:pBdr>
        <w:spacing w:line="276" w:lineRule="auto"/>
        <w:rPr>
          <w:b/>
          <w:bCs/>
          <w:smallCaps/>
          <w:color w:val="0070C0"/>
        </w:rPr>
      </w:pPr>
      <w:r>
        <w:rPr>
          <w:color w:val="0070C0"/>
        </w:rPr>
        <w:t>- Syndrome cave supérieur : anticoagulation et corticothérapie, discuter stent cave.</w:t>
      </w:r>
    </w:p>
    <w:p w14:paraId="10640CC8" w14:textId="77777777" w:rsidR="00AD5683" w:rsidRDefault="00AD5683" w:rsidP="004E451D">
      <w:pPr>
        <w:widowControl w:val="0"/>
        <w:pBdr>
          <w:top w:val="nil"/>
          <w:left w:val="nil"/>
          <w:bottom w:val="nil"/>
          <w:right w:val="nil"/>
          <w:between w:val="nil"/>
        </w:pBdr>
        <w:spacing w:line="276" w:lineRule="auto"/>
        <w:rPr>
          <w:color w:val="0070C0"/>
        </w:rPr>
      </w:pPr>
    </w:p>
    <w:p w14:paraId="694B0A61" w14:textId="77777777" w:rsidR="00AD5683" w:rsidRDefault="00AD5683" w:rsidP="004E451D">
      <w:pPr>
        <w:widowControl w:val="0"/>
        <w:pBdr>
          <w:top w:val="nil"/>
          <w:left w:val="nil"/>
          <w:bottom w:val="nil"/>
          <w:right w:val="nil"/>
          <w:between w:val="nil"/>
        </w:pBdr>
        <w:spacing w:line="276" w:lineRule="auto"/>
        <w:rPr>
          <w:b/>
          <w:bCs/>
          <w:i/>
          <w:iCs/>
          <w:smallCaps/>
        </w:rPr>
      </w:pPr>
      <w:r>
        <w:t xml:space="preserve">Un support nutritionnel par suppléments hypercaloriques hyperprotéiques peut être mis en place pour éviter une perte de poids importante. </w:t>
      </w:r>
    </w:p>
    <w:p w14:paraId="7EDA0E24" w14:textId="77777777" w:rsidR="00AD5683" w:rsidRDefault="00AD5683" w:rsidP="004E451D">
      <w:pPr>
        <w:widowControl w:val="0"/>
        <w:pBdr>
          <w:top w:val="nil"/>
          <w:left w:val="nil"/>
          <w:bottom w:val="nil"/>
          <w:right w:val="nil"/>
          <w:between w:val="nil"/>
        </w:pBdr>
        <w:spacing w:line="276" w:lineRule="auto"/>
        <w:rPr>
          <w:b/>
          <w:bCs/>
          <w:smallCaps/>
        </w:rPr>
      </w:pPr>
    </w:p>
    <w:p w14:paraId="0E5D724B" w14:textId="77777777" w:rsidR="00AD5683" w:rsidRDefault="00AD5683" w:rsidP="00D0470B">
      <w:pPr>
        <w:pStyle w:val="titredepartie"/>
      </w:pPr>
      <w:r>
        <w:t>CONNAISSANCE +</w:t>
      </w:r>
    </w:p>
    <w:p w14:paraId="31F65A6C" w14:textId="77777777" w:rsidR="00AD5683" w:rsidRDefault="00AD5683" w:rsidP="00D0470B">
      <w:pPr>
        <w:pStyle w:val="titredesous-partie"/>
      </w:pPr>
      <w:r>
        <w:rPr>
          <w:shd w:val="clear" w:color="auto" w:fill="auto"/>
        </w:rPr>
        <w:t>RECHERCHE D’UNE EXPOSITION PROFESSIONNELLE</w:t>
      </w:r>
    </w:p>
    <w:p w14:paraId="52F7BD65" w14:textId="77777777" w:rsidR="00AD5683" w:rsidRDefault="00AD5683" w:rsidP="004E451D">
      <w:pPr>
        <w:spacing w:line="276" w:lineRule="auto"/>
      </w:pPr>
      <w:r>
        <w:t xml:space="preserve">Il faut rechercher une exposition professionnelle aux facteurs cancérogènes les plus fréquents (amiante, silice cristalline, hydrocarbures aromatiques polycycliques) par l’interrogatoire et au besoin par une consultation auprès d’un spécialiste en maladies professionnelles. Lorsque les conditions correspondant aux tableaux de maladie professionnelle sont remplies, la déclaration du cancer en maladie professionnelle doit être faite. Pour les CP liés à l’amiante, tous les patients ont le droit à une indemnisation complémentaire par le Fond d’Indemnisation des Victimes de l’Amiante (FIVA).  </w:t>
      </w:r>
    </w:p>
    <w:p w14:paraId="0529B592" w14:textId="77777777" w:rsidR="00AD5683" w:rsidRDefault="00AD5683" w:rsidP="004E451D">
      <w:pPr>
        <w:spacing w:line="276" w:lineRule="auto"/>
        <w:rPr>
          <w:b/>
          <w:bCs/>
          <w:smallCaps/>
        </w:rPr>
      </w:pPr>
    </w:p>
    <w:p w14:paraId="2C274867" w14:textId="77777777" w:rsidR="00AD5683" w:rsidRDefault="00AD5683" w:rsidP="00D0470B">
      <w:pPr>
        <w:pStyle w:val="titredesous-partie"/>
      </w:pPr>
      <w:r>
        <w:rPr>
          <w:shd w:val="clear" w:color="auto" w:fill="auto"/>
        </w:rPr>
        <w:t>Respect du Plan Cancer</w:t>
      </w:r>
    </w:p>
    <w:p w14:paraId="7A117141" w14:textId="77777777" w:rsidR="00AD5683" w:rsidRDefault="00AD5683" w:rsidP="004E451D">
      <w:pPr>
        <w:spacing w:line="276" w:lineRule="auto"/>
        <w:rPr>
          <w:b/>
          <w:bCs/>
        </w:rPr>
      </w:pPr>
      <w:r>
        <w:t xml:space="preserve">Les décisions thérapeutiques principales doivent être validées en </w:t>
      </w:r>
      <w:r>
        <w:rPr>
          <w:b/>
          <w:bCs/>
        </w:rPr>
        <w:t>Réunion de Concertation Pluridisciplinaire</w:t>
      </w:r>
      <w:r>
        <w:t xml:space="preserve"> (RCP) d’oncologie thoracique, conduisant à proposer un </w:t>
      </w:r>
      <w:r>
        <w:rPr>
          <w:b/>
          <w:bCs/>
        </w:rPr>
        <w:t>Plan Personnalisé de Soins</w:t>
      </w:r>
      <w:r>
        <w:t xml:space="preserve"> écrit qui sera expliqué au patient par son médecin référent lors d’une </w:t>
      </w:r>
      <w:r>
        <w:rPr>
          <w:b/>
          <w:bCs/>
        </w:rPr>
        <w:t>« consultation dans le cadre du dispositif d’annonce ».</w:t>
      </w:r>
    </w:p>
    <w:p w14:paraId="0A32C2A7" w14:textId="77777777" w:rsidR="00AD5683" w:rsidRDefault="00AD5683" w:rsidP="004E451D">
      <w:pPr>
        <w:spacing w:line="276" w:lineRule="auto"/>
      </w:pPr>
    </w:p>
    <w:p w14:paraId="586233D8" w14:textId="77777777" w:rsidR="00AD5683" w:rsidRDefault="00AD5683" w:rsidP="004E451D">
      <w:pPr>
        <w:spacing w:line="276" w:lineRule="auto"/>
      </w:pPr>
      <w:r>
        <w:t>Lors de cette consultation, à laquelle peut être associée une infirmière ou d’autres professionnels de santé, sont décrits les grands principes des traitements envisagés ainsi que les effets secondaires les plus fréquents et les plus graves des traitements, leurs signes d’appel et leur prévention, ainsi que le bénéfice attendu du traitement et le rythme des évaluations.</w:t>
      </w:r>
    </w:p>
    <w:p w14:paraId="4A6BC1A1" w14:textId="77777777" w:rsidR="00AD5683" w:rsidRDefault="00AD5683" w:rsidP="004E451D">
      <w:pPr>
        <w:spacing w:line="276" w:lineRule="auto"/>
      </w:pPr>
    </w:p>
    <w:p w14:paraId="22F0275D" w14:textId="77777777" w:rsidR="00AD5683" w:rsidRDefault="00AD5683" w:rsidP="004E451D">
      <w:pPr>
        <w:spacing w:line="276" w:lineRule="auto"/>
      </w:pPr>
      <w:r>
        <w:t xml:space="preserve">La participation à des essais cliniques doit être systématiquement encouragée. </w:t>
      </w:r>
    </w:p>
    <w:p w14:paraId="7222E782" w14:textId="77777777" w:rsidR="00AD5683" w:rsidRDefault="00AD5683" w:rsidP="004E451D">
      <w:pPr>
        <w:spacing w:line="276" w:lineRule="auto"/>
      </w:pPr>
    </w:p>
    <w:tbl>
      <w:tblPr>
        <w:tblW w:w="9067" w:type="dxa"/>
        <w:tblBorders>
          <w:top w:val="single" w:sz="2" w:space="0" w:color="747474" w:themeColor="background2" w:themeShade="80"/>
          <w:left w:val="single" w:sz="2" w:space="0" w:color="747474" w:themeColor="background2" w:themeShade="80"/>
          <w:bottom w:val="single" w:sz="2" w:space="0" w:color="747474" w:themeColor="background2" w:themeShade="80"/>
          <w:right w:val="single" w:sz="2" w:space="0" w:color="747474" w:themeColor="background2" w:themeShade="80"/>
          <w:insideH w:val="single" w:sz="2" w:space="0" w:color="747474" w:themeColor="background2" w:themeShade="80"/>
          <w:insideV w:val="single" w:sz="2" w:space="0" w:color="747474" w:themeColor="background2" w:themeShade="80"/>
        </w:tblBorders>
        <w:tblLayout w:type="fixed"/>
        <w:tblLook w:val="0400" w:firstRow="0" w:lastRow="0" w:firstColumn="0" w:lastColumn="0" w:noHBand="0" w:noVBand="1"/>
      </w:tblPr>
      <w:tblGrid>
        <w:gridCol w:w="9067"/>
      </w:tblGrid>
      <w:tr w:rsidR="00AD5683" w14:paraId="299D95A5" w14:textId="77777777" w:rsidTr="00D0470B">
        <w:tc>
          <w:tcPr>
            <w:tcW w:w="9067" w:type="dxa"/>
          </w:tcPr>
          <w:p w14:paraId="4018666E" w14:textId="77777777" w:rsidR="00AD5683" w:rsidRDefault="00AD5683" w:rsidP="004E451D">
            <w:pPr>
              <w:spacing w:line="276" w:lineRule="auto"/>
            </w:pPr>
            <w:r>
              <w:rPr>
                <w:noProof/>
              </w:rPr>
              <w:drawing>
                <wp:anchor distT="0" distB="0" distL="114300" distR="114300" simplePos="0" relativeHeight="251978752" behindDoc="0" locked="0" layoutInCell="1" hidden="0" allowOverlap="1" wp14:anchorId="6DE54A66" wp14:editId="10642C29">
                  <wp:simplePos x="0" y="0"/>
                  <wp:positionH relativeFrom="column">
                    <wp:posOffset>-14295</wp:posOffset>
                  </wp:positionH>
                  <wp:positionV relativeFrom="paragraph">
                    <wp:posOffset>25997</wp:posOffset>
                  </wp:positionV>
                  <wp:extent cx="656590" cy="665480"/>
                  <wp:effectExtent l="0" t="0" r="0" b="0"/>
                  <wp:wrapSquare wrapText="bothSides" distT="0" distB="0" distL="114300" distR="114300"/>
                  <wp:docPr id="29"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1"/>
                          <a:srcRect/>
                          <a:stretch>
                            <a:fillRect/>
                          </a:stretch>
                        </pic:blipFill>
                        <pic:spPr>
                          <a:xfrm>
                            <a:off x="0" y="0"/>
                            <a:ext cx="656590" cy="665480"/>
                          </a:xfrm>
                          <a:prstGeom prst="rect">
                            <a:avLst/>
                          </a:prstGeom>
                          <a:ln/>
                        </pic:spPr>
                      </pic:pic>
                    </a:graphicData>
                  </a:graphic>
                </wp:anchor>
              </w:drawing>
            </w:r>
          </w:p>
          <w:p w14:paraId="031E5BB6" w14:textId="77777777" w:rsidR="00AD5683" w:rsidRDefault="00AD5683" w:rsidP="004E451D">
            <w:pPr>
              <w:spacing w:line="276" w:lineRule="auto"/>
            </w:pPr>
            <w:r>
              <w:t>En cas d’ECOS sur un cancer du poumon, le mot clef « réunion de concertation pluridisciplinaire (RCP) doit être systématiquement dit.</w:t>
            </w:r>
          </w:p>
          <w:p w14:paraId="3EB10F1D" w14:textId="77777777" w:rsidR="00AD5683" w:rsidRDefault="00AD5683" w:rsidP="004E451D">
            <w:pPr>
              <w:spacing w:line="276" w:lineRule="auto"/>
            </w:pPr>
          </w:p>
        </w:tc>
      </w:tr>
    </w:tbl>
    <w:p w14:paraId="1D8297B6" w14:textId="77777777" w:rsidR="00AD5683" w:rsidRDefault="00AD5683" w:rsidP="004E451D">
      <w:pPr>
        <w:spacing w:line="276" w:lineRule="auto"/>
      </w:pPr>
    </w:p>
    <w:p w14:paraId="3602E082" w14:textId="77777777" w:rsidR="00AD5683" w:rsidRDefault="00AD5683">
      <w:pPr>
        <w:pStyle w:val="1titre"/>
        <w:numPr>
          <w:ilvl w:val="0"/>
          <w:numId w:val="23"/>
        </w:numPr>
      </w:pPr>
      <w:r>
        <w:t>Expression radio-clinique des cancers secondaires du poumon et démarche diagnostique</w:t>
      </w:r>
    </w:p>
    <w:p w14:paraId="276BA854" w14:textId="77777777" w:rsidR="00AD5683" w:rsidRDefault="00AD5683" w:rsidP="004E451D">
      <w:pPr>
        <w:spacing w:line="276" w:lineRule="auto"/>
      </w:pPr>
      <w:r>
        <w:t xml:space="preserve">Le poumon est un site métastatique privilégié pour de nombreux cancers (cancers épithéliaux, sarcomes, mélanomes cutanés, CP primitifs...). </w:t>
      </w:r>
    </w:p>
    <w:p w14:paraId="682574D5" w14:textId="77777777" w:rsidR="00AD5683" w:rsidRDefault="00AD5683" w:rsidP="004E451D">
      <w:pPr>
        <w:spacing w:line="276" w:lineRule="auto"/>
      </w:pPr>
    </w:p>
    <w:p w14:paraId="7FFFF2CE" w14:textId="15720890" w:rsidR="00AD5683" w:rsidRDefault="00AD5683">
      <w:pPr>
        <w:pStyle w:val="Titre3"/>
        <w:numPr>
          <w:ilvl w:val="1"/>
          <w:numId w:val="24"/>
        </w:numPr>
        <w:ind w:left="851" w:hanging="491"/>
      </w:pPr>
      <w:r>
        <w:t>Trois grands tableaux radio-cliniques (isolés ou associés)</w:t>
      </w:r>
    </w:p>
    <w:p w14:paraId="1912CA77" w14:textId="77777777" w:rsidR="00AD5683" w:rsidRDefault="00AD5683" w:rsidP="004E451D">
      <w:pPr>
        <w:widowControl w:val="0"/>
        <w:pBdr>
          <w:top w:val="nil"/>
          <w:left w:val="nil"/>
          <w:bottom w:val="nil"/>
          <w:right w:val="nil"/>
          <w:between w:val="nil"/>
        </w:pBdr>
        <w:spacing w:line="276" w:lineRule="auto"/>
      </w:pPr>
      <w:r>
        <w:t>- Nodule(s) parenchymateux métastatique(s).</w:t>
      </w:r>
    </w:p>
    <w:p w14:paraId="00EDF400" w14:textId="77777777" w:rsidR="00AD5683" w:rsidRDefault="00AD5683" w:rsidP="004E451D">
      <w:pPr>
        <w:widowControl w:val="0"/>
        <w:pBdr>
          <w:top w:val="nil"/>
          <w:left w:val="nil"/>
          <w:bottom w:val="nil"/>
          <w:right w:val="nil"/>
          <w:between w:val="nil"/>
        </w:pBdr>
        <w:spacing w:line="276" w:lineRule="auto"/>
      </w:pPr>
      <w:r>
        <w:t>- Épanchement pleural exsudatif.</w:t>
      </w:r>
    </w:p>
    <w:p w14:paraId="43B66364" w14:textId="77777777" w:rsidR="00AD5683" w:rsidRDefault="00AD5683" w:rsidP="004E451D">
      <w:pPr>
        <w:widowControl w:val="0"/>
        <w:pBdr>
          <w:top w:val="nil"/>
          <w:left w:val="nil"/>
          <w:bottom w:val="nil"/>
          <w:right w:val="nil"/>
          <w:between w:val="nil"/>
        </w:pBdr>
        <w:spacing w:line="276" w:lineRule="auto"/>
      </w:pPr>
      <w:r>
        <w:t>- Lymphangite carcinomateuse.</w:t>
      </w:r>
    </w:p>
    <w:p w14:paraId="470FC06E" w14:textId="77777777" w:rsidR="00AD5683" w:rsidRDefault="00AD5683" w:rsidP="004E451D">
      <w:pPr>
        <w:widowControl w:val="0"/>
        <w:pBdr>
          <w:top w:val="nil"/>
          <w:left w:val="nil"/>
          <w:bottom w:val="nil"/>
          <w:right w:val="nil"/>
          <w:between w:val="nil"/>
        </w:pBdr>
        <w:spacing w:line="276" w:lineRule="auto"/>
      </w:pPr>
    </w:p>
    <w:p w14:paraId="42561DBE" w14:textId="77777777" w:rsidR="00AD5683" w:rsidRDefault="00AD5683" w:rsidP="004E451D">
      <w:pPr>
        <w:pBdr>
          <w:top w:val="nil"/>
          <w:left w:val="nil"/>
          <w:bottom w:val="nil"/>
          <w:right w:val="nil"/>
          <w:between w:val="nil"/>
        </w:pBdr>
        <w:spacing w:line="276" w:lineRule="auto"/>
        <w:rPr>
          <w:rFonts w:ascii="Arial" w:eastAsia="Arial" w:hAnsi="Arial" w:cs="Arial"/>
          <w:sz w:val="18"/>
          <w:szCs w:val="18"/>
        </w:rPr>
      </w:pPr>
      <w:r>
        <w:rPr>
          <w:rFonts w:ascii="Arial" w:eastAsia="Arial" w:hAnsi="Arial" w:cs="Arial"/>
          <w:sz w:val="18"/>
          <w:szCs w:val="18"/>
        </w:rPr>
        <w:t>Figure 17 : Nodules denses à contours nets, diffus, de distribution hématogène, correspondant à des métastases d’un cancer bronchique primitif.</w:t>
      </w:r>
    </w:p>
    <w:p w14:paraId="7CBFDD6F" w14:textId="77777777" w:rsidR="00AD5683" w:rsidRDefault="00AD5683" w:rsidP="004E451D">
      <w:pPr>
        <w:spacing w:line="276" w:lineRule="auto"/>
        <w:jc w:val="center"/>
      </w:pPr>
      <w:r>
        <w:rPr>
          <w:noProof/>
        </w:rPr>
        <w:drawing>
          <wp:inline distT="0" distB="0" distL="0" distR="0" wp14:anchorId="6DFED32B" wp14:editId="63F81440">
            <wp:extent cx="4134485" cy="2353310"/>
            <wp:effectExtent l="0" t="0" r="0" b="0"/>
            <wp:docPr id="1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32"/>
                    <a:srcRect/>
                    <a:stretch>
                      <a:fillRect/>
                    </a:stretch>
                  </pic:blipFill>
                  <pic:spPr>
                    <a:xfrm>
                      <a:off x="0" y="0"/>
                      <a:ext cx="4134485" cy="2353310"/>
                    </a:xfrm>
                    <a:prstGeom prst="rect">
                      <a:avLst/>
                    </a:prstGeom>
                    <a:ln/>
                  </pic:spPr>
                </pic:pic>
              </a:graphicData>
            </a:graphic>
          </wp:inline>
        </w:drawing>
      </w:r>
    </w:p>
    <w:p w14:paraId="5474062C" w14:textId="4EDE98C6" w:rsidR="00AD5683" w:rsidRDefault="00AD5683" w:rsidP="004E451D">
      <w:pPr>
        <w:spacing w:line="276" w:lineRule="auto"/>
        <w:jc w:val="left"/>
        <w:rPr>
          <w:rFonts w:ascii="Arial" w:eastAsia="Arial" w:hAnsi="Arial" w:cs="Arial"/>
          <w:sz w:val="18"/>
          <w:szCs w:val="18"/>
        </w:rPr>
      </w:pPr>
    </w:p>
    <w:p w14:paraId="021DA30D" w14:textId="77777777" w:rsidR="00AD5683" w:rsidRDefault="00AD5683" w:rsidP="004E451D">
      <w:pPr>
        <w:pBdr>
          <w:top w:val="nil"/>
          <w:left w:val="nil"/>
          <w:bottom w:val="nil"/>
          <w:right w:val="nil"/>
          <w:between w:val="nil"/>
        </w:pBdr>
        <w:spacing w:line="276" w:lineRule="auto"/>
        <w:rPr>
          <w:rFonts w:ascii="Arial" w:eastAsia="Arial" w:hAnsi="Arial" w:cs="Arial"/>
          <w:sz w:val="18"/>
          <w:szCs w:val="18"/>
        </w:rPr>
      </w:pPr>
      <w:r>
        <w:rPr>
          <w:rFonts w:ascii="Arial" w:eastAsia="Arial" w:hAnsi="Arial" w:cs="Arial"/>
          <w:sz w:val="18"/>
          <w:szCs w:val="18"/>
        </w:rPr>
        <w:t>Figure 18 : Lâcher de ballons, nodules lisses bilatéraux de distribution hématogène correspondant à des métastases d’un cancer du rein.</w:t>
      </w:r>
    </w:p>
    <w:p w14:paraId="4604CDC3" w14:textId="77777777" w:rsidR="00AD5683" w:rsidRDefault="00AD5683" w:rsidP="004E451D">
      <w:pPr>
        <w:spacing w:line="276" w:lineRule="auto"/>
        <w:ind w:left="1276" w:hanging="1276"/>
        <w:jc w:val="center"/>
      </w:pPr>
      <w:r>
        <w:rPr>
          <w:noProof/>
        </w:rPr>
        <w:drawing>
          <wp:inline distT="0" distB="0" distL="0" distR="0" wp14:anchorId="3F2DD05D" wp14:editId="5B9F55F4">
            <wp:extent cx="6114415" cy="2830830"/>
            <wp:effectExtent l="0" t="0" r="0" b="0"/>
            <wp:docPr id="1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33"/>
                    <a:srcRect/>
                    <a:stretch>
                      <a:fillRect/>
                    </a:stretch>
                  </pic:blipFill>
                  <pic:spPr>
                    <a:xfrm>
                      <a:off x="0" y="0"/>
                      <a:ext cx="6114415" cy="2830830"/>
                    </a:xfrm>
                    <a:prstGeom prst="rect">
                      <a:avLst/>
                    </a:prstGeom>
                    <a:ln/>
                  </pic:spPr>
                </pic:pic>
              </a:graphicData>
            </a:graphic>
          </wp:inline>
        </w:drawing>
      </w:r>
    </w:p>
    <w:p w14:paraId="415699D8" w14:textId="77777777" w:rsidR="00AD5683" w:rsidRDefault="00AD5683" w:rsidP="004E451D">
      <w:pPr>
        <w:spacing w:line="276" w:lineRule="auto"/>
        <w:ind w:left="1276" w:hanging="1276"/>
      </w:pPr>
    </w:p>
    <w:p w14:paraId="3AFC531E" w14:textId="77777777" w:rsidR="00D0470B" w:rsidRDefault="00D0470B">
      <w:pPr>
        <w:spacing w:after="160"/>
        <w:jc w:val="left"/>
        <w:rPr>
          <w:rFonts w:ascii="Arial" w:eastAsia="Arial" w:hAnsi="Arial" w:cs="Arial"/>
          <w:sz w:val="18"/>
          <w:szCs w:val="18"/>
        </w:rPr>
      </w:pPr>
      <w:r>
        <w:rPr>
          <w:rFonts w:ascii="Arial" w:eastAsia="Arial" w:hAnsi="Arial" w:cs="Arial"/>
          <w:sz w:val="18"/>
          <w:szCs w:val="18"/>
        </w:rPr>
        <w:br w:type="page"/>
      </w:r>
    </w:p>
    <w:p w14:paraId="3258C272" w14:textId="5E1ABAEA" w:rsidR="00AD5683" w:rsidRDefault="00D0470B" w:rsidP="004E451D">
      <w:pPr>
        <w:pBdr>
          <w:top w:val="nil"/>
          <w:left w:val="nil"/>
          <w:bottom w:val="nil"/>
          <w:right w:val="nil"/>
          <w:between w:val="nil"/>
        </w:pBdr>
        <w:spacing w:line="276" w:lineRule="auto"/>
        <w:rPr>
          <w:rFonts w:ascii="Arial" w:eastAsia="Arial" w:hAnsi="Arial" w:cs="Arial"/>
          <w:sz w:val="18"/>
          <w:szCs w:val="18"/>
        </w:rPr>
      </w:pPr>
      <w:r>
        <w:rPr>
          <w:noProof/>
        </w:rPr>
        <w:lastRenderedPageBreak/>
        <w:drawing>
          <wp:anchor distT="0" distB="0" distL="114300" distR="114300" simplePos="0" relativeHeight="251987968" behindDoc="0" locked="0" layoutInCell="1" allowOverlap="1" wp14:anchorId="0AB14723" wp14:editId="42818324">
            <wp:simplePos x="0" y="0"/>
            <wp:positionH relativeFrom="margin">
              <wp:align>right</wp:align>
            </wp:positionH>
            <wp:positionV relativeFrom="paragraph">
              <wp:posOffset>488</wp:posOffset>
            </wp:positionV>
            <wp:extent cx="2848000" cy="2074985"/>
            <wp:effectExtent l="0" t="0" r="0" b="1905"/>
            <wp:wrapSquare wrapText="bothSides"/>
            <wp:docPr id="13"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34">
                      <a:extLst>
                        <a:ext uri="{28A0092B-C50C-407E-A947-70E740481C1C}">
                          <a14:useLocalDpi xmlns:a14="http://schemas.microsoft.com/office/drawing/2010/main" val="0"/>
                        </a:ext>
                      </a:extLst>
                    </a:blip>
                    <a:srcRect/>
                    <a:stretch>
                      <a:fillRect/>
                    </a:stretch>
                  </pic:blipFill>
                  <pic:spPr>
                    <a:xfrm>
                      <a:off x="0" y="0"/>
                      <a:ext cx="2848000" cy="2074985"/>
                    </a:xfrm>
                    <a:prstGeom prst="rect">
                      <a:avLst/>
                    </a:prstGeom>
                    <a:ln/>
                  </pic:spPr>
                </pic:pic>
              </a:graphicData>
            </a:graphic>
          </wp:anchor>
        </w:drawing>
      </w:r>
      <w:r w:rsidR="00AD5683">
        <w:rPr>
          <w:rFonts w:ascii="Arial" w:eastAsia="Arial" w:hAnsi="Arial" w:cs="Arial"/>
          <w:sz w:val="18"/>
          <w:szCs w:val="18"/>
        </w:rPr>
        <w:t xml:space="preserve">Figure 19 : Homme de 66 ans, adénocarcinome bronchique, épaississements des septa interlobulaires réalisant une lymphangite carcinomateuse secondaire. </w:t>
      </w:r>
    </w:p>
    <w:p w14:paraId="303018C2" w14:textId="77777777" w:rsidR="00AD5683" w:rsidRDefault="00AD5683" w:rsidP="004E451D">
      <w:pPr>
        <w:spacing w:line="276" w:lineRule="auto"/>
      </w:pPr>
    </w:p>
    <w:p w14:paraId="403288BE" w14:textId="77777777" w:rsidR="00AD5683" w:rsidRDefault="00AD5683" w:rsidP="004E451D">
      <w:pPr>
        <w:spacing w:line="276" w:lineRule="auto"/>
      </w:pPr>
      <w:r>
        <w:t>Signes fonctionnels respiratoires non spécifiques (quand ils sont présents) :</w:t>
      </w:r>
    </w:p>
    <w:p w14:paraId="6DB4B8B0" w14:textId="77777777" w:rsidR="00AD5683" w:rsidRDefault="00AD5683" w:rsidP="004E451D">
      <w:pPr>
        <w:widowControl w:val="0"/>
        <w:pBdr>
          <w:top w:val="nil"/>
          <w:left w:val="nil"/>
          <w:bottom w:val="nil"/>
          <w:right w:val="nil"/>
          <w:between w:val="nil"/>
        </w:pBdr>
        <w:spacing w:line="276" w:lineRule="auto"/>
      </w:pPr>
      <w:r>
        <w:t>- Dyspnée, toux, douleur thoracique notamment au cours des pleurésies néoplasiques.</w:t>
      </w:r>
    </w:p>
    <w:p w14:paraId="491E25B5" w14:textId="77777777" w:rsidR="00AD5683" w:rsidRDefault="00AD5683" w:rsidP="004E451D">
      <w:pPr>
        <w:spacing w:line="276" w:lineRule="auto"/>
      </w:pPr>
    </w:p>
    <w:p w14:paraId="24996EA4" w14:textId="77777777" w:rsidR="00AD5683" w:rsidRDefault="00AD5683" w:rsidP="004E451D">
      <w:pPr>
        <w:spacing w:line="276" w:lineRule="auto"/>
      </w:pPr>
      <w:r>
        <w:t>Signes généraux de la maladie cancéreuse :</w:t>
      </w:r>
    </w:p>
    <w:p w14:paraId="2D3653E9" w14:textId="77777777" w:rsidR="00AD5683" w:rsidRDefault="00AD5683" w:rsidP="004E451D">
      <w:pPr>
        <w:widowControl w:val="0"/>
        <w:pBdr>
          <w:top w:val="nil"/>
          <w:left w:val="nil"/>
          <w:bottom w:val="nil"/>
          <w:right w:val="nil"/>
          <w:between w:val="nil"/>
        </w:pBdr>
        <w:spacing w:line="276" w:lineRule="auto"/>
      </w:pPr>
      <w:r>
        <w:t>- Leur importance dépend de l’atteinte secondaire pulmonaire mais aussi de l’importance de l’atteinte extra-thoracique.</w:t>
      </w:r>
    </w:p>
    <w:p w14:paraId="183DCC51" w14:textId="77777777" w:rsidR="00AD5683" w:rsidRDefault="00AD5683" w:rsidP="004E451D">
      <w:pPr>
        <w:spacing w:line="276" w:lineRule="auto"/>
      </w:pPr>
    </w:p>
    <w:p w14:paraId="15D3FB85" w14:textId="77777777" w:rsidR="00AD5683" w:rsidRDefault="00AD5683" w:rsidP="004E451D">
      <w:pPr>
        <w:spacing w:line="276" w:lineRule="auto"/>
      </w:pPr>
      <w:r>
        <w:t xml:space="preserve">L’examen clinique est souvent pauvre, il doit systématiquement rechercher des extensions ganglionnaires (axillaires, </w:t>
      </w:r>
      <w:proofErr w:type="spellStart"/>
      <w:r>
        <w:t>sus-claviculaires</w:t>
      </w:r>
      <w:proofErr w:type="spellEnd"/>
      <w:r>
        <w:t>, et cervicales).</w:t>
      </w:r>
    </w:p>
    <w:p w14:paraId="0064EAB9" w14:textId="77777777" w:rsidR="00AD5683" w:rsidRDefault="00AD5683" w:rsidP="004E451D">
      <w:pPr>
        <w:spacing w:line="276" w:lineRule="auto"/>
        <w:rPr>
          <w:b/>
          <w:bCs/>
          <w:smallCaps/>
        </w:rPr>
      </w:pPr>
    </w:p>
    <w:p w14:paraId="3A8D60AC" w14:textId="3794BA69" w:rsidR="00AD5683" w:rsidRDefault="00AD5683">
      <w:pPr>
        <w:pStyle w:val="Titre3"/>
        <w:numPr>
          <w:ilvl w:val="1"/>
          <w:numId w:val="24"/>
        </w:numPr>
        <w:ind w:left="851" w:hanging="425"/>
      </w:pPr>
      <w:r>
        <w:t>Trois situations sont identifiables pour la démarche diagnostique</w:t>
      </w:r>
    </w:p>
    <w:p w14:paraId="393601AC" w14:textId="77777777" w:rsidR="00D0470B" w:rsidRPr="00D0470B" w:rsidRDefault="00D0470B" w:rsidP="00D0470B">
      <w:pPr>
        <w:pStyle w:val="Paragraphedeliste"/>
        <w:numPr>
          <w:ilvl w:val="0"/>
          <w:numId w:val="4"/>
        </w:numPr>
        <w:pBdr>
          <w:top w:val="nil"/>
          <w:left w:val="nil"/>
          <w:bottom w:val="nil"/>
          <w:right w:val="nil"/>
          <w:between w:val="nil"/>
        </w:pBdr>
        <w:spacing w:after="240"/>
        <w:outlineLvl w:val="3"/>
        <w:rPr>
          <w:b/>
          <w:bCs/>
          <w:vanish/>
        </w:rPr>
      </w:pPr>
    </w:p>
    <w:p w14:paraId="39A9B17E" w14:textId="77777777" w:rsidR="00D0470B" w:rsidRPr="00D0470B" w:rsidRDefault="00D0470B" w:rsidP="00D0470B">
      <w:pPr>
        <w:pStyle w:val="Paragraphedeliste"/>
        <w:numPr>
          <w:ilvl w:val="1"/>
          <w:numId w:val="4"/>
        </w:numPr>
        <w:pBdr>
          <w:top w:val="nil"/>
          <w:left w:val="nil"/>
          <w:bottom w:val="nil"/>
          <w:right w:val="nil"/>
          <w:between w:val="nil"/>
        </w:pBdr>
        <w:spacing w:after="240"/>
        <w:outlineLvl w:val="3"/>
        <w:rPr>
          <w:b/>
          <w:bCs/>
          <w:vanish/>
        </w:rPr>
      </w:pPr>
    </w:p>
    <w:p w14:paraId="5CC2796E" w14:textId="7FB89A47" w:rsidR="00AD5683" w:rsidRDefault="00AD5683">
      <w:pPr>
        <w:pStyle w:val="Titre4"/>
        <w:numPr>
          <w:ilvl w:val="2"/>
          <w:numId w:val="24"/>
        </w:numPr>
      </w:pPr>
      <w:r>
        <w:t>Cancer primitif inconnu</w:t>
      </w:r>
    </w:p>
    <w:p w14:paraId="2BB95C1C" w14:textId="77777777" w:rsidR="00AD5683" w:rsidRDefault="00AD5683" w:rsidP="004E451D">
      <w:pPr>
        <w:spacing w:line="276" w:lineRule="auto"/>
      </w:pPr>
      <w:r>
        <w:t>Une enquête étiologique à la recherche du primitif doit être menée :</w:t>
      </w:r>
    </w:p>
    <w:p w14:paraId="010F6E46" w14:textId="77777777" w:rsidR="00AD5683" w:rsidRDefault="00AD5683" w:rsidP="004E451D">
      <w:pPr>
        <w:spacing w:line="276" w:lineRule="auto"/>
      </w:pPr>
      <w:r>
        <w:t>- Examen clinique.</w:t>
      </w:r>
    </w:p>
    <w:p w14:paraId="48062D93" w14:textId="77777777" w:rsidR="00AD5683" w:rsidRDefault="00AD5683" w:rsidP="004E451D">
      <w:pPr>
        <w:spacing w:line="276" w:lineRule="auto"/>
      </w:pPr>
      <w:r>
        <w:t>- Puis réalisation d’explorations complémentaires recherchant un cancer accessible à un traitement spécifique actif (poumon, gonades, thyroïde, sein, endomètre, prostate...).</w:t>
      </w:r>
    </w:p>
    <w:p w14:paraId="300F3872" w14:textId="77777777" w:rsidR="00AD5683" w:rsidRDefault="00AD5683" w:rsidP="004E451D">
      <w:pPr>
        <w:spacing w:line="276" w:lineRule="auto"/>
      </w:pPr>
      <w:r>
        <w:t>- La réalisation d’une TEP-TDM au 18-FDG est recommandée.</w:t>
      </w:r>
    </w:p>
    <w:p w14:paraId="52F53CC3" w14:textId="77777777" w:rsidR="00AD5683" w:rsidRDefault="00AD5683" w:rsidP="004E451D">
      <w:pPr>
        <w:spacing w:line="276" w:lineRule="auto"/>
      </w:pPr>
      <w:r>
        <w:t>Compte tenu de la fréquence des CP il faut évoquer en 1</w:t>
      </w:r>
      <w:r>
        <w:rPr>
          <w:vertAlign w:val="superscript"/>
        </w:rPr>
        <w:t>re</w:t>
      </w:r>
      <w:r>
        <w:t xml:space="preserve"> hypothèse le diagnostic de métastases d’un CP, </w:t>
      </w:r>
      <w:r>
        <w:rPr>
          <w:i/>
          <w:iCs/>
        </w:rPr>
        <w:t>a fortiori</w:t>
      </w:r>
      <w:r>
        <w:t xml:space="preserve"> si le patient est fumeur actif ou sevré.</w:t>
      </w:r>
    </w:p>
    <w:p w14:paraId="2528EC65" w14:textId="77777777" w:rsidR="00AD5683" w:rsidRDefault="00AD5683" w:rsidP="004E451D">
      <w:pPr>
        <w:spacing w:line="276" w:lineRule="auto"/>
      </w:pPr>
    </w:p>
    <w:p w14:paraId="2E019338" w14:textId="77777777" w:rsidR="00AD5683" w:rsidRDefault="00AD5683" w:rsidP="004E451D">
      <w:pPr>
        <w:spacing w:line="276" w:lineRule="auto"/>
      </w:pPr>
      <w:r>
        <w:t>Si l’histologie des lésions pulmonaires est obtenue avant la découverte du primitif, la recherche de celui-ci sera orientée par les données de l’histologie (et des analyses immunohistochimiques et moléculaires).</w:t>
      </w:r>
    </w:p>
    <w:p w14:paraId="0D798B7C" w14:textId="77777777" w:rsidR="00AD5683" w:rsidRDefault="00AD5683" w:rsidP="004E451D">
      <w:pPr>
        <w:spacing w:line="276" w:lineRule="auto"/>
      </w:pPr>
      <w:r>
        <w:t>Il est indispensable de présenter les dossiers de ces patients en RCP, surtout si la recherche d’un primitif s’avère négative.</w:t>
      </w:r>
    </w:p>
    <w:p w14:paraId="0AE8DA1C" w14:textId="77777777" w:rsidR="00AD5683" w:rsidRDefault="00AD5683" w:rsidP="004E451D">
      <w:pPr>
        <w:spacing w:line="276" w:lineRule="auto"/>
        <w:ind w:left="900" w:hanging="900"/>
        <w:rPr>
          <w:b/>
          <w:bCs/>
          <w:smallCaps/>
        </w:rPr>
      </w:pPr>
    </w:p>
    <w:p w14:paraId="22041148" w14:textId="58DFF937" w:rsidR="00AD5683" w:rsidRDefault="00AD5683">
      <w:pPr>
        <w:pStyle w:val="Titre4"/>
        <w:numPr>
          <w:ilvl w:val="2"/>
          <w:numId w:val="24"/>
        </w:numPr>
      </w:pPr>
      <w:r>
        <w:rPr>
          <w:smallCaps/>
        </w:rPr>
        <w:t>C</w:t>
      </w:r>
      <w:r>
        <w:t>ancer primitif connu</w:t>
      </w:r>
    </w:p>
    <w:p w14:paraId="1117B7F9" w14:textId="77777777" w:rsidR="00AD5683" w:rsidRDefault="00AD5683" w:rsidP="004E451D">
      <w:pPr>
        <w:spacing w:line="276" w:lineRule="auto"/>
      </w:pPr>
      <w:r>
        <w:t>La découverte d’anomalies radiologiques caractéristiques (lâcher de ballons, aspect typique de lymphangite carcinomateuse) peut suffire au diagnostic probable de métastases pulmonaires.</w:t>
      </w:r>
    </w:p>
    <w:p w14:paraId="55F98381" w14:textId="77777777" w:rsidR="00AD5683" w:rsidRDefault="00AD5683" w:rsidP="004E451D">
      <w:pPr>
        <w:spacing w:line="276" w:lineRule="auto"/>
      </w:pPr>
      <w:r>
        <w:t>La preuve histologique (par biopsie), non systématique, pourra être exigée par la RCP si une modification significative du plan thérapeutique résulte de cette confirmation diagnostique ou si une modification du phénotype ou du génotype de la tumeur primaire est suspectée.</w:t>
      </w:r>
    </w:p>
    <w:p w14:paraId="6036C09B" w14:textId="77777777" w:rsidR="00AD5683" w:rsidRDefault="00AD5683" w:rsidP="004E451D">
      <w:pPr>
        <w:spacing w:line="276" w:lineRule="auto"/>
        <w:ind w:left="900" w:hanging="900"/>
        <w:rPr>
          <w:b/>
          <w:bCs/>
          <w:smallCaps/>
        </w:rPr>
      </w:pPr>
    </w:p>
    <w:p w14:paraId="2F87E4DC" w14:textId="7868E2F2" w:rsidR="00AD5683" w:rsidRDefault="00AD5683">
      <w:pPr>
        <w:pStyle w:val="Titre4"/>
        <w:numPr>
          <w:ilvl w:val="2"/>
          <w:numId w:val="24"/>
        </w:numPr>
      </w:pPr>
      <w:r>
        <w:rPr>
          <w:smallCaps/>
        </w:rPr>
        <w:t>C</w:t>
      </w:r>
      <w:r>
        <w:t xml:space="preserve">ancer primitif ancien et considéré comme guéri </w:t>
      </w:r>
    </w:p>
    <w:p w14:paraId="0B638AA4" w14:textId="77777777" w:rsidR="00AD5683" w:rsidRDefault="00AD5683" w:rsidP="004E451D">
      <w:pPr>
        <w:pBdr>
          <w:top w:val="nil"/>
          <w:left w:val="nil"/>
          <w:bottom w:val="nil"/>
          <w:right w:val="nil"/>
          <w:between w:val="nil"/>
        </w:pBdr>
        <w:spacing w:line="276" w:lineRule="auto"/>
        <w:ind w:left="-3"/>
      </w:pPr>
      <w:r>
        <w:lastRenderedPageBreak/>
        <w:t>Certaines métastases peuvent survenir plus de 10 ans après le traitement initial du primitif (cancer du sein par exemple).</w:t>
      </w:r>
    </w:p>
    <w:p w14:paraId="04CA6A55" w14:textId="77777777" w:rsidR="00AD5683" w:rsidRDefault="00AD5683" w:rsidP="004E451D">
      <w:pPr>
        <w:pBdr>
          <w:top w:val="nil"/>
          <w:left w:val="nil"/>
          <w:bottom w:val="nil"/>
          <w:right w:val="nil"/>
          <w:between w:val="nil"/>
        </w:pBdr>
        <w:spacing w:line="276" w:lineRule="auto"/>
        <w:ind w:left="-3"/>
      </w:pPr>
      <w:r>
        <w:t>Si l’atteinte pulmonaire est isolée, l'enquête diagnostique doit être complète (prélèvement histologique).</w:t>
      </w:r>
    </w:p>
    <w:p w14:paraId="645DED8F" w14:textId="77777777" w:rsidR="00AD5683" w:rsidRDefault="00AD5683" w:rsidP="004E451D">
      <w:pPr>
        <w:pBdr>
          <w:top w:val="nil"/>
          <w:left w:val="nil"/>
          <w:bottom w:val="nil"/>
          <w:right w:val="nil"/>
          <w:between w:val="nil"/>
        </w:pBdr>
        <w:spacing w:line="276" w:lineRule="auto"/>
        <w:ind w:left="-3"/>
      </w:pPr>
      <w:r>
        <w:t>La possibilité de traitement radical par chirurgie ou par un autre traitement local (radiothérapie stéréotaxique, radiofréquence) des métastases pulmonaires peut être envisagée.</w:t>
      </w:r>
    </w:p>
    <w:p w14:paraId="026F6703" w14:textId="77777777" w:rsidR="00AD5683" w:rsidRDefault="00AD5683" w:rsidP="004E451D">
      <w:pPr>
        <w:spacing w:line="276" w:lineRule="auto"/>
        <w:jc w:val="left"/>
        <w:rPr>
          <w:b/>
          <w:bCs/>
          <w:color w:val="0070C0"/>
        </w:rPr>
      </w:pPr>
      <w:r>
        <w:br w:type="page"/>
      </w:r>
    </w:p>
    <w:p w14:paraId="06CF8C53" w14:textId="77777777" w:rsidR="00AD5683" w:rsidRDefault="00AD5683" w:rsidP="00AD5683">
      <w:pPr>
        <w:rPr>
          <w:b/>
          <w:bCs/>
          <w:color w:val="FF0000"/>
        </w:rPr>
      </w:pPr>
      <w:r>
        <w:rPr>
          <w:b/>
          <w:bCs/>
          <w:color w:val="0070C0"/>
          <w:sz w:val="24"/>
          <w:szCs w:val="24"/>
        </w:rPr>
        <w:lastRenderedPageBreak/>
        <w:t>QUESTIONS TOMBABLES</w:t>
      </w:r>
    </w:p>
    <w:p w14:paraId="63470267" w14:textId="77777777" w:rsidR="00AD5683" w:rsidRDefault="00AD5683" w:rsidP="00AD5683">
      <w:pPr>
        <w:rPr>
          <w:rFonts w:ascii="Arial" w:eastAsia="Arial" w:hAnsi="Arial" w:cs="Arial"/>
          <w:b/>
          <w:bCs/>
          <w:color w:val="3366FF"/>
          <w:sz w:val="22"/>
          <w:szCs w:val="22"/>
        </w:rPr>
      </w:pPr>
    </w:p>
    <w:p w14:paraId="3634075F" w14:textId="77777777" w:rsidR="00AD5683" w:rsidRDefault="00AD5683" w:rsidP="00AD5683">
      <w:pPr>
        <w:spacing w:line="240" w:lineRule="auto"/>
        <w:rPr>
          <w:b/>
          <w:bCs/>
          <w:color w:val="0070C0"/>
        </w:rPr>
      </w:pPr>
      <w:r>
        <w:rPr>
          <w:b/>
          <w:bCs/>
          <w:color w:val="0070C0"/>
        </w:rPr>
        <w:t>DCP</w:t>
      </w:r>
    </w:p>
    <w:p w14:paraId="050B8987" w14:textId="77777777" w:rsidR="00AD5683" w:rsidRDefault="00AD5683" w:rsidP="00AD5683">
      <w:pPr>
        <w:spacing w:line="240" w:lineRule="auto"/>
        <w:rPr>
          <w:b/>
          <w:bCs/>
        </w:rPr>
      </w:pPr>
    </w:p>
    <w:p w14:paraId="26A7B47F" w14:textId="77777777" w:rsidR="00AD5683" w:rsidRDefault="00AD5683">
      <w:pPr>
        <w:numPr>
          <w:ilvl w:val="0"/>
          <w:numId w:val="9"/>
        </w:numPr>
        <w:pBdr>
          <w:top w:val="nil"/>
          <w:left w:val="nil"/>
          <w:bottom w:val="nil"/>
          <w:right w:val="nil"/>
          <w:between w:val="nil"/>
        </w:pBdr>
        <w:spacing w:line="240" w:lineRule="auto"/>
        <w:jc w:val="left"/>
        <w:rPr>
          <w:b/>
          <w:bCs/>
        </w:rPr>
      </w:pPr>
      <w:r>
        <w:rPr>
          <w:b/>
          <w:bCs/>
        </w:rPr>
        <w:t>QRU</w:t>
      </w:r>
    </w:p>
    <w:p w14:paraId="0AC42550" w14:textId="67E54C67" w:rsidR="00AD5683" w:rsidRDefault="00D0470B" w:rsidP="00AD5683">
      <w:pPr>
        <w:spacing w:line="240" w:lineRule="auto"/>
      </w:pPr>
      <w:bookmarkStart w:id="6" w:name="_heading=h.szad8apdlpdf" w:colFirst="0" w:colLast="0"/>
      <w:bookmarkEnd w:id="6"/>
      <w:r>
        <w:rPr>
          <w:noProof/>
        </w:rPr>
        <w:drawing>
          <wp:anchor distT="0" distB="0" distL="114300" distR="114300" simplePos="0" relativeHeight="251979776" behindDoc="0" locked="0" layoutInCell="1" hidden="0" allowOverlap="1" wp14:anchorId="5B93A1CA" wp14:editId="62B0E9AD">
            <wp:simplePos x="0" y="0"/>
            <wp:positionH relativeFrom="margin">
              <wp:align>right</wp:align>
            </wp:positionH>
            <wp:positionV relativeFrom="paragraph">
              <wp:posOffset>12553</wp:posOffset>
            </wp:positionV>
            <wp:extent cx="2576195" cy="2409190"/>
            <wp:effectExtent l="0" t="0" r="0" b="0"/>
            <wp:wrapSquare wrapText="bothSides" distT="0" distB="0" distL="114300" distR="114300"/>
            <wp:docPr id="1"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35"/>
                    <a:srcRect/>
                    <a:stretch>
                      <a:fillRect/>
                    </a:stretch>
                  </pic:blipFill>
                  <pic:spPr>
                    <a:xfrm>
                      <a:off x="0" y="0"/>
                      <a:ext cx="2576195" cy="2409190"/>
                    </a:xfrm>
                    <a:prstGeom prst="rect">
                      <a:avLst/>
                    </a:prstGeom>
                    <a:ln/>
                  </pic:spPr>
                </pic:pic>
              </a:graphicData>
            </a:graphic>
          </wp:anchor>
        </w:drawing>
      </w:r>
      <w:r w:rsidR="00AD5683">
        <w:t xml:space="preserve">Un homme de 72 ans, consulte pour des douleurs scapulaire et cervicales avec décharges électriques irradiant vers le bras droit. Les antalgiques de palier 2 ne calment que très partiellement les symptômes. Vous aviez vu cet homme deux ans plus tôt quand il vous avait sollicité(e) pour une aide au sevrage tabagique car il était essoufflé dès l’ascension d’un étage. Il fumait alors environ un paquet par jour depuis l’âge de 15 ans. Le bilan réalisé à l’époque comportait une radiographie qui concluait « image thoracique normale ». </w:t>
      </w:r>
    </w:p>
    <w:p w14:paraId="21D811E1" w14:textId="77777777" w:rsidR="00AD5683" w:rsidRDefault="00AD5683" w:rsidP="00AD5683">
      <w:pPr>
        <w:spacing w:line="240" w:lineRule="auto"/>
      </w:pPr>
      <w:r>
        <w:t>Sur un cliché de thorax que vous réaliseriez maintenant à ce patient, dans quelle zone une anomalie est-elle le plus susceptible de se trouver ?</w:t>
      </w:r>
    </w:p>
    <w:p w14:paraId="7932B7D5" w14:textId="77777777" w:rsidR="00AD5683" w:rsidRDefault="00AD5683" w:rsidP="00AD5683">
      <w:pPr>
        <w:spacing w:line="240" w:lineRule="auto"/>
        <w:jc w:val="center"/>
      </w:pPr>
    </w:p>
    <w:p w14:paraId="29C35114" w14:textId="77777777" w:rsidR="00AD5683" w:rsidRDefault="00AD5683">
      <w:pPr>
        <w:numPr>
          <w:ilvl w:val="0"/>
          <w:numId w:val="8"/>
        </w:numPr>
        <w:pBdr>
          <w:top w:val="nil"/>
          <w:left w:val="nil"/>
          <w:bottom w:val="nil"/>
          <w:right w:val="nil"/>
          <w:between w:val="nil"/>
        </w:pBdr>
        <w:spacing w:line="240" w:lineRule="auto"/>
        <w:jc w:val="left"/>
      </w:pPr>
      <w:r>
        <w:t>En A</w:t>
      </w:r>
    </w:p>
    <w:p w14:paraId="450A38EB" w14:textId="77777777" w:rsidR="00AD5683" w:rsidRDefault="00AD5683">
      <w:pPr>
        <w:numPr>
          <w:ilvl w:val="0"/>
          <w:numId w:val="8"/>
        </w:numPr>
        <w:pBdr>
          <w:top w:val="nil"/>
          <w:left w:val="nil"/>
          <w:bottom w:val="nil"/>
          <w:right w:val="nil"/>
          <w:between w:val="nil"/>
        </w:pBdr>
        <w:spacing w:line="240" w:lineRule="auto"/>
        <w:jc w:val="left"/>
      </w:pPr>
      <w:r>
        <w:t>En B</w:t>
      </w:r>
    </w:p>
    <w:p w14:paraId="3436623E" w14:textId="77777777" w:rsidR="00AD5683" w:rsidRDefault="00AD5683">
      <w:pPr>
        <w:numPr>
          <w:ilvl w:val="0"/>
          <w:numId w:val="8"/>
        </w:numPr>
        <w:pBdr>
          <w:top w:val="nil"/>
          <w:left w:val="nil"/>
          <w:bottom w:val="nil"/>
          <w:right w:val="nil"/>
          <w:between w:val="nil"/>
        </w:pBdr>
        <w:spacing w:line="240" w:lineRule="auto"/>
        <w:jc w:val="left"/>
      </w:pPr>
      <w:r>
        <w:t>En C</w:t>
      </w:r>
    </w:p>
    <w:p w14:paraId="2563BA51" w14:textId="77777777" w:rsidR="00AD5683" w:rsidRDefault="00AD5683">
      <w:pPr>
        <w:numPr>
          <w:ilvl w:val="0"/>
          <w:numId w:val="8"/>
        </w:numPr>
        <w:pBdr>
          <w:top w:val="nil"/>
          <w:left w:val="nil"/>
          <w:bottom w:val="nil"/>
          <w:right w:val="nil"/>
          <w:between w:val="nil"/>
        </w:pBdr>
        <w:spacing w:line="240" w:lineRule="auto"/>
        <w:jc w:val="left"/>
      </w:pPr>
      <w:r>
        <w:t>En D</w:t>
      </w:r>
    </w:p>
    <w:p w14:paraId="7DEF8E70" w14:textId="77777777" w:rsidR="00AD5683" w:rsidRDefault="00AD5683">
      <w:pPr>
        <w:numPr>
          <w:ilvl w:val="0"/>
          <w:numId w:val="8"/>
        </w:numPr>
        <w:pBdr>
          <w:top w:val="nil"/>
          <w:left w:val="nil"/>
          <w:bottom w:val="nil"/>
          <w:right w:val="nil"/>
          <w:between w:val="nil"/>
        </w:pBdr>
        <w:spacing w:line="240" w:lineRule="auto"/>
        <w:jc w:val="left"/>
      </w:pPr>
      <w:r>
        <w:t>En E</w:t>
      </w:r>
    </w:p>
    <w:p w14:paraId="6A3856CC" w14:textId="77777777" w:rsidR="00AD5683" w:rsidRDefault="00AD5683" w:rsidP="00AD5683">
      <w:pPr>
        <w:pBdr>
          <w:top w:val="nil"/>
          <w:left w:val="nil"/>
          <w:bottom w:val="nil"/>
          <w:right w:val="nil"/>
          <w:between w:val="nil"/>
        </w:pBdr>
        <w:spacing w:line="240" w:lineRule="auto"/>
        <w:ind w:left="720"/>
      </w:pPr>
    </w:p>
    <w:p w14:paraId="0E66B08C" w14:textId="77777777" w:rsidR="00AD5683" w:rsidRDefault="00AD5683" w:rsidP="00AD5683">
      <w:pPr>
        <w:pBdr>
          <w:top w:val="nil"/>
          <w:left w:val="nil"/>
          <w:bottom w:val="nil"/>
          <w:right w:val="nil"/>
          <w:between w:val="nil"/>
        </w:pBdr>
        <w:spacing w:line="240" w:lineRule="auto"/>
        <w:ind w:left="720"/>
      </w:pPr>
    </w:p>
    <w:p w14:paraId="148F9592" w14:textId="77777777" w:rsidR="00AD5683" w:rsidRDefault="00AD5683">
      <w:pPr>
        <w:numPr>
          <w:ilvl w:val="0"/>
          <w:numId w:val="9"/>
        </w:numPr>
        <w:pBdr>
          <w:top w:val="nil"/>
          <w:left w:val="nil"/>
          <w:bottom w:val="nil"/>
          <w:right w:val="nil"/>
          <w:between w:val="nil"/>
        </w:pBdr>
        <w:spacing w:line="240" w:lineRule="auto"/>
        <w:jc w:val="left"/>
        <w:rPr>
          <w:b/>
          <w:bCs/>
        </w:rPr>
      </w:pPr>
      <w:r>
        <w:rPr>
          <w:b/>
          <w:bCs/>
        </w:rPr>
        <w:t>QROC</w:t>
      </w:r>
    </w:p>
    <w:p w14:paraId="6369CA0B" w14:textId="77777777" w:rsidR="00AD5683" w:rsidRDefault="00AD5683" w:rsidP="00AD5683">
      <w:pPr>
        <w:spacing w:line="240" w:lineRule="auto"/>
      </w:pPr>
      <w:r>
        <w:t>Voici son cliché de thorax actuel.</w:t>
      </w:r>
    </w:p>
    <w:p w14:paraId="6C78F730" w14:textId="77777777" w:rsidR="00AD5683" w:rsidRDefault="00AD5683" w:rsidP="00AD5683">
      <w:pPr>
        <w:spacing w:line="240" w:lineRule="auto"/>
        <w:jc w:val="center"/>
      </w:pPr>
      <w:r>
        <w:rPr>
          <w:noProof/>
        </w:rPr>
        <w:drawing>
          <wp:inline distT="0" distB="0" distL="0" distR="0" wp14:anchorId="64E09FB6" wp14:editId="185C014E">
            <wp:extent cx="2401570" cy="2703195"/>
            <wp:effectExtent l="0" t="0" r="0" b="0"/>
            <wp:docPr id="1633887806" name="image13.jpg" descr="Une image contenant flou&#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13.jpg" descr="Une image contenant flou&#10;&#10;Description générée automatiquement"/>
                    <pic:cNvPicPr preferRelativeResize="0"/>
                  </pic:nvPicPr>
                  <pic:blipFill>
                    <a:blip r:embed="rId36"/>
                    <a:srcRect/>
                    <a:stretch>
                      <a:fillRect/>
                    </a:stretch>
                  </pic:blipFill>
                  <pic:spPr>
                    <a:xfrm>
                      <a:off x="0" y="0"/>
                      <a:ext cx="2401570" cy="2703195"/>
                    </a:xfrm>
                    <a:prstGeom prst="rect">
                      <a:avLst/>
                    </a:prstGeom>
                    <a:ln/>
                  </pic:spPr>
                </pic:pic>
              </a:graphicData>
            </a:graphic>
          </wp:inline>
        </w:drawing>
      </w:r>
    </w:p>
    <w:p w14:paraId="77AFDB8E" w14:textId="77777777" w:rsidR="00AD5683" w:rsidRDefault="00AD5683" w:rsidP="00AD5683">
      <w:pPr>
        <w:spacing w:line="240" w:lineRule="auto"/>
      </w:pPr>
    </w:p>
    <w:p w14:paraId="3086BED0" w14:textId="77777777" w:rsidR="00AD5683" w:rsidRDefault="00AD5683" w:rsidP="00AD5683">
      <w:pPr>
        <w:spacing w:line="240" w:lineRule="auto"/>
      </w:pPr>
      <w:r>
        <w:t>Comment l’interprétez-vous ?</w:t>
      </w:r>
    </w:p>
    <w:p w14:paraId="3C52FE84" w14:textId="77777777" w:rsidR="00AD5683" w:rsidRDefault="00AD5683" w:rsidP="00AD5683">
      <w:pPr>
        <w:spacing w:line="240" w:lineRule="auto"/>
      </w:pPr>
    </w:p>
    <w:p w14:paraId="56FAD655" w14:textId="77777777" w:rsidR="00AD5683" w:rsidRDefault="00AD5683">
      <w:pPr>
        <w:numPr>
          <w:ilvl w:val="0"/>
          <w:numId w:val="9"/>
        </w:numPr>
        <w:pBdr>
          <w:top w:val="nil"/>
          <w:left w:val="nil"/>
          <w:bottom w:val="nil"/>
          <w:right w:val="nil"/>
          <w:between w:val="nil"/>
        </w:pBdr>
        <w:spacing w:line="240" w:lineRule="auto"/>
        <w:jc w:val="left"/>
        <w:rPr>
          <w:b/>
          <w:bCs/>
        </w:rPr>
      </w:pPr>
      <w:r>
        <w:rPr>
          <w:b/>
          <w:bCs/>
        </w:rPr>
        <w:t>QROC</w:t>
      </w:r>
    </w:p>
    <w:p w14:paraId="6FFD668C" w14:textId="77777777" w:rsidR="00AD5683" w:rsidRDefault="00AD5683" w:rsidP="00AD5683">
      <w:pPr>
        <w:spacing w:line="240" w:lineRule="auto"/>
      </w:pPr>
      <w:r>
        <w:lastRenderedPageBreak/>
        <w:t>Voici le visage de ce patient.</w:t>
      </w:r>
    </w:p>
    <w:p w14:paraId="675409BC" w14:textId="77777777" w:rsidR="00AD5683" w:rsidRDefault="00AD5683" w:rsidP="00AD5683">
      <w:pPr>
        <w:spacing w:line="240" w:lineRule="auto"/>
      </w:pPr>
      <w:r>
        <w:t>De quel côté se trouve l’anomalie oculaire dans ce contexte ?</w:t>
      </w:r>
    </w:p>
    <w:p w14:paraId="1E065B53" w14:textId="77777777" w:rsidR="00AD5683" w:rsidRDefault="00AD5683" w:rsidP="00AD5683">
      <w:pPr>
        <w:spacing w:line="240" w:lineRule="auto"/>
        <w:jc w:val="center"/>
      </w:pPr>
    </w:p>
    <w:p w14:paraId="74EA3373" w14:textId="77777777" w:rsidR="00AD5683" w:rsidRDefault="00AD5683" w:rsidP="00AD5683">
      <w:pPr>
        <w:spacing w:line="240" w:lineRule="auto"/>
        <w:jc w:val="center"/>
      </w:pPr>
      <w:r>
        <w:rPr>
          <w:noProof/>
        </w:rPr>
        <w:drawing>
          <wp:inline distT="0" distB="0" distL="0" distR="0" wp14:anchorId="1CAACE4D" wp14:editId="5FB925F4">
            <wp:extent cx="2520315" cy="2282190"/>
            <wp:effectExtent l="0" t="0" r="0" b="0"/>
            <wp:docPr id="15" name="image3.jpg" descr="C:\Users\User\Pictures\Image1.jpg"/>
            <wp:cNvGraphicFramePr/>
            <a:graphic xmlns:a="http://schemas.openxmlformats.org/drawingml/2006/main">
              <a:graphicData uri="http://schemas.openxmlformats.org/drawingml/2006/picture">
                <pic:pic xmlns:pic="http://schemas.openxmlformats.org/drawingml/2006/picture">
                  <pic:nvPicPr>
                    <pic:cNvPr id="0" name="image3.jpg" descr="C:\Users\User\Pictures\Image1.jpg"/>
                    <pic:cNvPicPr preferRelativeResize="0"/>
                  </pic:nvPicPr>
                  <pic:blipFill>
                    <a:blip r:embed="rId37"/>
                    <a:srcRect/>
                    <a:stretch>
                      <a:fillRect/>
                    </a:stretch>
                  </pic:blipFill>
                  <pic:spPr>
                    <a:xfrm>
                      <a:off x="0" y="0"/>
                      <a:ext cx="2520315" cy="2282190"/>
                    </a:xfrm>
                    <a:prstGeom prst="rect">
                      <a:avLst/>
                    </a:prstGeom>
                    <a:ln/>
                  </pic:spPr>
                </pic:pic>
              </a:graphicData>
            </a:graphic>
          </wp:inline>
        </w:drawing>
      </w:r>
    </w:p>
    <w:p w14:paraId="57C4BABD" w14:textId="77777777" w:rsidR="00AD5683" w:rsidRDefault="00AD5683" w:rsidP="00AD5683">
      <w:pPr>
        <w:spacing w:line="240" w:lineRule="auto"/>
        <w:jc w:val="center"/>
      </w:pPr>
    </w:p>
    <w:p w14:paraId="313CB728" w14:textId="77777777" w:rsidR="00AD5683" w:rsidRDefault="00AD5683">
      <w:pPr>
        <w:numPr>
          <w:ilvl w:val="0"/>
          <w:numId w:val="9"/>
        </w:numPr>
        <w:pBdr>
          <w:top w:val="nil"/>
          <w:left w:val="nil"/>
          <w:bottom w:val="nil"/>
          <w:right w:val="nil"/>
          <w:between w:val="nil"/>
        </w:pBdr>
        <w:spacing w:line="240" w:lineRule="auto"/>
        <w:jc w:val="left"/>
        <w:rPr>
          <w:b/>
          <w:bCs/>
        </w:rPr>
      </w:pPr>
      <w:r>
        <w:rPr>
          <w:b/>
          <w:bCs/>
        </w:rPr>
        <w:t>QROC</w:t>
      </w:r>
    </w:p>
    <w:p w14:paraId="014B52DA" w14:textId="77777777" w:rsidR="00AD5683" w:rsidRDefault="00AD5683" w:rsidP="00AD5683">
      <w:pPr>
        <w:spacing w:line="240" w:lineRule="auto"/>
      </w:pPr>
      <w:r>
        <w:t>Voici deux coupes du scanner de ce patient.</w:t>
      </w:r>
    </w:p>
    <w:p w14:paraId="41B61617" w14:textId="77777777" w:rsidR="00AD5683" w:rsidRDefault="00AD5683" w:rsidP="00AD5683">
      <w:pPr>
        <w:spacing w:line="240" w:lineRule="auto"/>
        <w:jc w:val="center"/>
      </w:pPr>
      <w:r>
        <w:rPr>
          <w:noProof/>
        </w:rPr>
        <w:drawing>
          <wp:inline distT="0" distB="0" distL="0" distR="0" wp14:anchorId="5CF1F481" wp14:editId="493DE429">
            <wp:extent cx="3450590" cy="3896360"/>
            <wp:effectExtent l="0" t="0" r="0" b="0"/>
            <wp:docPr id="16" name="image5.jpg" descr="Une image contenant texte&#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5.jpg" descr="Une image contenant texte&#10;&#10;Description générée automatiquement"/>
                    <pic:cNvPicPr preferRelativeResize="0"/>
                  </pic:nvPicPr>
                  <pic:blipFill>
                    <a:blip r:embed="rId38"/>
                    <a:srcRect/>
                    <a:stretch>
                      <a:fillRect/>
                    </a:stretch>
                  </pic:blipFill>
                  <pic:spPr>
                    <a:xfrm>
                      <a:off x="0" y="0"/>
                      <a:ext cx="3450590" cy="3896360"/>
                    </a:xfrm>
                    <a:prstGeom prst="rect">
                      <a:avLst/>
                    </a:prstGeom>
                    <a:ln/>
                  </pic:spPr>
                </pic:pic>
              </a:graphicData>
            </a:graphic>
          </wp:inline>
        </w:drawing>
      </w:r>
    </w:p>
    <w:p w14:paraId="017A403C" w14:textId="77777777" w:rsidR="00AD5683" w:rsidRDefault="00AD5683" w:rsidP="00AD5683">
      <w:pPr>
        <w:spacing w:line="240" w:lineRule="auto"/>
      </w:pPr>
      <w:r>
        <w:t>Comment se nomme le syndrome que présente le patient ?</w:t>
      </w:r>
    </w:p>
    <w:p w14:paraId="49FEEE80" w14:textId="77777777" w:rsidR="00AD5683" w:rsidRDefault="00AD5683" w:rsidP="00AD5683">
      <w:pPr>
        <w:spacing w:line="240" w:lineRule="auto"/>
      </w:pPr>
    </w:p>
    <w:p w14:paraId="541080E3" w14:textId="77777777" w:rsidR="00AD5683" w:rsidRDefault="00AD5683" w:rsidP="00AD5683">
      <w:pPr>
        <w:spacing w:line="240" w:lineRule="auto"/>
        <w:rPr>
          <w:b/>
          <w:bCs/>
        </w:rPr>
      </w:pPr>
    </w:p>
    <w:p w14:paraId="182D6859" w14:textId="77777777" w:rsidR="00AD5683" w:rsidRDefault="00AD5683">
      <w:pPr>
        <w:numPr>
          <w:ilvl w:val="0"/>
          <w:numId w:val="9"/>
        </w:numPr>
        <w:pBdr>
          <w:top w:val="nil"/>
          <w:left w:val="nil"/>
          <w:bottom w:val="nil"/>
          <w:right w:val="nil"/>
          <w:between w:val="nil"/>
        </w:pBdr>
        <w:spacing w:line="240" w:lineRule="auto"/>
        <w:jc w:val="left"/>
        <w:rPr>
          <w:b/>
          <w:bCs/>
        </w:rPr>
      </w:pPr>
      <w:r>
        <w:rPr>
          <w:b/>
          <w:bCs/>
        </w:rPr>
        <w:t>QRM</w:t>
      </w:r>
    </w:p>
    <w:p w14:paraId="2108D6AE" w14:textId="77777777" w:rsidR="00AD5683" w:rsidRDefault="00AD5683" w:rsidP="00AD5683">
      <w:pPr>
        <w:spacing w:line="240" w:lineRule="auto"/>
        <w:ind w:right="821"/>
      </w:pPr>
      <w:r>
        <w:lastRenderedPageBreak/>
        <w:t>Quelle(s) structure(s) anatomique(s) est(sont) probablement envahie(s) par cette tumeur de l’apex d’après votre examen oculaire qui, outre le ptosis, retrouve une énophtalmie et un myosis de l’œil droit ?</w:t>
      </w:r>
    </w:p>
    <w:p w14:paraId="6B209B76" w14:textId="77777777" w:rsidR="00AD5683" w:rsidRDefault="00AD5683">
      <w:pPr>
        <w:numPr>
          <w:ilvl w:val="0"/>
          <w:numId w:val="16"/>
        </w:numPr>
        <w:pBdr>
          <w:top w:val="nil"/>
          <w:left w:val="nil"/>
          <w:bottom w:val="nil"/>
          <w:right w:val="nil"/>
          <w:between w:val="nil"/>
        </w:pBdr>
        <w:jc w:val="left"/>
      </w:pPr>
      <w:r>
        <w:t>Fibres nerveuses du système sympathique</w:t>
      </w:r>
    </w:p>
    <w:p w14:paraId="5CF8FE4B" w14:textId="77777777" w:rsidR="00AD5683" w:rsidRDefault="00AD5683">
      <w:pPr>
        <w:numPr>
          <w:ilvl w:val="0"/>
          <w:numId w:val="16"/>
        </w:numPr>
        <w:pBdr>
          <w:top w:val="nil"/>
          <w:left w:val="nil"/>
          <w:bottom w:val="nil"/>
          <w:right w:val="nil"/>
          <w:between w:val="nil"/>
        </w:pBdr>
        <w:jc w:val="left"/>
      </w:pPr>
      <w:r>
        <w:t>Chiasma optique</w:t>
      </w:r>
    </w:p>
    <w:p w14:paraId="574069F9" w14:textId="77777777" w:rsidR="00AD5683" w:rsidRDefault="00AD5683">
      <w:pPr>
        <w:numPr>
          <w:ilvl w:val="0"/>
          <w:numId w:val="16"/>
        </w:numPr>
        <w:pBdr>
          <w:top w:val="nil"/>
          <w:left w:val="nil"/>
          <w:bottom w:val="nil"/>
          <w:right w:val="nil"/>
          <w:between w:val="nil"/>
        </w:pBdr>
        <w:jc w:val="left"/>
      </w:pPr>
      <w:r>
        <w:t>Ganglion stellaire</w:t>
      </w:r>
    </w:p>
    <w:p w14:paraId="5D2E506B" w14:textId="77777777" w:rsidR="00AD5683" w:rsidRDefault="00AD5683">
      <w:pPr>
        <w:numPr>
          <w:ilvl w:val="0"/>
          <w:numId w:val="16"/>
        </w:numPr>
        <w:pBdr>
          <w:top w:val="nil"/>
          <w:left w:val="nil"/>
          <w:bottom w:val="nil"/>
          <w:right w:val="nil"/>
          <w:between w:val="nil"/>
        </w:pBdr>
        <w:jc w:val="left"/>
      </w:pPr>
      <w:r>
        <w:t>Veine cave supérieure</w:t>
      </w:r>
    </w:p>
    <w:p w14:paraId="54D00657" w14:textId="77777777" w:rsidR="00AD5683" w:rsidRDefault="00AD5683">
      <w:pPr>
        <w:numPr>
          <w:ilvl w:val="0"/>
          <w:numId w:val="16"/>
        </w:numPr>
        <w:pBdr>
          <w:top w:val="nil"/>
          <w:left w:val="nil"/>
          <w:bottom w:val="nil"/>
          <w:right w:val="nil"/>
          <w:between w:val="nil"/>
        </w:pBdr>
        <w:jc w:val="left"/>
      </w:pPr>
      <w:r>
        <w:t>Carotide</w:t>
      </w:r>
    </w:p>
    <w:p w14:paraId="4B901FE8" w14:textId="77777777" w:rsidR="00AD5683" w:rsidRDefault="00AD5683" w:rsidP="00AD5683">
      <w:pPr>
        <w:spacing w:line="240" w:lineRule="auto"/>
        <w:rPr>
          <w:b/>
          <w:bCs/>
        </w:rPr>
      </w:pPr>
    </w:p>
    <w:p w14:paraId="7324DB20" w14:textId="5DD8E83B" w:rsidR="00AD5683" w:rsidRDefault="00AD5683">
      <w:pPr>
        <w:numPr>
          <w:ilvl w:val="0"/>
          <w:numId w:val="9"/>
        </w:numPr>
        <w:pBdr>
          <w:top w:val="nil"/>
          <w:left w:val="nil"/>
          <w:bottom w:val="nil"/>
          <w:right w:val="nil"/>
          <w:between w:val="nil"/>
        </w:pBdr>
        <w:spacing w:line="240" w:lineRule="auto"/>
        <w:jc w:val="left"/>
        <w:rPr>
          <w:b/>
          <w:bCs/>
        </w:rPr>
      </w:pPr>
      <w:r>
        <w:rPr>
          <w:b/>
          <w:bCs/>
        </w:rPr>
        <w:t>QRM</w:t>
      </w:r>
    </w:p>
    <w:p w14:paraId="67F73E47" w14:textId="640B5621" w:rsidR="00AD5683" w:rsidRDefault="00D0470B" w:rsidP="00AD5683">
      <w:pPr>
        <w:spacing w:line="240" w:lineRule="auto"/>
      </w:pPr>
      <w:r>
        <w:rPr>
          <w:noProof/>
        </w:rPr>
        <w:drawing>
          <wp:anchor distT="0" distB="0" distL="114300" distR="114300" simplePos="0" relativeHeight="251988992" behindDoc="0" locked="0" layoutInCell="1" allowOverlap="1" wp14:anchorId="6666D6ED" wp14:editId="64A8E4D6">
            <wp:simplePos x="0" y="0"/>
            <wp:positionH relativeFrom="column">
              <wp:posOffset>2557145</wp:posOffset>
            </wp:positionH>
            <wp:positionV relativeFrom="paragraph">
              <wp:posOffset>9525</wp:posOffset>
            </wp:positionV>
            <wp:extent cx="3172460" cy="2830830"/>
            <wp:effectExtent l="0" t="0" r="8890" b="7620"/>
            <wp:wrapSquare wrapText="bothSides"/>
            <wp:docPr id="17" name="image7.png" descr="G:\NICE ENSEIGNEMENT\FACULTE DE MEDECINE\ECN préparation\G4 iECN 2016\QI NICOIS\cote fantome.jpg"/>
            <wp:cNvGraphicFramePr/>
            <a:graphic xmlns:a="http://schemas.openxmlformats.org/drawingml/2006/main">
              <a:graphicData uri="http://schemas.openxmlformats.org/drawingml/2006/picture">
                <pic:pic xmlns:pic="http://schemas.openxmlformats.org/drawingml/2006/picture">
                  <pic:nvPicPr>
                    <pic:cNvPr id="0" name="image7.png" descr="G:\NICE ENSEIGNEMENT\FACULTE DE MEDECINE\ECN préparation\G4 iECN 2016\QI NICOIS\cote fantome.jpg"/>
                    <pic:cNvPicPr preferRelativeResize="0"/>
                  </pic:nvPicPr>
                  <pic:blipFill>
                    <a:blip r:embed="rId39">
                      <a:extLst>
                        <a:ext uri="{28A0092B-C50C-407E-A947-70E740481C1C}">
                          <a14:useLocalDpi xmlns:a14="http://schemas.microsoft.com/office/drawing/2010/main" val="0"/>
                        </a:ext>
                      </a:extLst>
                    </a:blip>
                    <a:srcRect/>
                    <a:stretch>
                      <a:fillRect/>
                    </a:stretch>
                  </pic:blipFill>
                  <pic:spPr>
                    <a:xfrm>
                      <a:off x="0" y="0"/>
                      <a:ext cx="3172460" cy="2830830"/>
                    </a:xfrm>
                    <a:prstGeom prst="rect">
                      <a:avLst/>
                    </a:prstGeom>
                    <a:ln/>
                  </pic:spPr>
                </pic:pic>
              </a:graphicData>
            </a:graphic>
          </wp:anchor>
        </w:drawing>
      </w:r>
      <w:r w:rsidR="00AD5683">
        <w:t xml:space="preserve">Un homme de 55 ans ex-fumeur, au tabagisme chiffré à 30 PA, consulte pour douleurs thoraciques pariétales droites, majorées à l’inspiration et à la toux et ne répondant pas aux antalgiques usuels. Il vous signale aussi une toux inhabituelle ainsi qu’une dysphonie (voix bitonale). </w:t>
      </w:r>
      <w:r>
        <w:t>À l’examen</w:t>
      </w:r>
      <w:r w:rsidR="00AD5683">
        <w:t xml:space="preserve"> clinique, la pression costale appuyée, à 5 travers de doigts du rachis et à deux travers de doigts sous la pointe de l’omoplate droite réveille une douleur exquise.</w:t>
      </w:r>
    </w:p>
    <w:p w14:paraId="131D1A1D" w14:textId="6542DC1F" w:rsidR="00AD5683" w:rsidRDefault="00AD5683" w:rsidP="00AD5683">
      <w:pPr>
        <w:spacing w:line="240" w:lineRule="auto"/>
      </w:pPr>
      <w:r>
        <w:t>Voici son cliché de thorax :</w:t>
      </w:r>
    </w:p>
    <w:p w14:paraId="5E7F88B9" w14:textId="77777777" w:rsidR="00AD5683" w:rsidRDefault="00AD5683" w:rsidP="00AD5683">
      <w:pPr>
        <w:spacing w:line="240" w:lineRule="auto"/>
      </w:pPr>
    </w:p>
    <w:p w14:paraId="5488DA98" w14:textId="77777777" w:rsidR="00AD5683" w:rsidRDefault="00AD5683" w:rsidP="00D0470B">
      <w:pPr>
        <w:spacing w:line="240" w:lineRule="auto"/>
      </w:pPr>
    </w:p>
    <w:p w14:paraId="2136D6A8" w14:textId="77777777" w:rsidR="00AD5683" w:rsidRDefault="00AD5683" w:rsidP="00AD5683">
      <w:pPr>
        <w:spacing w:line="240" w:lineRule="auto"/>
      </w:pPr>
      <w:r>
        <w:t>Chacun des cadres suivants présente une stratégie d’investigation. Laquelle (lesquelles) est(sont) appropriée(s) au cas de ce patient ?</w:t>
      </w:r>
    </w:p>
    <w:p w14:paraId="4FD5B1EA" w14:textId="77777777" w:rsidR="00AD5683" w:rsidRDefault="00AD5683" w:rsidP="00AD5683">
      <w:pPr>
        <w:spacing w:line="240" w:lineRule="auto"/>
      </w:pPr>
    </w:p>
    <w:tbl>
      <w:tblPr>
        <w:tblW w:w="9067" w:type="dxa"/>
        <w:jc w:val="center"/>
        <w:tblBorders>
          <w:top w:val="single" w:sz="2" w:space="0" w:color="747474" w:themeColor="background2" w:themeShade="80"/>
          <w:left w:val="single" w:sz="2" w:space="0" w:color="747474" w:themeColor="background2" w:themeShade="80"/>
          <w:bottom w:val="single" w:sz="2" w:space="0" w:color="747474" w:themeColor="background2" w:themeShade="80"/>
          <w:right w:val="single" w:sz="2" w:space="0" w:color="747474" w:themeColor="background2" w:themeShade="80"/>
          <w:insideH w:val="single" w:sz="2" w:space="0" w:color="747474" w:themeColor="background2" w:themeShade="80"/>
          <w:insideV w:val="single" w:sz="2" w:space="0" w:color="747474" w:themeColor="background2" w:themeShade="80"/>
        </w:tblBorders>
        <w:tblLayout w:type="fixed"/>
        <w:tblLook w:val="0400" w:firstRow="0" w:lastRow="0" w:firstColumn="0" w:lastColumn="0" w:noHBand="0" w:noVBand="1"/>
      </w:tblPr>
      <w:tblGrid>
        <w:gridCol w:w="2266"/>
        <w:gridCol w:w="2267"/>
        <w:gridCol w:w="2267"/>
        <w:gridCol w:w="2267"/>
      </w:tblGrid>
      <w:tr w:rsidR="00AD5683" w14:paraId="2458DC20" w14:textId="77777777" w:rsidTr="00AD5683">
        <w:trPr>
          <w:jc w:val="center"/>
        </w:trPr>
        <w:tc>
          <w:tcPr>
            <w:tcW w:w="2266" w:type="dxa"/>
            <w:shd w:val="clear" w:color="auto" w:fill="D1D1D1" w:themeFill="background2" w:themeFillShade="E6"/>
            <w:vAlign w:val="center"/>
          </w:tcPr>
          <w:p w14:paraId="54173167" w14:textId="77777777" w:rsidR="00AD5683" w:rsidRPr="00AD5683" w:rsidRDefault="00AD5683" w:rsidP="0094705B">
            <w:pPr>
              <w:spacing w:line="240" w:lineRule="auto"/>
              <w:jc w:val="center"/>
              <w:rPr>
                <w:b/>
                <w:bCs/>
                <w:color w:val="000000" w:themeColor="text1"/>
              </w:rPr>
            </w:pPr>
            <w:bookmarkStart w:id="7" w:name="_heading=h.r8m2x3kad1ce" w:colFirst="0" w:colLast="0"/>
            <w:bookmarkEnd w:id="7"/>
            <w:r w:rsidRPr="00AD5683">
              <w:rPr>
                <w:b/>
                <w:bCs/>
                <w:color w:val="000000" w:themeColor="text1"/>
              </w:rPr>
              <w:t>Séquence A</w:t>
            </w:r>
          </w:p>
        </w:tc>
        <w:tc>
          <w:tcPr>
            <w:tcW w:w="2267" w:type="dxa"/>
            <w:shd w:val="clear" w:color="auto" w:fill="D1D1D1" w:themeFill="background2" w:themeFillShade="E6"/>
            <w:vAlign w:val="center"/>
          </w:tcPr>
          <w:p w14:paraId="18CF1CA1" w14:textId="77777777" w:rsidR="00AD5683" w:rsidRPr="00AD5683" w:rsidRDefault="00AD5683" w:rsidP="0094705B">
            <w:pPr>
              <w:spacing w:line="240" w:lineRule="auto"/>
              <w:jc w:val="center"/>
              <w:rPr>
                <w:b/>
                <w:bCs/>
                <w:color w:val="000000" w:themeColor="text1"/>
              </w:rPr>
            </w:pPr>
            <w:r w:rsidRPr="00AD5683">
              <w:rPr>
                <w:b/>
                <w:bCs/>
                <w:color w:val="000000" w:themeColor="text1"/>
              </w:rPr>
              <w:t>Séquence B</w:t>
            </w:r>
          </w:p>
        </w:tc>
        <w:tc>
          <w:tcPr>
            <w:tcW w:w="2267" w:type="dxa"/>
            <w:shd w:val="clear" w:color="auto" w:fill="D1D1D1" w:themeFill="background2" w:themeFillShade="E6"/>
            <w:vAlign w:val="center"/>
          </w:tcPr>
          <w:p w14:paraId="5C8A08A7" w14:textId="77777777" w:rsidR="00AD5683" w:rsidRPr="00AD5683" w:rsidRDefault="00AD5683" w:rsidP="0094705B">
            <w:pPr>
              <w:spacing w:line="240" w:lineRule="auto"/>
              <w:jc w:val="center"/>
              <w:rPr>
                <w:b/>
                <w:bCs/>
                <w:color w:val="000000" w:themeColor="text1"/>
              </w:rPr>
            </w:pPr>
            <w:r w:rsidRPr="00AD5683">
              <w:rPr>
                <w:b/>
                <w:bCs/>
                <w:color w:val="000000" w:themeColor="text1"/>
              </w:rPr>
              <w:t>Séquence C</w:t>
            </w:r>
          </w:p>
        </w:tc>
        <w:tc>
          <w:tcPr>
            <w:tcW w:w="2267" w:type="dxa"/>
            <w:shd w:val="clear" w:color="auto" w:fill="D1D1D1" w:themeFill="background2" w:themeFillShade="E6"/>
            <w:vAlign w:val="center"/>
          </w:tcPr>
          <w:p w14:paraId="367AE967" w14:textId="77777777" w:rsidR="00AD5683" w:rsidRPr="00AD5683" w:rsidRDefault="00AD5683" w:rsidP="0094705B">
            <w:pPr>
              <w:spacing w:line="240" w:lineRule="auto"/>
              <w:jc w:val="center"/>
              <w:rPr>
                <w:b/>
                <w:bCs/>
                <w:color w:val="000000" w:themeColor="text1"/>
              </w:rPr>
            </w:pPr>
            <w:r w:rsidRPr="00AD5683">
              <w:rPr>
                <w:b/>
                <w:bCs/>
                <w:color w:val="000000" w:themeColor="text1"/>
              </w:rPr>
              <w:t>Séquence D</w:t>
            </w:r>
          </w:p>
        </w:tc>
      </w:tr>
      <w:tr w:rsidR="00AD5683" w14:paraId="16ED88D3" w14:textId="77777777" w:rsidTr="00AD5683">
        <w:trPr>
          <w:jc w:val="center"/>
        </w:trPr>
        <w:tc>
          <w:tcPr>
            <w:tcW w:w="2266" w:type="dxa"/>
            <w:vAlign w:val="center"/>
          </w:tcPr>
          <w:p w14:paraId="00018AF3" w14:textId="77777777" w:rsidR="00AD5683" w:rsidRDefault="00AD5683" w:rsidP="0094705B">
            <w:pPr>
              <w:spacing w:line="240" w:lineRule="auto"/>
              <w:jc w:val="center"/>
            </w:pPr>
            <w:r>
              <w:t>Scanner thoracique avec coupes passant par les surrénales et le foie</w:t>
            </w:r>
          </w:p>
        </w:tc>
        <w:tc>
          <w:tcPr>
            <w:tcW w:w="2267" w:type="dxa"/>
            <w:vAlign w:val="center"/>
          </w:tcPr>
          <w:p w14:paraId="563C3F27" w14:textId="77777777" w:rsidR="00AD5683" w:rsidRDefault="00AD5683" w:rsidP="0094705B">
            <w:pPr>
              <w:spacing w:line="240" w:lineRule="auto"/>
              <w:jc w:val="center"/>
            </w:pPr>
            <w:r>
              <w:t>Bronchoscopie souple + biopsies</w:t>
            </w:r>
          </w:p>
        </w:tc>
        <w:tc>
          <w:tcPr>
            <w:tcW w:w="2267" w:type="dxa"/>
            <w:vAlign w:val="center"/>
          </w:tcPr>
          <w:p w14:paraId="604FA1D2" w14:textId="77777777" w:rsidR="00AD5683" w:rsidRDefault="00AD5683" w:rsidP="0094705B">
            <w:pPr>
              <w:spacing w:line="240" w:lineRule="auto"/>
              <w:jc w:val="center"/>
            </w:pPr>
            <w:r>
              <w:t>Scanner thoracique avec coupes passant par les surrénales et le foie</w:t>
            </w:r>
          </w:p>
        </w:tc>
        <w:tc>
          <w:tcPr>
            <w:tcW w:w="2267" w:type="dxa"/>
            <w:vAlign w:val="center"/>
          </w:tcPr>
          <w:p w14:paraId="69FFD725" w14:textId="77777777" w:rsidR="00AD5683" w:rsidRDefault="00AD5683" w:rsidP="0094705B">
            <w:pPr>
              <w:spacing w:line="240" w:lineRule="auto"/>
              <w:jc w:val="center"/>
            </w:pPr>
            <w:r>
              <w:t>Bronchoscopie souple + biopsies</w:t>
            </w:r>
          </w:p>
        </w:tc>
      </w:tr>
      <w:tr w:rsidR="00AD5683" w14:paraId="37EA62FF" w14:textId="77777777" w:rsidTr="00AD5683">
        <w:trPr>
          <w:jc w:val="center"/>
        </w:trPr>
        <w:tc>
          <w:tcPr>
            <w:tcW w:w="2266" w:type="dxa"/>
            <w:vAlign w:val="center"/>
          </w:tcPr>
          <w:p w14:paraId="31A6CD16" w14:textId="77777777" w:rsidR="00AD5683" w:rsidRDefault="00AD5683" w:rsidP="0094705B">
            <w:pPr>
              <w:spacing w:line="240" w:lineRule="auto"/>
              <w:jc w:val="center"/>
            </w:pPr>
            <w:r>
              <w:t>Bronchoscopie souple + biopsies</w:t>
            </w:r>
          </w:p>
        </w:tc>
        <w:tc>
          <w:tcPr>
            <w:tcW w:w="2267" w:type="dxa"/>
            <w:vAlign w:val="center"/>
          </w:tcPr>
          <w:p w14:paraId="671694F0" w14:textId="77777777" w:rsidR="00AD5683" w:rsidRDefault="00AD5683" w:rsidP="0094705B">
            <w:pPr>
              <w:spacing w:line="240" w:lineRule="auto"/>
              <w:jc w:val="center"/>
            </w:pPr>
            <w:r>
              <w:t>Scanner thoracique avec coupes passant par les surrénales et le foie</w:t>
            </w:r>
          </w:p>
        </w:tc>
        <w:tc>
          <w:tcPr>
            <w:tcW w:w="2267" w:type="dxa"/>
            <w:vAlign w:val="center"/>
          </w:tcPr>
          <w:p w14:paraId="685CB41F" w14:textId="77777777" w:rsidR="00AD5683" w:rsidRDefault="00AD5683" w:rsidP="0094705B">
            <w:pPr>
              <w:spacing w:line="240" w:lineRule="auto"/>
              <w:jc w:val="center"/>
            </w:pPr>
            <w:r>
              <w:t>Bronchoscopie souple + biopsies</w:t>
            </w:r>
          </w:p>
        </w:tc>
        <w:tc>
          <w:tcPr>
            <w:tcW w:w="2267" w:type="dxa"/>
            <w:vAlign w:val="center"/>
          </w:tcPr>
          <w:p w14:paraId="4776E98B" w14:textId="77777777" w:rsidR="00AD5683" w:rsidRDefault="00AD5683" w:rsidP="0094705B">
            <w:pPr>
              <w:spacing w:line="240" w:lineRule="auto"/>
              <w:jc w:val="center"/>
            </w:pPr>
            <w:r>
              <w:t>Scanner thoracique avec coupes passant par les surrénales et le foie</w:t>
            </w:r>
          </w:p>
        </w:tc>
      </w:tr>
      <w:tr w:rsidR="00AD5683" w14:paraId="4C6EE311" w14:textId="77777777" w:rsidTr="00AD5683">
        <w:trPr>
          <w:jc w:val="center"/>
        </w:trPr>
        <w:tc>
          <w:tcPr>
            <w:tcW w:w="2266" w:type="dxa"/>
            <w:vAlign w:val="center"/>
          </w:tcPr>
          <w:p w14:paraId="35E4A0E3" w14:textId="77777777" w:rsidR="00AD5683" w:rsidRDefault="00AD5683" w:rsidP="0094705B">
            <w:pPr>
              <w:spacing w:line="240" w:lineRule="auto"/>
              <w:jc w:val="center"/>
            </w:pPr>
            <w:r>
              <w:t>Scanner cérébral injecté</w:t>
            </w:r>
          </w:p>
        </w:tc>
        <w:tc>
          <w:tcPr>
            <w:tcW w:w="2267" w:type="dxa"/>
            <w:vAlign w:val="center"/>
          </w:tcPr>
          <w:p w14:paraId="1EFCEC8C" w14:textId="77777777" w:rsidR="00AD5683" w:rsidRDefault="00AD5683" w:rsidP="0094705B">
            <w:pPr>
              <w:spacing w:line="240" w:lineRule="auto"/>
              <w:jc w:val="center"/>
            </w:pPr>
            <w:r>
              <w:t>Vidéo-écho-endoscopie si la bronchoscopie souple n’a pas permis d’obtenir le diagnostic histologique</w:t>
            </w:r>
          </w:p>
        </w:tc>
        <w:tc>
          <w:tcPr>
            <w:tcW w:w="2267" w:type="dxa"/>
            <w:vAlign w:val="center"/>
          </w:tcPr>
          <w:p w14:paraId="680B86A8" w14:textId="77777777" w:rsidR="00AD5683" w:rsidRDefault="00AD5683" w:rsidP="0094705B">
            <w:pPr>
              <w:spacing w:line="240" w:lineRule="auto"/>
              <w:jc w:val="center"/>
            </w:pPr>
            <w:r>
              <w:t>IRM cérébrale</w:t>
            </w:r>
          </w:p>
        </w:tc>
        <w:tc>
          <w:tcPr>
            <w:tcW w:w="2267" w:type="dxa"/>
            <w:vAlign w:val="center"/>
          </w:tcPr>
          <w:p w14:paraId="1D39C608" w14:textId="77777777" w:rsidR="00AD5683" w:rsidRDefault="00AD5683" w:rsidP="0094705B">
            <w:pPr>
              <w:spacing w:line="240" w:lineRule="auto"/>
              <w:jc w:val="center"/>
            </w:pPr>
            <w:r>
              <w:t>Scanner cérébral</w:t>
            </w:r>
          </w:p>
        </w:tc>
      </w:tr>
      <w:tr w:rsidR="00AD5683" w14:paraId="2ED5C565" w14:textId="77777777" w:rsidTr="00AD5683">
        <w:trPr>
          <w:jc w:val="center"/>
        </w:trPr>
        <w:tc>
          <w:tcPr>
            <w:tcW w:w="2266" w:type="dxa"/>
            <w:vAlign w:val="center"/>
          </w:tcPr>
          <w:p w14:paraId="5509EBED" w14:textId="77777777" w:rsidR="00AD5683" w:rsidRDefault="00AD5683" w:rsidP="0094705B">
            <w:pPr>
              <w:spacing w:line="240" w:lineRule="auto"/>
              <w:jc w:val="center"/>
            </w:pPr>
            <w:r>
              <w:t>TEP-TDM au 18 FDG</w:t>
            </w:r>
          </w:p>
        </w:tc>
        <w:tc>
          <w:tcPr>
            <w:tcW w:w="2267" w:type="dxa"/>
            <w:vAlign w:val="center"/>
          </w:tcPr>
          <w:p w14:paraId="78ACBA63" w14:textId="77777777" w:rsidR="00AD5683" w:rsidRDefault="00AD5683" w:rsidP="0094705B">
            <w:pPr>
              <w:spacing w:line="240" w:lineRule="auto"/>
              <w:jc w:val="center"/>
            </w:pPr>
            <w:r>
              <w:t>IRM cérébrale</w:t>
            </w:r>
          </w:p>
        </w:tc>
        <w:tc>
          <w:tcPr>
            <w:tcW w:w="2267" w:type="dxa"/>
            <w:vAlign w:val="center"/>
          </w:tcPr>
          <w:p w14:paraId="15775942" w14:textId="77777777" w:rsidR="00AD5683" w:rsidRDefault="00AD5683" w:rsidP="0094705B">
            <w:pPr>
              <w:spacing w:line="240" w:lineRule="auto"/>
              <w:jc w:val="center"/>
            </w:pPr>
            <w:r>
              <w:t>TEP-TDM au 18 FDG</w:t>
            </w:r>
          </w:p>
        </w:tc>
        <w:tc>
          <w:tcPr>
            <w:tcW w:w="2267" w:type="dxa"/>
            <w:vAlign w:val="center"/>
          </w:tcPr>
          <w:p w14:paraId="1EA80508" w14:textId="77777777" w:rsidR="00AD5683" w:rsidRDefault="00AD5683" w:rsidP="0094705B">
            <w:pPr>
              <w:spacing w:line="240" w:lineRule="auto"/>
              <w:jc w:val="center"/>
            </w:pPr>
            <w:r>
              <w:t>TEP-TDM au 18 FDG</w:t>
            </w:r>
          </w:p>
        </w:tc>
      </w:tr>
      <w:tr w:rsidR="00AD5683" w14:paraId="1531923D" w14:textId="77777777" w:rsidTr="00AD5683">
        <w:trPr>
          <w:jc w:val="center"/>
        </w:trPr>
        <w:tc>
          <w:tcPr>
            <w:tcW w:w="2266" w:type="dxa"/>
            <w:vAlign w:val="center"/>
          </w:tcPr>
          <w:p w14:paraId="5A028417" w14:textId="77777777" w:rsidR="00AD5683" w:rsidRDefault="00AD5683" w:rsidP="0094705B">
            <w:pPr>
              <w:spacing w:line="240" w:lineRule="auto"/>
              <w:jc w:val="center"/>
            </w:pPr>
            <w:r>
              <w:t>Recherche de l’expression de PD-L1 sur les biopsies et analyse moléculaire</w:t>
            </w:r>
          </w:p>
        </w:tc>
        <w:tc>
          <w:tcPr>
            <w:tcW w:w="2267" w:type="dxa"/>
            <w:vAlign w:val="center"/>
          </w:tcPr>
          <w:p w14:paraId="2D923C60" w14:textId="77777777" w:rsidR="00AD5683" w:rsidRDefault="00AD5683" w:rsidP="0094705B">
            <w:pPr>
              <w:spacing w:line="240" w:lineRule="auto"/>
              <w:jc w:val="center"/>
            </w:pPr>
            <w:r>
              <w:t>TEP-TDM au 18 FDG</w:t>
            </w:r>
          </w:p>
        </w:tc>
        <w:tc>
          <w:tcPr>
            <w:tcW w:w="2267" w:type="dxa"/>
            <w:vAlign w:val="center"/>
          </w:tcPr>
          <w:p w14:paraId="5E22F66E" w14:textId="77777777" w:rsidR="00AD5683" w:rsidRDefault="00AD5683" w:rsidP="0094705B">
            <w:pPr>
              <w:spacing w:line="240" w:lineRule="auto"/>
              <w:jc w:val="center"/>
            </w:pPr>
            <w:r>
              <w:t xml:space="preserve">Explorations fonctionnelles respiratoires et bilan cardiaque à visée </w:t>
            </w:r>
            <w:proofErr w:type="spellStart"/>
            <w:r>
              <w:t>pré-opératoire</w:t>
            </w:r>
            <w:proofErr w:type="spellEnd"/>
          </w:p>
        </w:tc>
        <w:tc>
          <w:tcPr>
            <w:tcW w:w="2267" w:type="dxa"/>
            <w:vAlign w:val="center"/>
          </w:tcPr>
          <w:p w14:paraId="7E54C5B4" w14:textId="77777777" w:rsidR="00AD5683" w:rsidRDefault="00AD5683" w:rsidP="0094705B">
            <w:pPr>
              <w:spacing w:line="240" w:lineRule="auto"/>
              <w:jc w:val="center"/>
            </w:pPr>
            <w:r>
              <w:t xml:space="preserve">Explorations fonctionnelles respiratoires et bilan cardiaque à visée </w:t>
            </w:r>
            <w:proofErr w:type="spellStart"/>
            <w:r>
              <w:t>pré-opératoire</w:t>
            </w:r>
            <w:proofErr w:type="spellEnd"/>
          </w:p>
        </w:tc>
      </w:tr>
      <w:tr w:rsidR="00AD5683" w14:paraId="71E7E3BF" w14:textId="77777777" w:rsidTr="00AD5683">
        <w:trPr>
          <w:jc w:val="center"/>
        </w:trPr>
        <w:tc>
          <w:tcPr>
            <w:tcW w:w="2266" w:type="dxa"/>
            <w:vAlign w:val="center"/>
          </w:tcPr>
          <w:p w14:paraId="29C3EDC7" w14:textId="77777777" w:rsidR="00AD5683" w:rsidRDefault="00AD5683" w:rsidP="0094705B">
            <w:pPr>
              <w:spacing w:line="240" w:lineRule="auto"/>
              <w:jc w:val="center"/>
            </w:pPr>
          </w:p>
        </w:tc>
        <w:tc>
          <w:tcPr>
            <w:tcW w:w="2267" w:type="dxa"/>
            <w:vAlign w:val="center"/>
          </w:tcPr>
          <w:p w14:paraId="0E620F25" w14:textId="3826625D" w:rsidR="00AD5683" w:rsidRDefault="00AD5683" w:rsidP="00434284">
            <w:pPr>
              <w:spacing w:line="240" w:lineRule="auto"/>
              <w:jc w:val="center"/>
            </w:pPr>
            <w:r>
              <w:t>Recherche de l’expression de PD-L1 sur les biopsies</w:t>
            </w:r>
            <w:r w:rsidR="00434284">
              <w:t xml:space="preserve"> </w:t>
            </w:r>
            <w:r>
              <w:t>et analyse moléculaire</w:t>
            </w:r>
          </w:p>
        </w:tc>
        <w:tc>
          <w:tcPr>
            <w:tcW w:w="2267" w:type="dxa"/>
            <w:vAlign w:val="center"/>
          </w:tcPr>
          <w:p w14:paraId="62EBBCA1" w14:textId="77777777" w:rsidR="00AD5683" w:rsidRDefault="00AD5683" w:rsidP="0094705B">
            <w:pPr>
              <w:spacing w:line="240" w:lineRule="auto"/>
              <w:jc w:val="center"/>
            </w:pPr>
          </w:p>
        </w:tc>
        <w:tc>
          <w:tcPr>
            <w:tcW w:w="2267" w:type="dxa"/>
            <w:vAlign w:val="center"/>
          </w:tcPr>
          <w:p w14:paraId="08B0638E" w14:textId="77777777" w:rsidR="00AD5683" w:rsidRDefault="00AD5683" w:rsidP="0094705B">
            <w:pPr>
              <w:spacing w:line="240" w:lineRule="auto"/>
              <w:jc w:val="center"/>
            </w:pPr>
          </w:p>
        </w:tc>
      </w:tr>
    </w:tbl>
    <w:p w14:paraId="68191A2F" w14:textId="77777777" w:rsidR="00AD5683" w:rsidRDefault="00AD5683" w:rsidP="00AD5683">
      <w:pPr>
        <w:rPr>
          <w:b/>
          <w:bCs/>
          <w:color w:val="3366FF"/>
          <w:sz w:val="24"/>
          <w:szCs w:val="24"/>
        </w:rPr>
      </w:pPr>
      <w:r>
        <w:br w:type="page"/>
      </w:r>
      <w:r>
        <w:rPr>
          <w:b/>
          <w:bCs/>
          <w:color w:val="0070C0"/>
          <w:sz w:val="24"/>
          <w:szCs w:val="24"/>
        </w:rPr>
        <w:lastRenderedPageBreak/>
        <w:t>REPONSES</w:t>
      </w:r>
    </w:p>
    <w:p w14:paraId="260E6A66" w14:textId="77777777" w:rsidR="00AD5683" w:rsidRDefault="00AD5683" w:rsidP="00AD5683">
      <w:pPr>
        <w:jc w:val="center"/>
        <w:rPr>
          <w:b/>
          <w:bCs/>
          <w:color w:val="3366FF"/>
        </w:rPr>
      </w:pPr>
    </w:p>
    <w:p w14:paraId="12147F0F" w14:textId="77777777" w:rsidR="00AD5683" w:rsidRDefault="00AD5683">
      <w:pPr>
        <w:numPr>
          <w:ilvl w:val="0"/>
          <w:numId w:val="10"/>
        </w:numPr>
        <w:pBdr>
          <w:top w:val="nil"/>
          <w:left w:val="nil"/>
          <w:bottom w:val="nil"/>
          <w:right w:val="nil"/>
          <w:between w:val="nil"/>
        </w:pBdr>
        <w:spacing w:line="240" w:lineRule="auto"/>
        <w:jc w:val="left"/>
        <w:rPr>
          <w:b/>
          <w:bCs/>
        </w:rPr>
      </w:pPr>
      <w:r>
        <w:rPr>
          <w:b/>
          <w:bCs/>
        </w:rPr>
        <w:t>QRU</w:t>
      </w:r>
    </w:p>
    <w:p w14:paraId="375B182C" w14:textId="77777777" w:rsidR="00AD5683" w:rsidRDefault="00AD5683" w:rsidP="00AD5683">
      <w:pPr>
        <w:spacing w:line="240" w:lineRule="auto"/>
      </w:pPr>
      <w:r>
        <w:t>Réponse : D</w:t>
      </w:r>
    </w:p>
    <w:p w14:paraId="3CBB32E4" w14:textId="77777777" w:rsidR="00AD5683" w:rsidRDefault="00AD5683" w:rsidP="00AD5683">
      <w:pPr>
        <w:spacing w:line="240" w:lineRule="auto"/>
        <w:rPr>
          <w:b/>
          <w:bCs/>
        </w:rPr>
      </w:pPr>
    </w:p>
    <w:p w14:paraId="749C25AC" w14:textId="77777777" w:rsidR="00AD5683" w:rsidRDefault="00AD5683">
      <w:pPr>
        <w:numPr>
          <w:ilvl w:val="0"/>
          <w:numId w:val="10"/>
        </w:numPr>
        <w:pBdr>
          <w:top w:val="nil"/>
          <w:left w:val="nil"/>
          <w:bottom w:val="nil"/>
          <w:right w:val="nil"/>
          <w:between w:val="nil"/>
        </w:pBdr>
        <w:spacing w:line="240" w:lineRule="auto"/>
        <w:jc w:val="left"/>
        <w:rPr>
          <w:b/>
          <w:bCs/>
        </w:rPr>
      </w:pPr>
      <w:r>
        <w:rPr>
          <w:b/>
          <w:bCs/>
        </w:rPr>
        <w:t>QROC</w:t>
      </w:r>
    </w:p>
    <w:p w14:paraId="255E3750" w14:textId="77777777" w:rsidR="00AD5683" w:rsidRDefault="00AD5683" w:rsidP="00AD5683">
      <w:pPr>
        <w:spacing w:line="240" w:lineRule="auto"/>
      </w:pPr>
      <w:r>
        <w:t>Réponse : opacité apex droit/tumeur apex droit/masse apicale droite/masse lobaire supérieure droite</w:t>
      </w:r>
    </w:p>
    <w:p w14:paraId="2A7CCD68" w14:textId="77777777" w:rsidR="00AD5683" w:rsidRDefault="00AD5683" w:rsidP="00AD5683">
      <w:pPr>
        <w:spacing w:line="240" w:lineRule="auto"/>
        <w:rPr>
          <w:b/>
          <w:bCs/>
        </w:rPr>
      </w:pPr>
    </w:p>
    <w:p w14:paraId="10E0E45A" w14:textId="77777777" w:rsidR="00AD5683" w:rsidRDefault="00AD5683">
      <w:pPr>
        <w:numPr>
          <w:ilvl w:val="0"/>
          <w:numId w:val="10"/>
        </w:numPr>
        <w:pBdr>
          <w:top w:val="nil"/>
          <w:left w:val="nil"/>
          <w:bottom w:val="nil"/>
          <w:right w:val="nil"/>
          <w:between w:val="nil"/>
        </w:pBdr>
        <w:spacing w:line="240" w:lineRule="auto"/>
        <w:jc w:val="left"/>
        <w:rPr>
          <w:b/>
          <w:bCs/>
        </w:rPr>
      </w:pPr>
      <w:r>
        <w:rPr>
          <w:b/>
          <w:bCs/>
        </w:rPr>
        <w:t>QROC</w:t>
      </w:r>
    </w:p>
    <w:p w14:paraId="1EA514CF" w14:textId="77777777" w:rsidR="00AD5683" w:rsidRDefault="00AD5683" w:rsidP="00AD5683">
      <w:pPr>
        <w:tabs>
          <w:tab w:val="left" w:pos="7263"/>
        </w:tabs>
        <w:spacing w:line="240" w:lineRule="auto"/>
      </w:pPr>
      <w:r>
        <w:t>Réponse : droite/droit</w:t>
      </w:r>
    </w:p>
    <w:p w14:paraId="3E1C00F2" w14:textId="77777777" w:rsidR="00AD5683" w:rsidRDefault="00AD5683" w:rsidP="00AD5683">
      <w:pPr>
        <w:spacing w:line="240" w:lineRule="auto"/>
      </w:pPr>
    </w:p>
    <w:p w14:paraId="535D2326" w14:textId="77777777" w:rsidR="00AD5683" w:rsidRDefault="00AD5683">
      <w:pPr>
        <w:numPr>
          <w:ilvl w:val="0"/>
          <w:numId w:val="10"/>
        </w:numPr>
        <w:pBdr>
          <w:top w:val="nil"/>
          <w:left w:val="nil"/>
          <w:bottom w:val="nil"/>
          <w:right w:val="nil"/>
          <w:between w:val="nil"/>
        </w:pBdr>
        <w:spacing w:line="240" w:lineRule="auto"/>
        <w:jc w:val="left"/>
        <w:rPr>
          <w:b/>
          <w:bCs/>
        </w:rPr>
      </w:pPr>
      <w:r>
        <w:rPr>
          <w:b/>
          <w:bCs/>
        </w:rPr>
        <w:t>QROC</w:t>
      </w:r>
    </w:p>
    <w:p w14:paraId="371A3D79" w14:textId="77777777" w:rsidR="00AD5683" w:rsidRDefault="00AD5683" w:rsidP="00AD5683">
      <w:pPr>
        <w:spacing w:line="240" w:lineRule="auto"/>
      </w:pPr>
      <w:r>
        <w:t>Réponse : Pancoast/Pancoast et Tobias</w:t>
      </w:r>
    </w:p>
    <w:p w14:paraId="04B52E8A" w14:textId="77777777" w:rsidR="00AD5683" w:rsidRDefault="00AD5683" w:rsidP="00AD5683">
      <w:pPr>
        <w:spacing w:line="240" w:lineRule="auto"/>
        <w:rPr>
          <w:b/>
          <w:bCs/>
        </w:rPr>
      </w:pPr>
    </w:p>
    <w:p w14:paraId="35C726F8" w14:textId="77777777" w:rsidR="00AD5683" w:rsidRDefault="00AD5683">
      <w:pPr>
        <w:numPr>
          <w:ilvl w:val="0"/>
          <w:numId w:val="10"/>
        </w:numPr>
        <w:pBdr>
          <w:top w:val="nil"/>
          <w:left w:val="nil"/>
          <w:bottom w:val="nil"/>
          <w:right w:val="nil"/>
          <w:between w:val="nil"/>
        </w:pBdr>
        <w:spacing w:line="240" w:lineRule="auto"/>
        <w:jc w:val="left"/>
        <w:rPr>
          <w:b/>
          <w:bCs/>
        </w:rPr>
      </w:pPr>
      <w:r>
        <w:rPr>
          <w:b/>
          <w:bCs/>
        </w:rPr>
        <w:t>QRM</w:t>
      </w:r>
    </w:p>
    <w:p w14:paraId="342ED2D5" w14:textId="77777777" w:rsidR="00AD5683" w:rsidRDefault="00AD5683" w:rsidP="00AD5683">
      <w:pPr>
        <w:spacing w:line="240" w:lineRule="auto"/>
        <w:ind w:right="821"/>
      </w:pPr>
      <w:r>
        <w:t>Réponse : AC</w:t>
      </w:r>
    </w:p>
    <w:p w14:paraId="035B0DF3" w14:textId="77777777" w:rsidR="00AD5683" w:rsidRDefault="00AD5683" w:rsidP="00AD5683">
      <w:pPr>
        <w:spacing w:line="240" w:lineRule="auto"/>
        <w:jc w:val="center"/>
      </w:pPr>
    </w:p>
    <w:p w14:paraId="5732CB37" w14:textId="77777777" w:rsidR="00AD5683" w:rsidRDefault="00AD5683">
      <w:pPr>
        <w:numPr>
          <w:ilvl w:val="0"/>
          <w:numId w:val="10"/>
        </w:numPr>
        <w:pBdr>
          <w:top w:val="nil"/>
          <w:left w:val="nil"/>
          <w:bottom w:val="nil"/>
          <w:right w:val="nil"/>
          <w:between w:val="nil"/>
        </w:pBdr>
        <w:spacing w:line="240" w:lineRule="auto"/>
        <w:jc w:val="left"/>
        <w:rPr>
          <w:b/>
          <w:bCs/>
        </w:rPr>
      </w:pPr>
      <w:r>
        <w:rPr>
          <w:b/>
          <w:bCs/>
        </w:rPr>
        <w:t>QRM</w:t>
      </w:r>
    </w:p>
    <w:p w14:paraId="52AACFB3" w14:textId="77777777" w:rsidR="00AD5683" w:rsidRDefault="00AD5683" w:rsidP="00AD5683">
      <w:pPr>
        <w:spacing w:line="240" w:lineRule="auto"/>
        <w:ind w:right="821"/>
      </w:pPr>
      <w:r>
        <w:t>Réponse : A</w:t>
      </w:r>
    </w:p>
    <w:p w14:paraId="7DEEF43E" w14:textId="77777777" w:rsidR="00AD5683" w:rsidRDefault="00AD5683" w:rsidP="00AD5683">
      <w:pPr>
        <w:spacing w:line="240" w:lineRule="auto"/>
        <w:ind w:right="821"/>
      </w:pPr>
      <w:r>
        <w:t xml:space="preserve">Commentaires : </w:t>
      </w:r>
    </w:p>
    <w:p w14:paraId="15B96620" w14:textId="175E77A0" w:rsidR="00F75368" w:rsidRPr="00AD5683" w:rsidRDefault="00AD5683" w:rsidP="00AD5683">
      <w:pPr>
        <w:spacing w:line="240" w:lineRule="auto"/>
        <w:ind w:right="140"/>
      </w:pPr>
      <w:r>
        <w:t xml:space="preserve">Il n’est pas question d’opérer quelqu’un qui a une extension médiastinale (paralysie récurrentielle par envahissement de la fenêtre </w:t>
      </w:r>
      <w:proofErr w:type="spellStart"/>
      <w:r>
        <w:t>aorto</w:t>
      </w:r>
      <w:proofErr w:type="spellEnd"/>
      <w:r>
        <w:t>-pulmonaire) et au moins une métastase osseuse (douleur thoracique droite avec ostéolyse de l’arc postérieure de la 9</w:t>
      </w:r>
      <w:r>
        <w:rPr>
          <w:vertAlign w:val="superscript"/>
        </w:rPr>
        <w:t>e</w:t>
      </w:r>
      <w:r>
        <w:t xml:space="preserve"> côte droite), donc C et D sont inappropriées.</w:t>
      </w:r>
    </w:p>
    <w:sectPr w:rsidR="00F75368" w:rsidRPr="00AD5683" w:rsidSect="00876EF8">
      <w:headerReference w:type="even" r:id="rId40"/>
      <w:headerReference w:type="default" r:id="rId41"/>
      <w:footerReference w:type="even" r:id="rId42"/>
      <w:footerReference w:type="default" r:id="rId43"/>
      <w:headerReference w:type="first" r:id="rId44"/>
      <w:footerReference w:type="first" r:id="rId45"/>
      <w:pgSz w:w="11340" w:h="14742" w:code="9"/>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A2C0E0" w14:textId="77777777" w:rsidR="00A64F33" w:rsidRDefault="00A64F33" w:rsidP="00B24E4B">
      <w:pPr>
        <w:spacing w:line="240" w:lineRule="auto"/>
      </w:pPr>
      <w:r>
        <w:separator/>
      </w:r>
    </w:p>
  </w:endnote>
  <w:endnote w:type="continuationSeparator" w:id="0">
    <w:p w14:paraId="2B1143FA" w14:textId="77777777" w:rsidR="00A64F33" w:rsidRDefault="00A64F33" w:rsidP="00B24E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Wingdings 2">
    <w:panose1 w:val="050201020105070707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8B9254" w14:textId="77777777" w:rsidR="000E6685" w:rsidRDefault="000E6685">
    <w:pPr>
      <w:pStyle w:val="Pieddepag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63C8BE" w14:textId="77777777" w:rsidR="000E6685" w:rsidRDefault="000E6685">
    <w:pPr>
      <w:pStyle w:val="Pieddepag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8D9C34" w14:textId="77777777" w:rsidR="000E6685" w:rsidRDefault="000E6685">
    <w:pPr>
      <w:pStyle w:val="Pieddepag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AF6C1F" w14:textId="77777777" w:rsidR="00A64F33" w:rsidRDefault="00A64F33" w:rsidP="00B24E4B">
      <w:pPr>
        <w:spacing w:line="240" w:lineRule="auto"/>
      </w:pPr>
      <w:r>
        <w:separator/>
      </w:r>
    </w:p>
  </w:footnote>
  <w:footnote w:type="continuationSeparator" w:id="0">
    <w:p w14:paraId="489E078A" w14:textId="77777777" w:rsidR="00A64F33" w:rsidRDefault="00A64F33" w:rsidP="00B24E4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B56172" w14:textId="77777777" w:rsidR="000E6685" w:rsidRDefault="000E668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87312A" w14:textId="77777777" w:rsidR="000E6685" w:rsidRPr="00F201C7" w:rsidRDefault="000E6685" w:rsidP="000E6685">
    <w:pPr>
      <w:pStyle w:val="En-tte"/>
      <w:tabs>
        <w:tab w:val="clear" w:pos="9072"/>
        <w:tab w:val="right" w:pos="10206"/>
      </w:tabs>
      <w:ind w:right="-650"/>
      <w:jc w:val="right"/>
      <w:rPr>
        <w:rFonts w:ascii="Arial" w:hAnsi="Arial" w:cs="Arial"/>
        <w:b/>
        <w:color w:val="3366FF"/>
        <w:sz w:val="36"/>
      </w:rPr>
    </w:pPr>
    <w:r w:rsidRPr="00F201C7">
      <w:rPr>
        <w:rFonts w:ascii="Arial" w:hAnsi="Arial" w:cs="Arial"/>
        <w:b/>
        <w:color w:val="3366FF"/>
        <w:sz w:val="36"/>
      </w:rPr>
      <w:t>Collège des Enseignants de Pneumologie - 20</w:t>
    </w:r>
    <w:r>
      <w:rPr>
        <w:rFonts w:ascii="Arial" w:hAnsi="Arial" w:cs="Arial"/>
        <w:b/>
        <w:color w:val="3366FF"/>
        <w:sz w:val="36"/>
      </w:rPr>
      <w:t>26</w:t>
    </w:r>
  </w:p>
  <w:p w14:paraId="5850D5F2" w14:textId="77777777" w:rsidR="000E6685" w:rsidRDefault="000E6685">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BE5D83" w14:textId="77777777" w:rsidR="000E6685" w:rsidRDefault="000E668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B303D8"/>
    <w:multiLevelType w:val="multilevel"/>
    <w:tmpl w:val="0E10C596"/>
    <w:lvl w:ilvl="0">
      <w:start w:val="1"/>
      <w:numFmt w:val="bullet"/>
      <w:lvlText w:val="−"/>
      <w:lvlJc w:val="left"/>
      <w:pPr>
        <w:ind w:left="1068" w:hanging="360"/>
      </w:pPr>
      <w:rPr>
        <w:rFonts w:ascii="Noto Sans Symbols" w:eastAsia="Noto Sans Symbols" w:hAnsi="Noto Sans Symbols" w:cs="Noto Sans Symbols"/>
        <w:color w:val="000000"/>
        <w:sz w:val="12"/>
        <w:szCs w:val="12"/>
      </w:rPr>
    </w:lvl>
    <w:lvl w:ilvl="1">
      <w:start w:val="1"/>
      <w:numFmt w:val="bullet"/>
      <w:lvlText w:val=""/>
      <w:lvlJc w:val="left"/>
      <w:pPr>
        <w:ind w:left="720" w:hanging="360"/>
      </w:pPr>
      <w:rPr>
        <w:rFonts w:ascii="Wingdings 2" w:hAnsi="Wingdings 2"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14B3628"/>
    <w:multiLevelType w:val="multilevel"/>
    <w:tmpl w:val="95B4B27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2B470F0"/>
    <w:multiLevelType w:val="multilevel"/>
    <w:tmpl w:val="D61EF08C"/>
    <w:lvl w:ilvl="0">
      <w:start w:val="1"/>
      <w:numFmt w:val="decimal"/>
      <w:lvlText w:val="%1."/>
      <w:lvlJc w:val="left"/>
      <w:pPr>
        <w:ind w:left="380" w:hanging="3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5DB564E"/>
    <w:multiLevelType w:val="multilevel"/>
    <w:tmpl w:val="5630F786"/>
    <w:lvl w:ilvl="0">
      <w:start w:val="1"/>
      <w:numFmt w:val="upperLetter"/>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4" w15:restartNumberingAfterBreak="0">
    <w:nsid w:val="08280EE0"/>
    <w:multiLevelType w:val="multilevel"/>
    <w:tmpl w:val="FAC4F8F6"/>
    <w:lvl w:ilvl="0">
      <w:start w:val="1"/>
      <w:numFmt w:val="decimal"/>
      <w:lvlText w:val="%1."/>
      <w:lvlJc w:val="left"/>
      <w:pPr>
        <w:ind w:left="360" w:hanging="360"/>
      </w:pPr>
      <w:rPr>
        <w:b/>
        <w:bCs/>
        <w:i w:val="0"/>
        <w:iCs w:val="0"/>
        <w:smallCaps w:val="0"/>
        <w:strike w:val="0"/>
        <w:color w:val="FFFFFF" w:themeColor="background1"/>
        <w:u w:val="none"/>
        <w:vertAlign w:val="baseline"/>
      </w:rPr>
    </w:lvl>
    <w:lvl w:ilvl="1">
      <w:start w:val="1"/>
      <w:numFmt w:val="decimal"/>
      <w:pStyle w:val="Titre3"/>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347D2C"/>
    <w:multiLevelType w:val="multilevel"/>
    <w:tmpl w:val="8970EE0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2C3F30E1"/>
    <w:multiLevelType w:val="hybridMultilevel"/>
    <w:tmpl w:val="7E2605FC"/>
    <w:lvl w:ilvl="0" w:tplc="CE2A988E">
      <w:start w:val="1"/>
      <w:numFmt w:val="decimal"/>
      <w:pStyle w:val="1titre"/>
      <w:lvlText w:val="%1."/>
      <w:lvlJc w:val="left"/>
      <w:pPr>
        <w:ind w:left="720" w:hanging="360"/>
      </w:pPr>
      <w:rPr>
        <w:rFonts w:hint="default"/>
        <w:color w:val="000000" w:themeColor="text1"/>
      </w:rPr>
    </w:lvl>
    <w:lvl w:ilvl="1" w:tplc="040C000F">
      <w:start w:val="1"/>
      <w:numFmt w:val="decimal"/>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90C439E"/>
    <w:multiLevelType w:val="multilevel"/>
    <w:tmpl w:val="31CAA350"/>
    <w:lvl w:ilvl="0">
      <w:start w:val="1"/>
      <w:numFmt w:val="bullet"/>
      <w:lvlText w:val=""/>
      <w:lvlJc w:val="left"/>
      <w:pPr>
        <w:ind w:left="1068" w:hanging="360"/>
      </w:pPr>
      <w:rPr>
        <w:rFonts w:ascii="Wingdings 2" w:hAnsi="Wingdings 2" w:hint="default"/>
      </w:rPr>
    </w:lvl>
    <w:lvl w:ilvl="1">
      <w:start w:val="2"/>
      <w:numFmt w:val="bullet"/>
      <w:lvlText w:val="-"/>
      <w:lvlJc w:val="left"/>
      <w:pPr>
        <w:ind w:left="1788" w:hanging="360"/>
      </w:pPr>
      <w:rPr>
        <w:rFonts w:ascii="Trebuchet MS" w:eastAsia="Trebuchet MS" w:hAnsi="Trebuchet MS" w:cs="Trebuchet MS"/>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8" w15:restartNumberingAfterBreak="0">
    <w:nsid w:val="3BFE3D43"/>
    <w:multiLevelType w:val="multilevel"/>
    <w:tmpl w:val="96CEC83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Titre4"/>
      <w:lvlText w:val="%1.%2.%3."/>
      <w:lvlJc w:val="left"/>
      <w:pPr>
        <w:ind w:left="1224" w:hanging="504"/>
      </w:pPr>
      <w:rPr>
        <w:i w:val="0"/>
        <w:iCs w:val="0"/>
      </w:rPr>
    </w:lvl>
    <w:lvl w:ilvl="3">
      <w:start w:val="1"/>
      <w:numFmt w:val="decimal"/>
      <w:pStyle w:val="Titre5"/>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F96231A"/>
    <w:multiLevelType w:val="multilevel"/>
    <w:tmpl w:val="AA62DC1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1312FA0"/>
    <w:multiLevelType w:val="multilevel"/>
    <w:tmpl w:val="FF5E3D5C"/>
    <w:lvl w:ilvl="0">
      <w:start w:val="1"/>
      <w:numFmt w:val="bullet"/>
      <w:lvlText w:val=""/>
      <w:lvlJc w:val="left"/>
      <w:pPr>
        <w:ind w:left="1068" w:hanging="360"/>
      </w:pPr>
      <w:rPr>
        <w:rFonts w:ascii="Wingdings 2" w:hAnsi="Wingdings 2" w:hint="default"/>
        <w:color w:val="0070C0"/>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288044F"/>
    <w:multiLevelType w:val="multilevel"/>
    <w:tmpl w:val="6E228186"/>
    <w:lvl w:ilvl="0">
      <w:start w:val="1"/>
      <w:numFmt w:val="bullet"/>
      <w:lvlText w:val=""/>
      <w:lvlJc w:val="left"/>
      <w:pPr>
        <w:ind w:left="720" w:hanging="360"/>
      </w:pPr>
      <w:rPr>
        <w:rFonts w:ascii="Wingdings 2" w:hAnsi="Wingdings 2"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2FD7B04"/>
    <w:multiLevelType w:val="multilevel"/>
    <w:tmpl w:val="05C6C946"/>
    <w:lvl w:ilvl="0">
      <w:start w:val="1"/>
      <w:numFmt w:val="bullet"/>
      <w:lvlText w:val=""/>
      <w:lvlJc w:val="left"/>
      <w:pPr>
        <w:ind w:left="720" w:hanging="360"/>
      </w:pPr>
      <w:rPr>
        <w:rFonts w:ascii="Wingdings 2" w:hAnsi="Wingdings 2" w:hint="default"/>
        <w:color w:val="000000"/>
        <w:sz w:val="20"/>
        <w:szCs w:val="20"/>
      </w:rPr>
    </w:lvl>
    <w:lvl w:ilvl="1">
      <w:start w:val="1"/>
      <w:numFmt w:val="bullet"/>
      <w:lvlText w:val="o"/>
      <w:lvlJc w:val="left"/>
      <w:pPr>
        <w:ind w:left="1092" w:hanging="360"/>
      </w:pPr>
      <w:rPr>
        <w:rFonts w:ascii="Courier New" w:eastAsia="Courier New" w:hAnsi="Courier New" w:cs="Courier New"/>
      </w:rPr>
    </w:lvl>
    <w:lvl w:ilvl="2">
      <w:start w:val="1"/>
      <w:numFmt w:val="bullet"/>
      <w:lvlText w:val="▪"/>
      <w:lvlJc w:val="left"/>
      <w:pPr>
        <w:ind w:left="1812" w:hanging="360"/>
      </w:pPr>
      <w:rPr>
        <w:rFonts w:ascii="Noto Sans Symbols" w:eastAsia="Noto Sans Symbols" w:hAnsi="Noto Sans Symbols" w:cs="Noto Sans Symbols"/>
      </w:rPr>
    </w:lvl>
    <w:lvl w:ilvl="3">
      <w:start w:val="1"/>
      <w:numFmt w:val="bullet"/>
      <w:lvlText w:val="●"/>
      <w:lvlJc w:val="left"/>
      <w:pPr>
        <w:ind w:left="2532" w:hanging="360"/>
      </w:pPr>
      <w:rPr>
        <w:rFonts w:ascii="Noto Sans Symbols" w:eastAsia="Noto Sans Symbols" w:hAnsi="Noto Sans Symbols" w:cs="Noto Sans Symbols"/>
      </w:rPr>
    </w:lvl>
    <w:lvl w:ilvl="4">
      <w:start w:val="1"/>
      <w:numFmt w:val="bullet"/>
      <w:lvlText w:val="o"/>
      <w:lvlJc w:val="left"/>
      <w:pPr>
        <w:ind w:left="3252" w:hanging="360"/>
      </w:pPr>
      <w:rPr>
        <w:rFonts w:ascii="Courier New" w:eastAsia="Courier New" w:hAnsi="Courier New" w:cs="Courier New"/>
      </w:rPr>
    </w:lvl>
    <w:lvl w:ilvl="5">
      <w:start w:val="1"/>
      <w:numFmt w:val="bullet"/>
      <w:lvlText w:val="▪"/>
      <w:lvlJc w:val="left"/>
      <w:pPr>
        <w:ind w:left="3972" w:hanging="360"/>
      </w:pPr>
      <w:rPr>
        <w:rFonts w:ascii="Noto Sans Symbols" w:eastAsia="Noto Sans Symbols" w:hAnsi="Noto Sans Symbols" w:cs="Noto Sans Symbols"/>
      </w:rPr>
    </w:lvl>
    <w:lvl w:ilvl="6">
      <w:start w:val="1"/>
      <w:numFmt w:val="bullet"/>
      <w:lvlText w:val="●"/>
      <w:lvlJc w:val="left"/>
      <w:pPr>
        <w:ind w:left="4692" w:hanging="360"/>
      </w:pPr>
      <w:rPr>
        <w:rFonts w:ascii="Noto Sans Symbols" w:eastAsia="Noto Sans Symbols" w:hAnsi="Noto Sans Symbols" w:cs="Noto Sans Symbols"/>
      </w:rPr>
    </w:lvl>
    <w:lvl w:ilvl="7">
      <w:start w:val="1"/>
      <w:numFmt w:val="bullet"/>
      <w:lvlText w:val="o"/>
      <w:lvlJc w:val="left"/>
      <w:pPr>
        <w:ind w:left="5412" w:hanging="360"/>
      </w:pPr>
      <w:rPr>
        <w:rFonts w:ascii="Courier New" w:eastAsia="Courier New" w:hAnsi="Courier New" w:cs="Courier New"/>
      </w:rPr>
    </w:lvl>
    <w:lvl w:ilvl="8">
      <w:start w:val="1"/>
      <w:numFmt w:val="bullet"/>
      <w:lvlText w:val="▪"/>
      <w:lvlJc w:val="left"/>
      <w:pPr>
        <w:ind w:left="6132" w:hanging="360"/>
      </w:pPr>
      <w:rPr>
        <w:rFonts w:ascii="Noto Sans Symbols" w:eastAsia="Noto Sans Symbols" w:hAnsi="Noto Sans Symbols" w:cs="Noto Sans Symbols"/>
      </w:rPr>
    </w:lvl>
  </w:abstractNum>
  <w:abstractNum w:abstractNumId="13" w15:restartNumberingAfterBreak="0">
    <w:nsid w:val="54C01E59"/>
    <w:multiLevelType w:val="multilevel"/>
    <w:tmpl w:val="EB3E2D72"/>
    <w:lvl w:ilvl="0">
      <w:start w:val="2"/>
      <w:numFmt w:val="decimal"/>
      <w:lvlText w:val="%1."/>
      <w:lvlJc w:val="left"/>
      <w:pPr>
        <w:ind w:left="380" w:hanging="3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575521B5"/>
    <w:multiLevelType w:val="multilevel"/>
    <w:tmpl w:val="C09223AC"/>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57EF217E"/>
    <w:multiLevelType w:val="multilevel"/>
    <w:tmpl w:val="B9CEA81A"/>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
      <w:lvlJc w:val="left"/>
      <w:pPr>
        <w:ind w:left="1068" w:hanging="360"/>
      </w:pPr>
      <w:rPr>
        <w:rFonts w:ascii="Wingdings 2" w:hAnsi="Wingdings 2" w:hint="default"/>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16" w15:restartNumberingAfterBreak="0">
    <w:nsid w:val="61A07B8F"/>
    <w:multiLevelType w:val="multilevel"/>
    <w:tmpl w:val="1138DF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Wingdings 2" w:hAnsi="Wingdings 2"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7D475654"/>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E056730"/>
    <w:multiLevelType w:val="multilevel"/>
    <w:tmpl w:val="C1464EA8"/>
    <w:lvl w:ilvl="0">
      <w:start w:val="1"/>
      <w:numFmt w:val="decimal"/>
      <w:lvlText w:val="%1."/>
      <w:lvlJc w:val="left"/>
      <w:pPr>
        <w:ind w:left="380" w:hanging="3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7F692767"/>
    <w:multiLevelType w:val="hybridMultilevel"/>
    <w:tmpl w:val="4C2EF8F6"/>
    <w:lvl w:ilvl="0" w:tplc="91504562">
      <w:start w:val="1"/>
      <w:numFmt w:val="decimal"/>
      <w:pStyle w:val="pointscls1"/>
      <w:lvlText w:val="%1."/>
      <w:lvlJc w:val="left"/>
      <w:pPr>
        <w:ind w:left="502" w:hanging="360"/>
      </w:p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num w:numId="1" w16cid:durableId="1976450999">
    <w:abstractNumId w:val="4"/>
  </w:num>
  <w:num w:numId="2" w16cid:durableId="1579822130">
    <w:abstractNumId w:val="6"/>
  </w:num>
  <w:num w:numId="3" w16cid:durableId="2103211215">
    <w:abstractNumId w:val="19"/>
  </w:num>
  <w:num w:numId="4" w16cid:durableId="762844049">
    <w:abstractNumId w:val="8"/>
  </w:num>
  <w:num w:numId="5" w16cid:durableId="362560109">
    <w:abstractNumId w:val="12"/>
  </w:num>
  <w:num w:numId="6" w16cid:durableId="1996184442">
    <w:abstractNumId w:val="10"/>
  </w:num>
  <w:num w:numId="7" w16cid:durableId="1646928432">
    <w:abstractNumId w:val="14"/>
  </w:num>
  <w:num w:numId="8" w16cid:durableId="826168137">
    <w:abstractNumId w:val="9"/>
  </w:num>
  <w:num w:numId="9" w16cid:durableId="2046246246">
    <w:abstractNumId w:val="1"/>
  </w:num>
  <w:num w:numId="10" w16cid:durableId="1381049544">
    <w:abstractNumId w:val="5"/>
  </w:num>
  <w:num w:numId="11" w16cid:durableId="1775704193">
    <w:abstractNumId w:val="11"/>
  </w:num>
  <w:num w:numId="12" w16cid:durableId="1028683843">
    <w:abstractNumId w:val="16"/>
  </w:num>
  <w:num w:numId="13" w16cid:durableId="335502949">
    <w:abstractNumId w:val="0"/>
  </w:num>
  <w:num w:numId="14" w16cid:durableId="1725716937">
    <w:abstractNumId w:val="7"/>
  </w:num>
  <w:num w:numId="15" w16cid:durableId="2006469345">
    <w:abstractNumId w:val="15"/>
  </w:num>
  <w:num w:numId="16" w16cid:durableId="1359427088">
    <w:abstractNumId w:val="3"/>
  </w:num>
  <w:num w:numId="17" w16cid:durableId="1201356577">
    <w:abstractNumId w:val="6"/>
    <w:lvlOverride w:ilvl="0">
      <w:startOverride w:val="1"/>
    </w:lvlOverride>
  </w:num>
  <w:num w:numId="18" w16cid:durableId="213784426">
    <w:abstractNumId w:val="17"/>
  </w:num>
  <w:num w:numId="19" w16cid:durableId="1497458813">
    <w:abstractNumId w:val="13"/>
  </w:num>
  <w:num w:numId="20" w16cid:durableId="600257007">
    <w:abstractNumId w:val="6"/>
    <w:lvlOverride w:ilvl="0">
      <w:startOverride w:val="1"/>
    </w:lvlOverride>
  </w:num>
  <w:num w:numId="21" w16cid:durableId="2126272864">
    <w:abstractNumId w:val="18"/>
  </w:num>
  <w:num w:numId="22" w16cid:durableId="847870360">
    <w:abstractNumId w:val="6"/>
    <w:lvlOverride w:ilvl="0">
      <w:startOverride w:val="5"/>
    </w:lvlOverride>
  </w:num>
  <w:num w:numId="23" w16cid:durableId="509757215">
    <w:abstractNumId w:val="6"/>
    <w:lvlOverride w:ilvl="0">
      <w:startOverride w:val="1"/>
    </w:lvlOverride>
  </w:num>
  <w:num w:numId="24" w16cid:durableId="1764036932">
    <w:abstractNumId w:val="2"/>
  </w:num>
  <w:numIdMacAtCleanup w:val="2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EF8"/>
    <w:rsid w:val="0007472D"/>
    <w:rsid w:val="00083536"/>
    <w:rsid w:val="000B56A5"/>
    <w:rsid w:val="000B59FA"/>
    <w:rsid w:val="000E568F"/>
    <w:rsid w:val="000E6685"/>
    <w:rsid w:val="0010541F"/>
    <w:rsid w:val="001073D4"/>
    <w:rsid w:val="00114750"/>
    <w:rsid w:val="00127CAC"/>
    <w:rsid w:val="001C2618"/>
    <w:rsid w:val="001C54DE"/>
    <w:rsid w:val="001D386C"/>
    <w:rsid w:val="00236555"/>
    <w:rsid w:val="002426CC"/>
    <w:rsid w:val="002530CC"/>
    <w:rsid w:val="002B548A"/>
    <w:rsid w:val="002C5A5E"/>
    <w:rsid w:val="002C7C57"/>
    <w:rsid w:val="00306201"/>
    <w:rsid w:val="00362251"/>
    <w:rsid w:val="00375B9C"/>
    <w:rsid w:val="003A5C93"/>
    <w:rsid w:val="003C3137"/>
    <w:rsid w:val="003D376E"/>
    <w:rsid w:val="003E5332"/>
    <w:rsid w:val="003E5A08"/>
    <w:rsid w:val="00434284"/>
    <w:rsid w:val="00447337"/>
    <w:rsid w:val="00454A58"/>
    <w:rsid w:val="00475741"/>
    <w:rsid w:val="004B3B0C"/>
    <w:rsid w:val="004B4A90"/>
    <w:rsid w:val="004D552E"/>
    <w:rsid w:val="004E451D"/>
    <w:rsid w:val="005478B4"/>
    <w:rsid w:val="005645B3"/>
    <w:rsid w:val="005B6A3A"/>
    <w:rsid w:val="005F05D0"/>
    <w:rsid w:val="00614CBE"/>
    <w:rsid w:val="00665E5D"/>
    <w:rsid w:val="00696E6A"/>
    <w:rsid w:val="006F3E0E"/>
    <w:rsid w:val="00711BBF"/>
    <w:rsid w:val="00717C5F"/>
    <w:rsid w:val="00760B5C"/>
    <w:rsid w:val="00776EA2"/>
    <w:rsid w:val="007F6BF8"/>
    <w:rsid w:val="00801191"/>
    <w:rsid w:val="00822CB5"/>
    <w:rsid w:val="0082796C"/>
    <w:rsid w:val="008541CD"/>
    <w:rsid w:val="0087650C"/>
    <w:rsid w:val="00876EF8"/>
    <w:rsid w:val="0088205E"/>
    <w:rsid w:val="00895A52"/>
    <w:rsid w:val="00896114"/>
    <w:rsid w:val="0089667B"/>
    <w:rsid w:val="008A7F46"/>
    <w:rsid w:val="008B41F0"/>
    <w:rsid w:val="008D0B6D"/>
    <w:rsid w:val="008D7B43"/>
    <w:rsid w:val="008E6467"/>
    <w:rsid w:val="00907A92"/>
    <w:rsid w:val="009175F9"/>
    <w:rsid w:val="00930986"/>
    <w:rsid w:val="00942BB1"/>
    <w:rsid w:val="00995C77"/>
    <w:rsid w:val="009D6997"/>
    <w:rsid w:val="009D7AC5"/>
    <w:rsid w:val="009E29E0"/>
    <w:rsid w:val="00A0519E"/>
    <w:rsid w:val="00A50182"/>
    <w:rsid w:val="00A54E85"/>
    <w:rsid w:val="00A64F33"/>
    <w:rsid w:val="00A65C23"/>
    <w:rsid w:val="00A71B82"/>
    <w:rsid w:val="00AC56AB"/>
    <w:rsid w:val="00AD3F49"/>
    <w:rsid w:val="00AD5432"/>
    <w:rsid w:val="00AD5683"/>
    <w:rsid w:val="00AF2941"/>
    <w:rsid w:val="00B24E4B"/>
    <w:rsid w:val="00B33C89"/>
    <w:rsid w:val="00B63810"/>
    <w:rsid w:val="00BC1F3F"/>
    <w:rsid w:val="00BC5580"/>
    <w:rsid w:val="00BE1ECC"/>
    <w:rsid w:val="00C2589B"/>
    <w:rsid w:val="00C65E3C"/>
    <w:rsid w:val="00CC4FD4"/>
    <w:rsid w:val="00D02748"/>
    <w:rsid w:val="00D0470B"/>
    <w:rsid w:val="00D12181"/>
    <w:rsid w:val="00D4011F"/>
    <w:rsid w:val="00D55DF5"/>
    <w:rsid w:val="00E22E24"/>
    <w:rsid w:val="00E420F7"/>
    <w:rsid w:val="00E54D0A"/>
    <w:rsid w:val="00E84981"/>
    <w:rsid w:val="00E97955"/>
    <w:rsid w:val="00EC15CE"/>
    <w:rsid w:val="00EC1890"/>
    <w:rsid w:val="00EC2F22"/>
    <w:rsid w:val="00ED0F5F"/>
    <w:rsid w:val="00EE0D03"/>
    <w:rsid w:val="00EE5B34"/>
    <w:rsid w:val="00F03B9C"/>
    <w:rsid w:val="00F10ECB"/>
    <w:rsid w:val="00F155BE"/>
    <w:rsid w:val="00F35611"/>
    <w:rsid w:val="00F75368"/>
    <w:rsid w:val="00F90151"/>
    <w:rsid w:val="00FB180E"/>
    <w:rsid w:val="00FE57EC"/>
    <w:rsid w:val="00FF4F0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BE76B"/>
  <w15:chartTrackingRefBased/>
  <w15:docId w15:val="{1CB5EAEC-F4F2-4F7A-BEB3-CC8F856C6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Calibri"/>
        <w:kern w:val="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251"/>
    <w:pPr>
      <w:spacing w:after="0"/>
      <w:jc w:val="both"/>
    </w:pPr>
    <w:rPr>
      <w:rFonts w:ascii="Trebuchet MS" w:eastAsia="Trebuchet MS" w:hAnsi="Trebuchet MS" w:cs="Trebuchet MS"/>
      <w:color w:val="000000"/>
      <w:kern w:val="0"/>
      <w:szCs w:val="20"/>
      <w:lang w:val="fr" w:eastAsia="fr-FR"/>
      <w14:ligatures w14:val="none"/>
    </w:rPr>
  </w:style>
  <w:style w:type="paragraph" w:styleId="Titre1">
    <w:name w:val="heading 1"/>
    <w:basedOn w:val="Normal"/>
    <w:next w:val="Normal"/>
    <w:link w:val="Titre1Car"/>
    <w:uiPriority w:val="9"/>
    <w:qFormat/>
    <w:rsid w:val="00E84981"/>
    <w:pPr>
      <w:jc w:val="center"/>
      <w:outlineLvl w:val="0"/>
    </w:pPr>
    <w:rPr>
      <w:b/>
      <w:bCs/>
      <w:color w:val="2E74B5"/>
      <w:sz w:val="44"/>
      <w:szCs w:val="44"/>
    </w:rPr>
  </w:style>
  <w:style w:type="paragraph" w:styleId="Titre2">
    <w:name w:val="heading 2"/>
    <w:basedOn w:val="1titre"/>
    <w:next w:val="Normal"/>
    <w:link w:val="Titre2Car"/>
    <w:uiPriority w:val="9"/>
    <w:unhideWhenUsed/>
    <w:qFormat/>
    <w:rsid w:val="00EE0D03"/>
    <w:pPr>
      <w:outlineLvl w:val="1"/>
    </w:pPr>
  </w:style>
  <w:style w:type="paragraph" w:styleId="Titre3">
    <w:name w:val="heading 3"/>
    <w:basedOn w:val="11titre"/>
    <w:next w:val="Normal"/>
    <w:link w:val="Titre3Car"/>
    <w:uiPriority w:val="9"/>
    <w:unhideWhenUsed/>
    <w:qFormat/>
    <w:rsid w:val="00D4011F"/>
    <w:pPr>
      <w:numPr>
        <w:ilvl w:val="1"/>
        <w:numId w:val="1"/>
      </w:numPr>
      <w:ind w:left="851" w:hanging="491"/>
      <w:outlineLvl w:val="2"/>
    </w:pPr>
  </w:style>
  <w:style w:type="paragraph" w:styleId="Titre4">
    <w:name w:val="heading 4"/>
    <w:basedOn w:val="Paragraphedeliste"/>
    <w:next w:val="Normal"/>
    <w:link w:val="Titre4Car"/>
    <w:uiPriority w:val="9"/>
    <w:unhideWhenUsed/>
    <w:qFormat/>
    <w:rsid w:val="000B56A5"/>
    <w:pPr>
      <w:numPr>
        <w:ilvl w:val="2"/>
        <w:numId w:val="4"/>
      </w:numPr>
      <w:pBdr>
        <w:top w:val="nil"/>
        <w:left w:val="nil"/>
        <w:bottom w:val="nil"/>
        <w:right w:val="nil"/>
        <w:between w:val="nil"/>
      </w:pBdr>
      <w:spacing w:after="240"/>
      <w:outlineLvl w:val="3"/>
    </w:pPr>
    <w:rPr>
      <w:b/>
      <w:bCs/>
    </w:rPr>
  </w:style>
  <w:style w:type="paragraph" w:styleId="Titre5">
    <w:name w:val="heading 5"/>
    <w:basedOn w:val="Titre4"/>
    <w:next w:val="Normal"/>
    <w:link w:val="Titre5Car"/>
    <w:uiPriority w:val="9"/>
    <w:unhideWhenUsed/>
    <w:qFormat/>
    <w:rsid w:val="00AD3F49"/>
    <w:pPr>
      <w:numPr>
        <w:ilvl w:val="3"/>
      </w:numPr>
      <w:ind w:left="1985" w:hanging="905"/>
      <w:outlineLvl w:val="4"/>
    </w:pPr>
  </w:style>
  <w:style w:type="paragraph" w:styleId="Titre6">
    <w:name w:val="heading 6"/>
    <w:basedOn w:val="Normal"/>
    <w:next w:val="Normal"/>
    <w:link w:val="Titre6Car"/>
    <w:uiPriority w:val="9"/>
    <w:semiHidden/>
    <w:unhideWhenUsed/>
    <w:qFormat/>
    <w:rsid w:val="00876EF8"/>
    <w:pPr>
      <w:keepNext/>
      <w:keepLines/>
      <w:spacing w:before="4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876EF8"/>
    <w:pPr>
      <w:keepNext/>
      <w:keepLines/>
      <w:spacing w:before="4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876EF8"/>
    <w:pPr>
      <w:keepNext/>
      <w:keepLines/>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876EF8"/>
    <w:pPr>
      <w:keepNext/>
      <w:keepLines/>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84981"/>
    <w:rPr>
      <w:rFonts w:ascii="Trebuchet MS" w:eastAsia="Trebuchet MS" w:hAnsi="Trebuchet MS" w:cs="Trebuchet MS"/>
      <w:b/>
      <w:bCs/>
      <w:color w:val="2E74B5"/>
      <w:kern w:val="0"/>
      <w:sz w:val="44"/>
      <w:szCs w:val="44"/>
      <w:lang w:val="fr" w:eastAsia="fr-FR"/>
      <w14:ligatures w14:val="none"/>
    </w:rPr>
  </w:style>
  <w:style w:type="character" w:customStyle="1" w:styleId="Titre2Car">
    <w:name w:val="Titre 2 Car"/>
    <w:basedOn w:val="Policepardfaut"/>
    <w:link w:val="Titre2"/>
    <w:uiPriority w:val="9"/>
    <w:rsid w:val="00EE0D03"/>
    <w:rPr>
      <w:rFonts w:ascii="Trebuchet MS" w:eastAsia="Trebuchet MS" w:hAnsi="Trebuchet MS" w:cs="Trebuchet MS"/>
      <w:b/>
      <w:bCs/>
      <w:color w:val="000000"/>
      <w:kern w:val="0"/>
      <w:szCs w:val="20"/>
      <w:lang w:val="fr" w:eastAsia="fr-FR"/>
      <w14:ligatures w14:val="none"/>
    </w:rPr>
  </w:style>
  <w:style w:type="character" w:customStyle="1" w:styleId="Titre3Car">
    <w:name w:val="Titre 3 Car"/>
    <w:basedOn w:val="Policepardfaut"/>
    <w:link w:val="Titre3"/>
    <w:uiPriority w:val="9"/>
    <w:rsid w:val="00D4011F"/>
    <w:rPr>
      <w:rFonts w:ascii="Trebuchet MS" w:eastAsia="Trebuchet MS" w:hAnsi="Trebuchet MS" w:cs="Trebuchet MS"/>
      <w:b/>
      <w:bCs/>
      <w:color w:val="000000"/>
      <w:kern w:val="0"/>
      <w:szCs w:val="20"/>
      <w:lang w:val="fr" w:eastAsia="fr-FR"/>
      <w14:ligatures w14:val="none"/>
    </w:rPr>
  </w:style>
  <w:style w:type="character" w:customStyle="1" w:styleId="Titre4Car">
    <w:name w:val="Titre 4 Car"/>
    <w:basedOn w:val="Policepardfaut"/>
    <w:link w:val="Titre4"/>
    <w:uiPriority w:val="9"/>
    <w:rsid w:val="000B56A5"/>
    <w:rPr>
      <w:rFonts w:ascii="Trebuchet MS" w:eastAsia="Trebuchet MS" w:hAnsi="Trebuchet MS" w:cs="Trebuchet MS"/>
      <w:b/>
      <w:bCs/>
      <w:color w:val="000000"/>
      <w:kern w:val="0"/>
      <w:szCs w:val="20"/>
      <w:lang w:val="fr" w:eastAsia="fr-FR"/>
      <w14:ligatures w14:val="none"/>
    </w:rPr>
  </w:style>
  <w:style w:type="character" w:customStyle="1" w:styleId="Titre5Car">
    <w:name w:val="Titre 5 Car"/>
    <w:basedOn w:val="Policepardfaut"/>
    <w:link w:val="Titre5"/>
    <w:uiPriority w:val="9"/>
    <w:rsid w:val="00AD3F49"/>
    <w:rPr>
      <w:rFonts w:ascii="Trebuchet MS" w:eastAsia="Trebuchet MS" w:hAnsi="Trebuchet MS" w:cs="Trebuchet MS"/>
      <w:b/>
      <w:bCs/>
      <w:color w:val="000000"/>
      <w:kern w:val="0"/>
      <w:szCs w:val="20"/>
      <w:lang w:val="fr" w:eastAsia="fr-FR"/>
      <w14:ligatures w14:val="none"/>
    </w:rPr>
  </w:style>
  <w:style w:type="character" w:customStyle="1" w:styleId="Titre6Car">
    <w:name w:val="Titre 6 Car"/>
    <w:basedOn w:val="Policepardfaut"/>
    <w:link w:val="Titre6"/>
    <w:uiPriority w:val="9"/>
    <w:semiHidden/>
    <w:rsid w:val="00876EF8"/>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876EF8"/>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876EF8"/>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876EF8"/>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876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76EF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76EF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76EF8"/>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876EF8"/>
    <w:pPr>
      <w:spacing w:before="160"/>
      <w:jc w:val="center"/>
    </w:pPr>
    <w:rPr>
      <w:i/>
      <w:iCs/>
      <w:color w:val="404040" w:themeColor="text1" w:themeTint="BF"/>
    </w:rPr>
  </w:style>
  <w:style w:type="character" w:customStyle="1" w:styleId="CitationCar">
    <w:name w:val="Citation Car"/>
    <w:basedOn w:val="Policepardfaut"/>
    <w:link w:val="Citation"/>
    <w:uiPriority w:val="29"/>
    <w:rsid w:val="00876EF8"/>
    <w:rPr>
      <w:i/>
      <w:iCs/>
      <w:color w:val="404040" w:themeColor="text1" w:themeTint="BF"/>
    </w:rPr>
  </w:style>
  <w:style w:type="paragraph" w:styleId="Paragraphedeliste">
    <w:name w:val="List Paragraph"/>
    <w:basedOn w:val="Normal"/>
    <w:link w:val="ParagraphedelisteCar"/>
    <w:uiPriority w:val="34"/>
    <w:qFormat/>
    <w:rsid w:val="00876EF8"/>
    <w:pPr>
      <w:ind w:left="720"/>
      <w:contextualSpacing/>
    </w:pPr>
  </w:style>
  <w:style w:type="character" w:styleId="Accentuationintense">
    <w:name w:val="Intense Emphasis"/>
    <w:basedOn w:val="Policepardfaut"/>
    <w:uiPriority w:val="21"/>
    <w:qFormat/>
    <w:rsid w:val="00876EF8"/>
    <w:rPr>
      <w:i/>
      <w:iCs/>
      <w:color w:val="0F4761" w:themeColor="accent1" w:themeShade="BF"/>
    </w:rPr>
  </w:style>
  <w:style w:type="paragraph" w:styleId="Citationintense">
    <w:name w:val="Intense Quote"/>
    <w:basedOn w:val="Normal"/>
    <w:next w:val="Normal"/>
    <w:link w:val="CitationintenseCar"/>
    <w:uiPriority w:val="30"/>
    <w:qFormat/>
    <w:rsid w:val="00876E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76EF8"/>
    <w:rPr>
      <w:i/>
      <w:iCs/>
      <w:color w:val="0F4761" w:themeColor="accent1" w:themeShade="BF"/>
    </w:rPr>
  </w:style>
  <w:style w:type="character" w:styleId="Rfrenceintense">
    <w:name w:val="Intense Reference"/>
    <w:basedOn w:val="Policepardfaut"/>
    <w:uiPriority w:val="32"/>
    <w:qFormat/>
    <w:rsid w:val="00876EF8"/>
    <w:rPr>
      <w:b/>
      <w:bCs/>
      <w:smallCaps/>
      <w:color w:val="0F4761" w:themeColor="accent1" w:themeShade="BF"/>
      <w:spacing w:val="5"/>
    </w:rPr>
  </w:style>
  <w:style w:type="paragraph" w:customStyle="1" w:styleId="Pointscls">
    <w:name w:val="Points clés"/>
    <w:basedOn w:val="Normal"/>
    <w:link w:val="PointsclsCar"/>
    <w:qFormat/>
    <w:rsid w:val="00876EF8"/>
    <w:pPr>
      <w:pBdr>
        <w:top w:val="nil"/>
        <w:left w:val="nil"/>
        <w:bottom w:val="nil"/>
        <w:right w:val="nil"/>
        <w:between w:val="nil"/>
      </w:pBdr>
      <w:shd w:val="clear" w:color="auto" w:fill="2E74B5"/>
      <w:spacing w:line="240" w:lineRule="auto"/>
    </w:pPr>
    <w:rPr>
      <w:b/>
      <w:bCs/>
      <w:color w:val="FFFFFF"/>
      <w:sz w:val="22"/>
      <w:szCs w:val="22"/>
    </w:rPr>
  </w:style>
  <w:style w:type="character" w:customStyle="1" w:styleId="PointsclsCar">
    <w:name w:val="Points clés Car"/>
    <w:basedOn w:val="Policepardfaut"/>
    <w:link w:val="Pointscls"/>
    <w:rsid w:val="00876EF8"/>
    <w:rPr>
      <w:rFonts w:ascii="Trebuchet MS" w:eastAsia="Trebuchet MS" w:hAnsi="Trebuchet MS" w:cs="Trebuchet MS"/>
      <w:b/>
      <w:bCs/>
      <w:color w:val="FFFFFF"/>
      <w:kern w:val="0"/>
      <w:sz w:val="22"/>
      <w:shd w:val="clear" w:color="auto" w:fill="2E74B5"/>
      <w:lang w:val="fr" w:eastAsia="fr-FR"/>
      <w14:ligatures w14:val="none"/>
    </w:rPr>
  </w:style>
  <w:style w:type="paragraph" w:customStyle="1" w:styleId="pointscls1">
    <w:name w:val="points clés 1"/>
    <w:basedOn w:val="Normal"/>
    <w:link w:val="pointscls1Car"/>
    <w:qFormat/>
    <w:rsid w:val="006F3E0E"/>
    <w:pPr>
      <w:numPr>
        <w:numId w:val="3"/>
      </w:numPr>
      <w:pBdr>
        <w:top w:val="single" w:sz="4" w:space="1" w:color="747474" w:themeColor="background2" w:themeShade="80"/>
        <w:left w:val="single" w:sz="4" w:space="4" w:color="747474" w:themeColor="background2" w:themeShade="80"/>
        <w:bottom w:val="single" w:sz="4" w:space="0" w:color="747474" w:themeColor="background2" w:themeShade="80"/>
        <w:right w:val="single" w:sz="4" w:space="4" w:color="747474" w:themeColor="background2" w:themeShade="80"/>
      </w:pBdr>
      <w:spacing w:before="40" w:line="276" w:lineRule="auto"/>
      <w:ind w:left="426" w:right="141" w:hanging="284"/>
    </w:pPr>
    <w:rPr>
      <w:sz w:val="18"/>
      <w:szCs w:val="18"/>
    </w:rPr>
  </w:style>
  <w:style w:type="character" w:customStyle="1" w:styleId="pointscls1Car">
    <w:name w:val="points clés 1 Car"/>
    <w:basedOn w:val="Policepardfaut"/>
    <w:link w:val="pointscls1"/>
    <w:rsid w:val="006F3E0E"/>
    <w:rPr>
      <w:rFonts w:ascii="Trebuchet MS" w:eastAsia="Trebuchet MS" w:hAnsi="Trebuchet MS" w:cs="Trebuchet MS"/>
      <w:color w:val="000000"/>
      <w:kern w:val="0"/>
      <w:sz w:val="18"/>
      <w:szCs w:val="18"/>
      <w:lang w:val="fr" w:eastAsia="fr-FR"/>
      <w14:ligatures w14:val="none"/>
    </w:rPr>
  </w:style>
  <w:style w:type="paragraph" w:customStyle="1" w:styleId="titredepartie">
    <w:name w:val="titre de partie"/>
    <w:basedOn w:val="Normal"/>
    <w:link w:val="titredepartieCar"/>
    <w:qFormat/>
    <w:rsid w:val="005645B3"/>
    <w:pPr>
      <w:pBdr>
        <w:top w:val="nil"/>
        <w:left w:val="nil"/>
        <w:bottom w:val="nil"/>
        <w:right w:val="nil"/>
        <w:between w:val="nil"/>
      </w:pBdr>
      <w:shd w:val="clear" w:color="auto" w:fill="2E74B5"/>
      <w:spacing w:after="240" w:line="240" w:lineRule="auto"/>
    </w:pPr>
    <w:rPr>
      <w:b/>
      <w:bCs/>
      <w:caps/>
      <w:color w:val="FFFFFF"/>
      <w:sz w:val="24"/>
      <w:szCs w:val="24"/>
    </w:rPr>
  </w:style>
  <w:style w:type="character" w:customStyle="1" w:styleId="titredepartieCar">
    <w:name w:val="titre de partie Car"/>
    <w:basedOn w:val="Policepardfaut"/>
    <w:link w:val="titredepartie"/>
    <w:rsid w:val="005645B3"/>
    <w:rPr>
      <w:rFonts w:ascii="Trebuchet MS" w:eastAsia="Trebuchet MS" w:hAnsi="Trebuchet MS" w:cs="Trebuchet MS"/>
      <w:b/>
      <w:bCs/>
      <w:caps/>
      <w:color w:val="FFFFFF"/>
      <w:kern w:val="0"/>
      <w:sz w:val="24"/>
      <w:szCs w:val="24"/>
      <w:shd w:val="clear" w:color="auto" w:fill="2E74B5"/>
      <w:lang w:val="fr" w:eastAsia="fr-FR"/>
      <w14:ligatures w14:val="none"/>
    </w:rPr>
  </w:style>
  <w:style w:type="paragraph" w:customStyle="1" w:styleId="titredesous-partie">
    <w:name w:val="titre de sous-partie"/>
    <w:basedOn w:val="Normal"/>
    <w:link w:val="titredesous-partieCar"/>
    <w:qFormat/>
    <w:rsid w:val="005645B3"/>
    <w:pPr>
      <w:pBdr>
        <w:top w:val="nil"/>
        <w:left w:val="nil"/>
        <w:bottom w:val="nil"/>
        <w:right w:val="nil"/>
        <w:between w:val="nil"/>
      </w:pBdr>
      <w:shd w:val="clear" w:color="auto" w:fill="5C9CD6"/>
      <w:spacing w:after="240" w:line="240" w:lineRule="auto"/>
      <w:ind w:left="142"/>
    </w:pPr>
    <w:rPr>
      <w:b/>
      <w:bCs/>
      <w:caps/>
      <w:color w:val="FFFFFF"/>
      <w:sz w:val="24"/>
      <w:szCs w:val="24"/>
      <w:shd w:val="clear" w:color="auto" w:fill="5C9CD6"/>
    </w:rPr>
  </w:style>
  <w:style w:type="character" w:customStyle="1" w:styleId="titredesous-partieCar">
    <w:name w:val="titre de sous-partie Car"/>
    <w:basedOn w:val="Policepardfaut"/>
    <w:link w:val="titredesous-partie"/>
    <w:rsid w:val="005645B3"/>
    <w:rPr>
      <w:rFonts w:ascii="Trebuchet MS" w:eastAsia="Trebuchet MS" w:hAnsi="Trebuchet MS" w:cs="Trebuchet MS"/>
      <w:b/>
      <w:bCs/>
      <w:caps/>
      <w:color w:val="FFFFFF"/>
      <w:kern w:val="0"/>
      <w:sz w:val="24"/>
      <w:szCs w:val="24"/>
      <w:shd w:val="clear" w:color="auto" w:fill="5C9CD6"/>
      <w:lang w:val="fr" w:eastAsia="fr-FR"/>
      <w14:ligatures w14:val="none"/>
    </w:rPr>
  </w:style>
  <w:style w:type="character" w:styleId="Marquedecommentaire">
    <w:name w:val="annotation reference"/>
    <w:basedOn w:val="Policepardfaut"/>
    <w:uiPriority w:val="99"/>
    <w:semiHidden/>
    <w:unhideWhenUsed/>
    <w:rsid w:val="00876EF8"/>
    <w:rPr>
      <w:sz w:val="16"/>
      <w:szCs w:val="16"/>
    </w:rPr>
  </w:style>
  <w:style w:type="paragraph" w:customStyle="1" w:styleId="1titre">
    <w:name w:val="1. titre"/>
    <w:basedOn w:val="Paragraphedeliste"/>
    <w:link w:val="1titreCar"/>
    <w:rsid w:val="00F90151"/>
    <w:pPr>
      <w:numPr>
        <w:numId w:val="2"/>
      </w:numPr>
      <w:spacing w:after="240"/>
    </w:pPr>
    <w:rPr>
      <w:b/>
      <w:bCs/>
    </w:rPr>
  </w:style>
  <w:style w:type="character" w:customStyle="1" w:styleId="ParagraphedelisteCar">
    <w:name w:val="Paragraphe de liste Car"/>
    <w:basedOn w:val="Policepardfaut"/>
    <w:link w:val="Paragraphedeliste"/>
    <w:uiPriority w:val="34"/>
    <w:rsid w:val="00362251"/>
    <w:rPr>
      <w:rFonts w:ascii="Trebuchet MS" w:eastAsia="Trebuchet MS" w:hAnsi="Trebuchet MS" w:cs="Trebuchet MS"/>
      <w:color w:val="000000"/>
      <w:kern w:val="0"/>
      <w:szCs w:val="20"/>
      <w:lang w:val="fr" w:eastAsia="fr-FR"/>
      <w14:ligatures w14:val="none"/>
    </w:rPr>
  </w:style>
  <w:style w:type="character" w:customStyle="1" w:styleId="1titreCar">
    <w:name w:val="1. titre Car"/>
    <w:basedOn w:val="ParagraphedelisteCar"/>
    <w:link w:val="1titre"/>
    <w:rsid w:val="00F90151"/>
    <w:rPr>
      <w:rFonts w:ascii="Trebuchet MS" w:eastAsia="Trebuchet MS" w:hAnsi="Trebuchet MS" w:cs="Trebuchet MS"/>
      <w:b/>
      <w:bCs/>
      <w:color w:val="000000"/>
      <w:kern w:val="0"/>
      <w:szCs w:val="20"/>
      <w:lang w:val="fr" w:eastAsia="fr-FR"/>
      <w14:ligatures w14:val="none"/>
    </w:rPr>
  </w:style>
  <w:style w:type="paragraph" w:customStyle="1" w:styleId="lgende">
    <w:name w:val="légende"/>
    <w:basedOn w:val="Normal"/>
    <w:link w:val="lgendeCar"/>
    <w:qFormat/>
    <w:rsid w:val="00362251"/>
    <w:pPr>
      <w:pBdr>
        <w:top w:val="nil"/>
        <w:left w:val="nil"/>
        <w:bottom w:val="nil"/>
        <w:right w:val="nil"/>
        <w:between w:val="nil"/>
      </w:pBdr>
      <w:spacing w:line="276" w:lineRule="auto"/>
    </w:pPr>
    <w:rPr>
      <w:rFonts w:ascii="Arial" w:eastAsia="Arial" w:hAnsi="Arial" w:cs="Arial"/>
      <w:sz w:val="18"/>
      <w:szCs w:val="18"/>
    </w:rPr>
  </w:style>
  <w:style w:type="character" w:customStyle="1" w:styleId="lgendeCar">
    <w:name w:val="légende Car"/>
    <w:basedOn w:val="Policepardfaut"/>
    <w:link w:val="lgende"/>
    <w:rsid w:val="00362251"/>
    <w:rPr>
      <w:rFonts w:ascii="Arial" w:eastAsia="Arial" w:hAnsi="Arial" w:cs="Arial"/>
      <w:color w:val="000000"/>
      <w:kern w:val="0"/>
      <w:sz w:val="18"/>
      <w:szCs w:val="18"/>
      <w:lang w:val="fr" w:eastAsia="fr-FR"/>
      <w14:ligatures w14:val="none"/>
    </w:rPr>
  </w:style>
  <w:style w:type="paragraph" w:customStyle="1" w:styleId="11titre">
    <w:name w:val="1.1 titre"/>
    <w:basedOn w:val="1titre"/>
    <w:link w:val="11titreCar"/>
    <w:rsid w:val="00F90151"/>
    <w:pPr>
      <w:numPr>
        <w:numId w:val="0"/>
      </w:numPr>
    </w:pPr>
  </w:style>
  <w:style w:type="character" w:customStyle="1" w:styleId="11titreCar">
    <w:name w:val="1.1 titre Car"/>
    <w:basedOn w:val="1titreCar"/>
    <w:link w:val="11titre"/>
    <w:rsid w:val="00F90151"/>
    <w:rPr>
      <w:rFonts w:ascii="Trebuchet MS" w:eastAsia="Trebuchet MS" w:hAnsi="Trebuchet MS" w:cs="Trebuchet MS"/>
      <w:b/>
      <w:bCs/>
      <w:color w:val="000000"/>
      <w:kern w:val="0"/>
      <w:szCs w:val="20"/>
      <w:lang w:val="fr" w:eastAsia="fr-FR"/>
      <w14:ligatures w14:val="none"/>
    </w:rPr>
  </w:style>
  <w:style w:type="paragraph" w:styleId="Commentaire">
    <w:name w:val="annotation text"/>
    <w:basedOn w:val="Normal"/>
    <w:link w:val="CommentaireCar"/>
    <w:uiPriority w:val="99"/>
    <w:semiHidden/>
    <w:unhideWhenUsed/>
    <w:pPr>
      <w:spacing w:line="240" w:lineRule="auto"/>
    </w:pPr>
  </w:style>
  <w:style w:type="character" w:customStyle="1" w:styleId="CommentaireCar">
    <w:name w:val="Commentaire Car"/>
    <w:basedOn w:val="Policepardfaut"/>
    <w:link w:val="Commentaire"/>
    <w:uiPriority w:val="99"/>
    <w:semiHidden/>
    <w:rPr>
      <w:rFonts w:ascii="Trebuchet MS" w:eastAsia="Trebuchet MS" w:hAnsi="Trebuchet MS" w:cs="Trebuchet MS"/>
      <w:color w:val="000000"/>
      <w:kern w:val="0"/>
      <w:szCs w:val="20"/>
      <w:lang w:val="fr" w:eastAsia="fr-FR"/>
      <w14:ligatures w14:val="none"/>
    </w:rPr>
  </w:style>
  <w:style w:type="table" w:styleId="Grilledutableau">
    <w:name w:val="Table Grid"/>
    <w:basedOn w:val="TableauNormal"/>
    <w:uiPriority w:val="39"/>
    <w:rsid w:val="00AD3F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Normal"/>
    <w:rsid w:val="006F3E0E"/>
    <w:pPr>
      <w:jc w:val="both"/>
    </w:pPr>
    <w:rPr>
      <w:rFonts w:ascii="Trebuchet MS" w:eastAsia="Trebuchet MS" w:hAnsi="Trebuchet MS" w:cs="Trebuchet MS"/>
      <w:kern w:val="0"/>
      <w:szCs w:val="20"/>
      <w:lang w:val="fr" w:eastAsia="fr-FR"/>
      <w14:ligatures w14:val="none"/>
    </w:rPr>
    <w:tblPr>
      <w:tblCellMar>
        <w:top w:w="100" w:type="dxa"/>
        <w:left w:w="100" w:type="dxa"/>
        <w:bottom w:w="100" w:type="dxa"/>
        <w:right w:w="100" w:type="dxa"/>
      </w:tblCellMar>
    </w:tblPr>
  </w:style>
  <w:style w:type="paragraph" w:customStyle="1" w:styleId="pieddepage">
    <w:name w:val="pied de page"/>
    <w:basedOn w:val="Normal"/>
    <w:link w:val="pieddepageCar"/>
    <w:qFormat/>
    <w:rsid w:val="00E97955"/>
    <w:pPr>
      <w:pBdr>
        <w:top w:val="nil"/>
        <w:left w:val="nil"/>
        <w:bottom w:val="nil"/>
        <w:right w:val="nil"/>
        <w:between w:val="nil"/>
      </w:pBdr>
      <w:spacing w:line="240" w:lineRule="auto"/>
    </w:pPr>
    <w:rPr>
      <w:rFonts w:ascii="Arial" w:eastAsia="Arial" w:hAnsi="Arial" w:cs="Arial"/>
      <w:sz w:val="16"/>
      <w:szCs w:val="16"/>
    </w:rPr>
  </w:style>
  <w:style w:type="character" w:customStyle="1" w:styleId="pieddepageCar">
    <w:name w:val="pied de page Car"/>
    <w:basedOn w:val="Policepardfaut"/>
    <w:link w:val="pieddepage"/>
    <w:rsid w:val="00E97955"/>
    <w:rPr>
      <w:rFonts w:ascii="Arial" w:eastAsia="Arial" w:hAnsi="Arial" w:cs="Arial"/>
      <w:color w:val="000000"/>
      <w:kern w:val="0"/>
      <w:sz w:val="16"/>
      <w:szCs w:val="16"/>
      <w:lang w:val="fr" w:eastAsia="fr-FR"/>
      <w14:ligatures w14:val="none"/>
    </w:rPr>
  </w:style>
  <w:style w:type="paragraph" w:styleId="En-tte">
    <w:name w:val="header"/>
    <w:aliases w:val="Car"/>
    <w:basedOn w:val="Normal"/>
    <w:link w:val="En-tteCar"/>
    <w:unhideWhenUsed/>
    <w:rsid w:val="000E6685"/>
    <w:pPr>
      <w:tabs>
        <w:tab w:val="center" w:pos="4536"/>
        <w:tab w:val="right" w:pos="9072"/>
      </w:tabs>
      <w:spacing w:line="240" w:lineRule="auto"/>
    </w:pPr>
  </w:style>
  <w:style w:type="character" w:customStyle="1" w:styleId="En-tteCar">
    <w:name w:val="En-tête Car"/>
    <w:aliases w:val="Car Car"/>
    <w:basedOn w:val="Policepardfaut"/>
    <w:link w:val="En-tte"/>
    <w:rsid w:val="000E6685"/>
    <w:rPr>
      <w:rFonts w:ascii="Trebuchet MS" w:eastAsia="Trebuchet MS" w:hAnsi="Trebuchet MS" w:cs="Trebuchet MS"/>
      <w:color w:val="000000"/>
      <w:kern w:val="0"/>
      <w:szCs w:val="20"/>
      <w:lang w:val="fr" w:eastAsia="fr-FR"/>
      <w14:ligatures w14:val="none"/>
    </w:rPr>
  </w:style>
  <w:style w:type="paragraph" w:styleId="Pieddepage0">
    <w:name w:val="footer"/>
    <w:basedOn w:val="Normal"/>
    <w:link w:val="PieddepageCar0"/>
    <w:uiPriority w:val="99"/>
    <w:unhideWhenUsed/>
    <w:rsid w:val="000E6685"/>
    <w:pPr>
      <w:tabs>
        <w:tab w:val="center" w:pos="4536"/>
        <w:tab w:val="right" w:pos="9072"/>
      </w:tabs>
      <w:spacing w:line="240" w:lineRule="auto"/>
    </w:pPr>
  </w:style>
  <w:style w:type="character" w:customStyle="1" w:styleId="PieddepageCar0">
    <w:name w:val="Pied de page Car"/>
    <w:basedOn w:val="Policepardfaut"/>
    <w:link w:val="Pieddepage0"/>
    <w:uiPriority w:val="99"/>
    <w:rsid w:val="000E6685"/>
    <w:rPr>
      <w:rFonts w:ascii="Trebuchet MS" w:eastAsia="Trebuchet MS" w:hAnsi="Trebuchet MS" w:cs="Trebuchet MS"/>
      <w:color w:val="000000"/>
      <w:kern w:val="0"/>
      <w:szCs w:val="20"/>
      <w:lang w:val="fr"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0.jpg"/><Relationship Id="rId26" Type="http://schemas.openxmlformats.org/officeDocument/2006/relationships/image" Target="media/image18.jp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jpg"/><Relationship Id="rId42" Type="http://schemas.openxmlformats.org/officeDocument/2006/relationships/footer" Target="footer1.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g"/><Relationship Id="rId29" Type="http://schemas.openxmlformats.org/officeDocument/2006/relationships/image" Target="media/image21.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jpg"/><Relationship Id="rId32" Type="http://schemas.openxmlformats.org/officeDocument/2006/relationships/image" Target="media/image24.jpg"/><Relationship Id="rId37" Type="http://schemas.openxmlformats.org/officeDocument/2006/relationships/image" Target="media/image29.jpg"/><Relationship Id="rId40" Type="http://schemas.openxmlformats.org/officeDocument/2006/relationships/header" Target="header1.xml"/><Relationship Id="rId45"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jpg"/><Relationship Id="rId28" Type="http://schemas.openxmlformats.org/officeDocument/2006/relationships/image" Target="media/image20.jpg"/><Relationship Id="rId36" Type="http://schemas.openxmlformats.org/officeDocument/2006/relationships/image" Target="media/image28.jpg"/><Relationship Id="rId10" Type="http://schemas.openxmlformats.org/officeDocument/2006/relationships/image" Target="media/image3.png"/><Relationship Id="rId19" Type="http://schemas.openxmlformats.org/officeDocument/2006/relationships/image" Target="media/image11.jpg"/><Relationship Id="rId31" Type="http://schemas.openxmlformats.org/officeDocument/2006/relationships/image" Target="media/image23.png"/><Relationship Id="rId44"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50.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footer" Target="footer2.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9.jpg"/><Relationship Id="rId25" Type="http://schemas.openxmlformats.org/officeDocument/2006/relationships/image" Target="media/image17.jpg"/><Relationship Id="rId33" Type="http://schemas.openxmlformats.org/officeDocument/2006/relationships/image" Target="media/image25.jpg"/><Relationship Id="rId38" Type="http://schemas.openxmlformats.org/officeDocument/2006/relationships/image" Target="media/image30.jpg"/><Relationship Id="rId46" Type="http://schemas.openxmlformats.org/officeDocument/2006/relationships/fontTable" Target="fontTable.xml"/><Relationship Id="rId20" Type="http://schemas.openxmlformats.org/officeDocument/2006/relationships/image" Target="media/image12.jpg"/><Relationship Id="rId41"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DDDCC8-CE60-4441-9EBE-0C062C6B5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393</TotalTime>
  <Pages>32</Pages>
  <Words>6009</Words>
  <Characters>34616</Characters>
  <Application>Microsoft Office Word</Application>
  <DocSecurity>0</DocSecurity>
  <Lines>910</Lines>
  <Paragraphs>564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Vaz Carneiro</dc:creator>
  <cp:keywords/>
  <dc:description/>
  <cp:lastModifiedBy>jesus Gonzalez</cp:lastModifiedBy>
  <cp:revision>81</cp:revision>
  <dcterms:created xsi:type="dcterms:W3CDTF">2026-06-02T14:47:00Z</dcterms:created>
  <dcterms:modified xsi:type="dcterms:W3CDTF">2026-09-12T16:57:00Z</dcterms:modified>
</cp:coreProperties>
</file>