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436DF78E" w:rsidR="00E84981" w:rsidRDefault="00213838" w:rsidP="003720F8">
      <w:pPr>
        <w:spacing w:line="276" w:lineRule="auto"/>
        <w:rPr>
          <w:color w:val="2E74B5"/>
          <w:sz w:val="44"/>
          <w:szCs w:val="44"/>
        </w:rPr>
      </w:pPr>
      <w:r w:rsidRPr="00357D58">
        <w:rPr>
          <w:noProof/>
        </w:rPr>
        <w:drawing>
          <wp:anchor distT="0" distB="0" distL="114300" distR="114300" simplePos="0" relativeHeight="251809792" behindDoc="0" locked="0" layoutInCell="1" allowOverlap="1" wp14:anchorId="6CBECC76" wp14:editId="3703C295">
            <wp:simplePos x="0" y="0"/>
            <wp:positionH relativeFrom="column">
              <wp:posOffset>-704996</wp:posOffset>
            </wp:positionH>
            <wp:positionV relativeFrom="paragraph">
              <wp:posOffset>-872519</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36F3F0" w14:textId="0D894930" w:rsidR="006009FC" w:rsidRPr="006009FC" w:rsidRDefault="006009FC" w:rsidP="003720F8">
      <w:pPr>
        <w:pStyle w:val="Titre1"/>
        <w:spacing w:line="276" w:lineRule="auto"/>
        <w:rPr>
          <w:sz w:val="28"/>
          <w:szCs w:val="28"/>
        </w:rPr>
      </w:pPr>
      <w:r w:rsidRPr="00D61A8E">
        <w:rPr>
          <w:rFonts w:ascii="Arial" w:hAnsi="Arial" w:cs="Arial"/>
          <w:noProof/>
          <w:color w:val="3366FF"/>
        </w:rPr>
        <w:drawing>
          <wp:anchor distT="0" distB="0" distL="114300" distR="114300" simplePos="0" relativeHeight="251778048" behindDoc="1" locked="0" layoutInCell="1" allowOverlap="1" wp14:anchorId="008C5ACE" wp14:editId="7FD66DCE">
            <wp:simplePos x="0" y="0"/>
            <wp:positionH relativeFrom="margin">
              <wp:align>right</wp:align>
            </wp:positionH>
            <wp:positionV relativeFrom="paragraph">
              <wp:posOffset>7620</wp:posOffset>
            </wp:positionV>
            <wp:extent cx="2160270" cy="1439545"/>
            <wp:effectExtent l="0" t="0" r="0" b="8255"/>
            <wp:wrapTight wrapText="bothSides">
              <wp:wrapPolygon edited="0">
                <wp:start x="0" y="0"/>
                <wp:lineTo x="0" y="21438"/>
                <wp:lineTo x="21333" y="21438"/>
                <wp:lineTo x="21333" y="0"/>
                <wp:lineTo x="0" y="0"/>
              </wp:wrapPolygon>
            </wp:wrapTight>
            <wp:docPr id="8872832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83296" name=""/>
                    <pic:cNvPicPr/>
                  </pic:nvPicPr>
                  <pic:blipFill>
                    <a:blip r:embed="rId9"/>
                    <a:stretch>
                      <a:fillRect/>
                    </a:stretch>
                  </pic:blipFill>
                  <pic:spPr>
                    <a:xfrm>
                      <a:off x="0" y="0"/>
                      <a:ext cx="2160270" cy="1439545"/>
                    </a:xfrm>
                    <a:prstGeom prst="rect">
                      <a:avLst/>
                    </a:prstGeom>
                  </pic:spPr>
                </pic:pic>
              </a:graphicData>
            </a:graphic>
            <wp14:sizeRelH relativeFrom="margin">
              <wp14:pctWidth>0</wp14:pctWidth>
            </wp14:sizeRelH>
            <wp14:sizeRelV relativeFrom="margin">
              <wp14:pctHeight>0</wp14:pctHeight>
            </wp14:sizeRelV>
          </wp:anchor>
        </w:drawing>
      </w:r>
      <w:r w:rsidR="00E84981" w:rsidRPr="00E84981">
        <w:t>Item </w:t>
      </w:r>
      <w:bookmarkStart w:id="0" w:name="_heading=h.j7k05ddw17s6" w:colFirst="0" w:colLast="0"/>
      <w:bookmarkEnd w:id="0"/>
      <w:r w:rsidRPr="007C39A4">
        <w:t>2</w:t>
      </w:r>
      <w:r>
        <w:t>26</w:t>
      </w:r>
      <w:r w:rsidRPr="007C39A4">
        <w:t xml:space="preserve"> – </w:t>
      </w:r>
      <w:r>
        <w:t>Embolie pulmonaire et thrombose veineuse profonde</w:t>
      </w:r>
    </w:p>
    <w:p w14:paraId="1D7886DB" w14:textId="51AB7187" w:rsidR="00E84981" w:rsidRPr="006009FC" w:rsidRDefault="006009FC" w:rsidP="003720F8">
      <w:pPr>
        <w:pStyle w:val="Titreditem"/>
        <w:spacing w:after="0" w:line="276" w:lineRule="auto"/>
        <w:ind w:right="3542"/>
        <w:jc w:val="center"/>
      </w:pPr>
      <w:r w:rsidRPr="007C39A4">
        <w:t>Item </w:t>
      </w:r>
      <w:r>
        <w:t>330</w:t>
      </w:r>
      <w:r w:rsidRPr="007C39A4">
        <w:t xml:space="preserve"> – </w:t>
      </w:r>
      <w:r>
        <w:t>Prescription et surveillance des antithrombotiques</w:t>
      </w:r>
    </w:p>
    <w:p w14:paraId="6DFD19A8" w14:textId="77777777" w:rsidR="008B41F0" w:rsidRPr="00E84981" w:rsidRDefault="008B41F0" w:rsidP="003720F8">
      <w:pPr>
        <w:spacing w:line="276" w:lineRule="auto"/>
        <w:rPr>
          <w:sz w:val="10"/>
          <w:szCs w:val="10"/>
        </w:rPr>
      </w:pPr>
    </w:p>
    <w:tbl>
      <w:tblPr>
        <w:tblW w:w="9012" w:type="dxa"/>
        <w:tblInd w:w="55"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CellMar>
          <w:left w:w="70" w:type="dxa"/>
          <w:right w:w="70" w:type="dxa"/>
        </w:tblCellMar>
        <w:tblLook w:val="04A0" w:firstRow="1" w:lastRow="0" w:firstColumn="1" w:lastColumn="0" w:noHBand="0" w:noVBand="1"/>
      </w:tblPr>
      <w:tblGrid>
        <w:gridCol w:w="631"/>
        <w:gridCol w:w="2003"/>
        <w:gridCol w:w="6378"/>
      </w:tblGrid>
      <w:tr w:rsidR="006009FC" w:rsidRPr="008E6A7C" w14:paraId="5E3B6DF3" w14:textId="77777777" w:rsidTr="006009FC">
        <w:trPr>
          <w:trHeight w:val="201"/>
        </w:trPr>
        <w:tc>
          <w:tcPr>
            <w:tcW w:w="631" w:type="dxa"/>
            <w:shd w:val="clear" w:color="auto" w:fill="2E74B5"/>
            <w:vAlign w:val="center"/>
            <w:hideMark/>
          </w:tcPr>
          <w:p w14:paraId="247224D9" w14:textId="77777777" w:rsidR="006009FC" w:rsidRPr="008E6A7C" w:rsidRDefault="006009FC" w:rsidP="003720F8">
            <w:pPr>
              <w:spacing w:line="276" w:lineRule="auto"/>
              <w:jc w:val="center"/>
              <w:rPr>
                <w:rFonts w:ascii="Calibri" w:hAnsi="Calibri"/>
                <w:b/>
                <w:bCs/>
                <w:color w:val="FFFFFF" w:themeColor="background1"/>
              </w:rPr>
            </w:pPr>
            <w:r w:rsidRPr="008E6A7C">
              <w:rPr>
                <w:rFonts w:ascii="Calibri" w:hAnsi="Calibri"/>
                <w:b/>
                <w:bCs/>
                <w:color w:val="FFFFFF" w:themeColor="background1"/>
              </w:rPr>
              <w:t>Rang</w:t>
            </w:r>
          </w:p>
        </w:tc>
        <w:tc>
          <w:tcPr>
            <w:tcW w:w="2003" w:type="dxa"/>
            <w:shd w:val="clear" w:color="auto" w:fill="2E74B5"/>
            <w:vAlign w:val="center"/>
            <w:hideMark/>
          </w:tcPr>
          <w:p w14:paraId="49FC5320" w14:textId="77777777" w:rsidR="006009FC" w:rsidRPr="008E6A7C" w:rsidRDefault="006009FC" w:rsidP="003720F8">
            <w:pPr>
              <w:spacing w:line="276" w:lineRule="auto"/>
              <w:jc w:val="center"/>
              <w:rPr>
                <w:rFonts w:ascii="Calibri" w:hAnsi="Calibri"/>
                <w:b/>
                <w:bCs/>
                <w:color w:val="FFFFFF" w:themeColor="background1"/>
              </w:rPr>
            </w:pPr>
            <w:r w:rsidRPr="008E6A7C">
              <w:rPr>
                <w:rFonts w:ascii="Calibri" w:hAnsi="Calibri"/>
                <w:b/>
                <w:bCs/>
                <w:color w:val="FFFFFF" w:themeColor="background1"/>
              </w:rPr>
              <w:t>Rubrique</w:t>
            </w:r>
          </w:p>
        </w:tc>
        <w:tc>
          <w:tcPr>
            <w:tcW w:w="6378" w:type="dxa"/>
            <w:shd w:val="clear" w:color="auto" w:fill="2E74B5"/>
            <w:hideMark/>
          </w:tcPr>
          <w:p w14:paraId="700DD89A" w14:textId="77777777" w:rsidR="006009FC" w:rsidRPr="008E6A7C" w:rsidRDefault="006009FC" w:rsidP="003720F8">
            <w:pPr>
              <w:spacing w:line="276" w:lineRule="auto"/>
              <w:jc w:val="center"/>
              <w:rPr>
                <w:rFonts w:ascii="Calibri" w:hAnsi="Calibri"/>
                <w:b/>
                <w:bCs/>
                <w:color w:val="FFFFFF" w:themeColor="background1"/>
              </w:rPr>
            </w:pPr>
            <w:r w:rsidRPr="008E6A7C">
              <w:rPr>
                <w:rFonts w:ascii="Calibri" w:hAnsi="Calibri"/>
                <w:b/>
                <w:bCs/>
                <w:color w:val="FFFFFF" w:themeColor="background1"/>
              </w:rPr>
              <w:t>Intitulé des connaissances</w:t>
            </w:r>
          </w:p>
        </w:tc>
      </w:tr>
      <w:tr w:rsidR="006009FC" w:rsidRPr="008E6A7C" w14:paraId="3CE1FA17" w14:textId="77777777" w:rsidTr="006009FC">
        <w:trPr>
          <w:trHeight w:val="32"/>
        </w:trPr>
        <w:tc>
          <w:tcPr>
            <w:tcW w:w="631" w:type="dxa"/>
            <w:vAlign w:val="center"/>
            <w:hideMark/>
          </w:tcPr>
          <w:p w14:paraId="28F5F399" w14:textId="77777777" w:rsidR="006009FC" w:rsidRPr="008E6A7C" w:rsidRDefault="006009FC" w:rsidP="003720F8">
            <w:pPr>
              <w:spacing w:line="276" w:lineRule="auto"/>
              <w:jc w:val="center"/>
              <w:rPr>
                <w:rFonts w:ascii="Calibri" w:hAnsi="Calibri"/>
                <w:bCs/>
                <w:color w:val="000000" w:themeColor="text1"/>
              </w:rPr>
            </w:pPr>
            <w:r w:rsidRPr="008E6A7C">
              <w:rPr>
                <w:rFonts w:ascii="Calibri" w:hAnsi="Calibri"/>
                <w:bCs/>
              </w:rPr>
              <w:t>A</w:t>
            </w:r>
          </w:p>
        </w:tc>
        <w:tc>
          <w:tcPr>
            <w:tcW w:w="2003" w:type="dxa"/>
            <w:vAlign w:val="center"/>
            <w:hideMark/>
          </w:tcPr>
          <w:p w14:paraId="7E8EF2C5" w14:textId="77777777" w:rsidR="006009FC" w:rsidRPr="008E6A7C" w:rsidRDefault="006009FC" w:rsidP="003720F8">
            <w:pPr>
              <w:spacing w:line="276" w:lineRule="auto"/>
              <w:jc w:val="left"/>
              <w:rPr>
                <w:rFonts w:ascii="Calibri" w:hAnsi="Calibri"/>
                <w:color w:val="000000" w:themeColor="text1"/>
              </w:rPr>
            </w:pPr>
            <w:r w:rsidRPr="008E6A7C">
              <w:rPr>
                <w:rFonts w:ascii="Calibri" w:hAnsi="Calibri"/>
              </w:rPr>
              <w:t>Définition</w:t>
            </w:r>
          </w:p>
        </w:tc>
        <w:tc>
          <w:tcPr>
            <w:tcW w:w="6378" w:type="dxa"/>
            <w:vAlign w:val="center"/>
            <w:hideMark/>
          </w:tcPr>
          <w:p w14:paraId="4D0466A1" w14:textId="77777777" w:rsidR="006009FC" w:rsidRPr="008E6A7C" w:rsidRDefault="006009FC" w:rsidP="003720F8">
            <w:pPr>
              <w:spacing w:line="276" w:lineRule="auto"/>
              <w:rPr>
                <w:rFonts w:ascii="Calibri" w:hAnsi="Calibri"/>
                <w:bCs/>
                <w:color w:val="000000" w:themeColor="text1"/>
              </w:rPr>
            </w:pPr>
            <w:r w:rsidRPr="008E6A7C">
              <w:rPr>
                <w:rFonts w:ascii="Calibri" w:hAnsi="Calibri"/>
              </w:rPr>
              <w:t>Définition TVP, TVP proximale, TVP distale, EP, EP grave</w:t>
            </w:r>
          </w:p>
        </w:tc>
      </w:tr>
      <w:tr w:rsidR="006009FC" w:rsidRPr="008E6A7C" w14:paraId="6F570F2A" w14:textId="77777777" w:rsidTr="006009FC">
        <w:trPr>
          <w:trHeight w:val="32"/>
        </w:trPr>
        <w:tc>
          <w:tcPr>
            <w:tcW w:w="631" w:type="dxa"/>
            <w:vAlign w:val="center"/>
          </w:tcPr>
          <w:p w14:paraId="444428C2" w14:textId="77777777" w:rsidR="006009FC" w:rsidRPr="008E6A7C" w:rsidRDefault="006009FC" w:rsidP="003720F8">
            <w:pPr>
              <w:spacing w:line="276" w:lineRule="auto"/>
              <w:jc w:val="center"/>
              <w:rPr>
                <w:rFonts w:ascii="Calibri" w:hAnsi="Calibri"/>
                <w:bCs/>
              </w:rPr>
            </w:pPr>
            <w:r w:rsidRPr="008E6A7C">
              <w:rPr>
                <w:rFonts w:ascii="Calibri" w:hAnsi="Calibri"/>
                <w:bCs/>
              </w:rPr>
              <w:t>A</w:t>
            </w:r>
          </w:p>
        </w:tc>
        <w:tc>
          <w:tcPr>
            <w:tcW w:w="2003" w:type="dxa"/>
            <w:vAlign w:val="center"/>
          </w:tcPr>
          <w:p w14:paraId="05DC839B" w14:textId="77777777" w:rsidR="006009FC" w:rsidRPr="008E6A7C" w:rsidRDefault="006009FC" w:rsidP="003720F8">
            <w:pPr>
              <w:spacing w:line="276" w:lineRule="auto"/>
              <w:jc w:val="left"/>
              <w:rPr>
                <w:rFonts w:ascii="Calibri" w:hAnsi="Calibri"/>
              </w:rPr>
            </w:pPr>
            <w:r w:rsidRPr="008E6A7C">
              <w:rPr>
                <w:rFonts w:ascii="Calibri" w:hAnsi="Calibri"/>
              </w:rPr>
              <w:t xml:space="preserve">Diagnostic positif </w:t>
            </w:r>
          </w:p>
        </w:tc>
        <w:tc>
          <w:tcPr>
            <w:tcW w:w="6378" w:type="dxa"/>
            <w:vAlign w:val="center"/>
          </w:tcPr>
          <w:p w14:paraId="77B17EB6" w14:textId="428EDD04" w:rsidR="006009FC" w:rsidRPr="008E6A7C" w:rsidRDefault="006009FC" w:rsidP="003720F8">
            <w:pPr>
              <w:spacing w:line="276" w:lineRule="auto"/>
              <w:rPr>
                <w:rFonts w:ascii="Calibri" w:hAnsi="Calibri"/>
              </w:rPr>
            </w:pPr>
            <w:r w:rsidRPr="008E6A7C">
              <w:rPr>
                <w:rFonts w:ascii="Calibri" w:hAnsi="Calibri"/>
              </w:rPr>
              <w:t xml:space="preserve">Savoir diagnostiquer une </w:t>
            </w:r>
            <w:r w:rsidR="0026545F">
              <w:rPr>
                <w:rFonts w:ascii="Calibri" w:hAnsi="Calibri"/>
              </w:rPr>
              <w:t>MTEV</w:t>
            </w:r>
            <w:r w:rsidRPr="008E6A7C">
              <w:rPr>
                <w:rFonts w:ascii="Calibri" w:hAnsi="Calibri"/>
              </w:rPr>
              <w:t xml:space="preserve"> (TVP, EP)</w:t>
            </w:r>
            <w:r>
              <w:rPr>
                <w:rFonts w:ascii="Calibri" w:hAnsi="Calibri"/>
              </w:rPr>
              <w:t> </w:t>
            </w:r>
            <w:r w:rsidRPr="008E6A7C">
              <w:rPr>
                <w:rFonts w:ascii="Calibri" w:hAnsi="Calibri"/>
              </w:rPr>
              <w:t>: signes cliniques, stratégie diagnostique incluant les scores, signes paracliniques, principaux diagnostics différentiels</w:t>
            </w:r>
          </w:p>
        </w:tc>
      </w:tr>
      <w:tr w:rsidR="006009FC" w:rsidRPr="008E6A7C" w14:paraId="5D0FEDA1" w14:textId="77777777" w:rsidTr="006009FC">
        <w:trPr>
          <w:trHeight w:val="201"/>
        </w:trPr>
        <w:tc>
          <w:tcPr>
            <w:tcW w:w="631" w:type="dxa"/>
            <w:vAlign w:val="center"/>
            <w:hideMark/>
          </w:tcPr>
          <w:p w14:paraId="79EDB29E" w14:textId="77777777" w:rsidR="006009FC" w:rsidRPr="008E6A7C" w:rsidRDefault="006009FC" w:rsidP="003720F8">
            <w:pPr>
              <w:spacing w:line="276" w:lineRule="auto"/>
              <w:jc w:val="center"/>
              <w:rPr>
                <w:rFonts w:ascii="Calibri" w:hAnsi="Calibri"/>
                <w:bCs/>
                <w:i/>
                <w:iCs/>
                <w:color w:val="2E74B5"/>
              </w:rPr>
            </w:pPr>
            <w:r w:rsidRPr="008E6A7C">
              <w:rPr>
                <w:rFonts w:ascii="Calibri" w:hAnsi="Calibri"/>
                <w:bCs/>
              </w:rPr>
              <w:t>A</w:t>
            </w:r>
          </w:p>
        </w:tc>
        <w:tc>
          <w:tcPr>
            <w:tcW w:w="2003" w:type="dxa"/>
            <w:vAlign w:val="center"/>
            <w:hideMark/>
          </w:tcPr>
          <w:p w14:paraId="2EEA5B0C" w14:textId="77777777" w:rsidR="006009FC" w:rsidRPr="008E6A7C" w:rsidRDefault="006009FC" w:rsidP="003720F8">
            <w:pPr>
              <w:spacing w:line="276" w:lineRule="auto"/>
              <w:jc w:val="left"/>
              <w:rPr>
                <w:rFonts w:ascii="Calibri" w:hAnsi="Calibri"/>
                <w:i/>
                <w:iCs/>
                <w:color w:val="2E74B5"/>
              </w:rPr>
            </w:pPr>
            <w:r w:rsidRPr="008E6A7C">
              <w:rPr>
                <w:rFonts w:ascii="Calibri" w:hAnsi="Calibri"/>
              </w:rPr>
              <w:t xml:space="preserve">Diagnostic positif </w:t>
            </w:r>
          </w:p>
        </w:tc>
        <w:tc>
          <w:tcPr>
            <w:tcW w:w="6378" w:type="dxa"/>
            <w:vAlign w:val="center"/>
            <w:hideMark/>
          </w:tcPr>
          <w:p w14:paraId="6FB3BABE" w14:textId="77777777" w:rsidR="006009FC" w:rsidRPr="008E6A7C" w:rsidRDefault="006009FC" w:rsidP="003720F8">
            <w:pPr>
              <w:spacing w:line="276" w:lineRule="auto"/>
              <w:rPr>
                <w:rFonts w:ascii="Calibri" w:hAnsi="Calibri"/>
                <w:i/>
                <w:iCs/>
                <w:color w:val="2E74B5"/>
              </w:rPr>
            </w:pPr>
            <w:r>
              <w:rPr>
                <w:rFonts w:ascii="Calibri" w:hAnsi="Calibri"/>
              </w:rPr>
              <w:t>Connaître</w:t>
            </w:r>
            <w:r w:rsidRPr="008E6A7C">
              <w:rPr>
                <w:rFonts w:ascii="Calibri" w:hAnsi="Calibri"/>
              </w:rPr>
              <w:t xml:space="preserve"> les indications de dosage des D dimères (TVP, EP) et la notion de seuil d</w:t>
            </w:r>
            <w:r>
              <w:rPr>
                <w:rFonts w:ascii="Calibri" w:hAnsi="Calibri"/>
              </w:rPr>
              <w:t>’</w:t>
            </w:r>
            <w:r w:rsidRPr="008E6A7C">
              <w:rPr>
                <w:rFonts w:ascii="Calibri" w:hAnsi="Calibri"/>
              </w:rPr>
              <w:t>ajustement à l</w:t>
            </w:r>
            <w:r>
              <w:rPr>
                <w:rFonts w:ascii="Calibri" w:hAnsi="Calibri"/>
              </w:rPr>
              <w:t>’</w:t>
            </w:r>
            <w:r w:rsidRPr="008E6A7C">
              <w:rPr>
                <w:rFonts w:ascii="Calibri" w:hAnsi="Calibri"/>
              </w:rPr>
              <w:t>âge dans l’EP</w:t>
            </w:r>
          </w:p>
        </w:tc>
      </w:tr>
      <w:tr w:rsidR="006009FC" w:rsidRPr="008E6A7C" w14:paraId="4905804C" w14:textId="77777777" w:rsidTr="006009FC">
        <w:trPr>
          <w:trHeight w:val="201"/>
        </w:trPr>
        <w:tc>
          <w:tcPr>
            <w:tcW w:w="631" w:type="dxa"/>
            <w:vAlign w:val="center"/>
          </w:tcPr>
          <w:p w14:paraId="471C14D3"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color w:val="0070C0"/>
              </w:rPr>
              <w:t>B</w:t>
            </w:r>
          </w:p>
        </w:tc>
        <w:tc>
          <w:tcPr>
            <w:tcW w:w="2003" w:type="dxa"/>
            <w:vAlign w:val="center"/>
          </w:tcPr>
          <w:p w14:paraId="1B57CC9A" w14:textId="77777777" w:rsidR="006009FC" w:rsidRPr="008E6A7C" w:rsidRDefault="006009FC" w:rsidP="003720F8">
            <w:pPr>
              <w:spacing w:line="276" w:lineRule="auto"/>
              <w:jc w:val="left"/>
              <w:rPr>
                <w:rFonts w:ascii="Calibri" w:hAnsi="Calibri"/>
              </w:rPr>
            </w:pPr>
            <w:r w:rsidRPr="008E6A7C">
              <w:rPr>
                <w:rFonts w:ascii="Calibri" w:hAnsi="Calibri"/>
                <w:color w:val="0070C0"/>
              </w:rPr>
              <w:t>Éléments physiopathologiques</w:t>
            </w:r>
          </w:p>
        </w:tc>
        <w:tc>
          <w:tcPr>
            <w:tcW w:w="6378" w:type="dxa"/>
            <w:vAlign w:val="center"/>
          </w:tcPr>
          <w:p w14:paraId="125103A5" w14:textId="0C8F58DA" w:rsidR="006009FC" w:rsidRPr="008E6A7C" w:rsidRDefault="006009FC" w:rsidP="003720F8">
            <w:pPr>
              <w:spacing w:line="276" w:lineRule="auto"/>
              <w:rPr>
                <w:rFonts w:ascii="Calibri" w:hAnsi="Calibri"/>
              </w:rPr>
            </w:pPr>
            <w:r w:rsidRPr="008E6A7C">
              <w:rPr>
                <w:rFonts w:ascii="Calibri" w:hAnsi="Calibri"/>
                <w:color w:val="0070C0"/>
              </w:rPr>
              <w:t xml:space="preserve">Connaître la physiopathologie de la </w:t>
            </w:r>
            <w:r w:rsidR="0026545F">
              <w:rPr>
                <w:rFonts w:ascii="Calibri" w:hAnsi="Calibri"/>
                <w:color w:val="0070C0"/>
              </w:rPr>
              <w:t>MTEV</w:t>
            </w:r>
            <w:r w:rsidRPr="008E6A7C">
              <w:rPr>
                <w:rFonts w:ascii="Calibri" w:hAnsi="Calibri"/>
                <w:color w:val="0070C0"/>
              </w:rPr>
              <w:t xml:space="preserve"> y compris les formes familiales</w:t>
            </w:r>
          </w:p>
        </w:tc>
      </w:tr>
      <w:tr w:rsidR="006009FC" w:rsidRPr="008E6A7C" w14:paraId="5473F193" w14:textId="77777777" w:rsidTr="006009FC">
        <w:trPr>
          <w:trHeight w:val="201"/>
        </w:trPr>
        <w:tc>
          <w:tcPr>
            <w:tcW w:w="631" w:type="dxa"/>
            <w:tcBorders>
              <w:bottom w:val="single" w:sz="4" w:space="0" w:color="2E74B5"/>
            </w:tcBorders>
            <w:vAlign w:val="center"/>
            <w:hideMark/>
          </w:tcPr>
          <w:p w14:paraId="7317B5A7"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color w:val="0070C0"/>
              </w:rPr>
              <w:t>B</w:t>
            </w:r>
          </w:p>
        </w:tc>
        <w:tc>
          <w:tcPr>
            <w:tcW w:w="2003" w:type="dxa"/>
            <w:tcBorders>
              <w:bottom w:val="single" w:sz="4" w:space="0" w:color="2E74B5"/>
            </w:tcBorders>
            <w:vAlign w:val="center"/>
            <w:hideMark/>
          </w:tcPr>
          <w:p w14:paraId="6FA0C3E6" w14:textId="77777777" w:rsidR="006009FC" w:rsidRPr="008E6A7C" w:rsidRDefault="006009FC" w:rsidP="003720F8">
            <w:pPr>
              <w:spacing w:line="276" w:lineRule="auto"/>
              <w:jc w:val="left"/>
              <w:rPr>
                <w:rFonts w:ascii="Calibri" w:hAnsi="Calibri"/>
                <w:color w:val="2E74B5"/>
              </w:rPr>
            </w:pPr>
            <w:r w:rsidRPr="008E6A7C">
              <w:rPr>
                <w:rFonts w:ascii="Calibri" w:hAnsi="Calibri"/>
                <w:color w:val="0070C0"/>
              </w:rPr>
              <w:t>Étiologies</w:t>
            </w:r>
          </w:p>
        </w:tc>
        <w:tc>
          <w:tcPr>
            <w:tcW w:w="6378" w:type="dxa"/>
            <w:tcBorders>
              <w:bottom w:val="single" w:sz="4" w:space="0" w:color="2E74B5"/>
            </w:tcBorders>
            <w:vAlign w:val="center"/>
            <w:hideMark/>
          </w:tcPr>
          <w:p w14:paraId="05882EB1" w14:textId="10A68450" w:rsidR="006009FC" w:rsidRPr="008E6A7C" w:rsidRDefault="006009FC" w:rsidP="003720F8">
            <w:pPr>
              <w:spacing w:line="276" w:lineRule="auto"/>
              <w:rPr>
                <w:rFonts w:ascii="Calibri" w:hAnsi="Calibri"/>
                <w:color w:val="2E74B5"/>
              </w:rPr>
            </w:pPr>
            <w:r w:rsidRPr="008E6A7C">
              <w:rPr>
                <w:rFonts w:ascii="Calibri" w:hAnsi="Calibri"/>
                <w:color w:val="0070C0"/>
              </w:rPr>
              <w:t>Savoir porter l</w:t>
            </w:r>
            <w:r>
              <w:rPr>
                <w:rFonts w:ascii="Calibri" w:hAnsi="Calibri"/>
                <w:color w:val="0070C0"/>
              </w:rPr>
              <w:t>’</w:t>
            </w:r>
            <w:r w:rsidRPr="008E6A7C">
              <w:rPr>
                <w:rFonts w:ascii="Calibri" w:hAnsi="Calibri"/>
                <w:color w:val="0070C0"/>
              </w:rPr>
              <w:t xml:space="preserve">indication et réaliser la recherche de cancer en cas de </w:t>
            </w:r>
            <w:r w:rsidR="0026545F">
              <w:rPr>
                <w:rFonts w:ascii="Calibri" w:hAnsi="Calibri"/>
                <w:color w:val="0070C0"/>
              </w:rPr>
              <w:t>MTEV</w:t>
            </w:r>
            <w:r w:rsidRPr="008E6A7C">
              <w:rPr>
                <w:rFonts w:ascii="Calibri" w:hAnsi="Calibri"/>
                <w:color w:val="0070C0"/>
              </w:rPr>
              <w:t xml:space="preserve"> (TVP, EP)</w:t>
            </w:r>
          </w:p>
        </w:tc>
      </w:tr>
      <w:tr w:rsidR="006009FC" w:rsidRPr="008E6A7C" w14:paraId="5BEB31E3" w14:textId="77777777" w:rsidTr="006009FC">
        <w:trPr>
          <w:trHeight w:val="201"/>
        </w:trPr>
        <w:tc>
          <w:tcPr>
            <w:tcW w:w="631" w:type="dxa"/>
            <w:shd w:val="clear" w:color="C00000" w:fill="auto"/>
            <w:vAlign w:val="center"/>
            <w:hideMark/>
          </w:tcPr>
          <w:p w14:paraId="7F0773DC" w14:textId="77777777" w:rsidR="006009FC" w:rsidRPr="008E6A7C" w:rsidRDefault="006009FC" w:rsidP="003720F8">
            <w:pPr>
              <w:spacing w:line="276" w:lineRule="auto"/>
              <w:jc w:val="center"/>
              <w:rPr>
                <w:rFonts w:ascii="Calibri" w:hAnsi="Calibri"/>
                <w:bCs/>
                <w:color w:val="2E74B5"/>
              </w:rPr>
            </w:pPr>
            <w:r w:rsidRPr="008E6A7C">
              <w:rPr>
                <w:rFonts w:ascii="Calibri" w:hAnsi="Calibri"/>
                <w:bCs/>
              </w:rPr>
              <w:t>A</w:t>
            </w:r>
          </w:p>
        </w:tc>
        <w:tc>
          <w:tcPr>
            <w:tcW w:w="2003" w:type="dxa"/>
            <w:shd w:val="clear" w:color="C00000" w:fill="auto"/>
            <w:vAlign w:val="center"/>
            <w:hideMark/>
          </w:tcPr>
          <w:p w14:paraId="5BF4A87F" w14:textId="77777777" w:rsidR="006009FC" w:rsidRPr="008E6A7C" w:rsidRDefault="006009FC" w:rsidP="003720F8">
            <w:pPr>
              <w:spacing w:line="276" w:lineRule="auto"/>
              <w:jc w:val="left"/>
              <w:rPr>
                <w:rFonts w:ascii="Calibri" w:hAnsi="Calibri"/>
                <w:color w:val="2E74B5"/>
              </w:rPr>
            </w:pPr>
            <w:r w:rsidRPr="008E6A7C">
              <w:rPr>
                <w:rFonts w:ascii="Calibri" w:hAnsi="Calibri"/>
              </w:rPr>
              <w:t>Examens complémentaires</w:t>
            </w:r>
          </w:p>
        </w:tc>
        <w:tc>
          <w:tcPr>
            <w:tcW w:w="6378" w:type="dxa"/>
            <w:shd w:val="clear" w:color="C00000" w:fill="auto"/>
            <w:vAlign w:val="center"/>
            <w:hideMark/>
          </w:tcPr>
          <w:p w14:paraId="53F0E76D" w14:textId="1C5C88F2" w:rsidR="006009FC" w:rsidRPr="008E6A7C" w:rsidRDefault="006009FC" w:rsidP="003720F8">
            <w:pPr>
              <w:spacing w:line="276" w:lineRule="auto"/>
              <w:rPr>
                <w:rFonts w:ascii="Calibri" w:hAnsi="Calibri"/>
                <w:color w:val="2E74B5"/>
              </w:rPr>
            </w:pPr>
            <w:r w:rsidRPr="008E6A7C">
              <w:rPr>
                <w:rFonts w:ascii="Calibri" w:hAnsi="Calibri"/>
              </w:rPr>
              <w:t xml:space="preserve">Connaître la place et les limites de </w:t>
            </w:r>
            <w:proofErr w:type="spellStart"/>
            <w:r w:rsidRPr="008E6A7C">
              <w:rPr>
                <w:rFonts w:ascii="Calibri" w:hAnsi="Calibri"/>
              </w:rPr>
              <w:t>l’échoDoppler</w:t>
            </w:r>
            <w:proofErr w:type="spellEnd"/>
            <w:r w:rsidRPr="008E6A7C">
              <w:rPr>
                <w:rFonts w:ascii="Calibri" w:hAnsi="Calibri"/>
              </w:rPr>
              <w:t xml:space="preserve"> veineux pour le diagnostic de </w:t>
            </w:r>
            <w:r w:rsidR="0026545F">
              <w:rPr>
                <w:rFonts w:ascii="Calibri" w:hAnsi="Calibri"/>
              </w:rPr>
              <w:t>MTEV</w:t>
            </w:r>
            <w:r w:rsidRPr="008E6A7C">
              <w:rPr>
                <w:rFonts w:ascii="Calibri" w:hAnsi="Calibri"/>
              </w:rPr>
              <w:t xml:space="preserve"> (TVP, EP)</w:t>
            </w:r>
          </w:p>
        </w:tc>
      </w:tr>
      <w:tr w:rsidR="006009FC" w:rsidRPr="008E6A7C" w14:paraId="638F46A1" w14:textId="77777777" w:rsidTr="006009FC">
        <w:trPr>
          <w:trHeight w:val="201"/>
        </w:trPr>
        <w:tc>
          <w:tcPr>
            <w:tcW w:w="631" w:type="dxa"/>
            <w:shd w:val="clear" w:color="C00000" w:fill="auto"/>
            <w:vAlign w:val="center"/>
            <w:hideMark/>
          </w:tcPr>
          <w:p w14:paraId="68E5C3E1" w14:textId="77777777" w:rsidR="006009FC" w:rsidRPr="008E6A7C" w:rsidRDefault="006009FC" w:rsidP="003720F8">
            <w:pPr>
              <w:spacing w:line="276" w:lineRule="auto"/>
              <w:jc w:val="center"/>
              <w:rPr>
                <w:rFonts w:ascii="Calibri" w:hAnsi="Calibri"/>
                <w:bCs/>
                <w:i/>
                <w:iCs/>
                <w:color w:val="0070C0"/>
              </w:rPr>
            </w:pPr>
            <w:r w:rsidRPr="008E6A7C">
              <w:rPr>
                <w:rFonts w:ascii="Calibri" w:hAnsi="Calibri"/>
                <w:bCs/>
              </w:rPr>
              <w:t>A</w:t>
            </w:r>
          </w:p>
        </w:tc>
        <w:tc>
          <w:tcPr>
            <w:tcW w:w="2003" w:type="dxa"/>
            <w:shd w:val="clear" w:color="C00000" w:fill="auto"/>
            <w:vAlign w:val="center"/>
            <w:hideMark/>
          </w:tcPr>
          <w:p w14:paraId="51987697" w14:textId="77777777" w:rsidR="006009FC" w:rsidRPr="008E6A7C" w:rsidRDefault="006009FC" w:rsidP="003720F8">
            <w:pPr>
              <w:spacing w:line="276" w:lineRule="auto"/>
              <w:jc w:val="left"/>
              <w:rPr>
                <w:rFonts w:ascii="Calibri" w:hAnsi="Calibri"/>
                <w:i/>
                <w:iCs/>
                <w:color w:val="2E74B5"/>
              </w:rPr>
            </w:pPr>
            <w:r w:rsidRPr="008E6A7C">
              <w:rPr>
                <w:rFonts w:ascii="Calibri" w:hAnsi="Calibri"/>
              </w:rPr>
              <w:t>Examens complémentaires</w:t>
            </w:r>
          </w:p>
        </w:tc>
        <w:tc>
          <w:tcPr>
            <w:tcW w:w="6378" w:type="dxa"/>
            <w:shd w:val="clear" w:color="C00000" w:fill="auto"/>
            <w:vAlign w:val="center"/>
            <w:hideMark/>
          </w:tcPr>
          <w:p w14:paraId="610A4F40" w14:textId="77777777" w:rsidR="006009FC" w:rsidRPr="008E6A7C" w:rsidRDefault="006009FC" w:rsidP="003720F8">
            <w:pPr>
              <w:spacing w:line="276" w:lineRule="auto"/>
              <w:rPr>
                <w:rFonts w:ascii="Calibri" w:hAnsi="Calibri"/>
                <w:i/>
                <w:iCs/>
                <w:color w:val="2E74B5"/>
              </w:rPr>
            </w:pPr>
            <w:r w:rsidRPr="008E6A7C">
              <w:rPr>
                <w:rFonts w:ascii="Calibri" w:hAnsi="Calibri"/>
              </w:rPr>
              <w:t>Connaître la place et les limites des examens d</w:t>
            </w:r>
            <w:r>
              <w:rPr>
                <w:rFonts w:ascii="Calibri" w:hAnsi="Calibri"/>
              </w:rPr>
              <w:t>’</w:t>
            </w:r>
            <w:r w:rsidRPr="008E6A7C">
              <w:rPr>
                <w:rFonts w:ascii="Calibri" w:hAnsi="Calibri"/>
              </w:rPr>
              <w:t>imagerie pour le diagnostic d</w:t>
            </w:r>
            <w:r>
              <w:rPr>
                <w:rFonts w:ascii="Calibri" w:hAnsi="Calibri"/>
              </w:rPr>
              <w:t>’</w:t>
            </w:r>
            <w:r w:rsidRPr="008E6A7C">
              <w:rPr>
                <w:rFonts w:ascii="Calibri" w:hAnsi="Calibri"/>
              </w:rPr>
              <w:t>EP</w:t>
            </w:r>
            <w:r>
              <w:rPr>
                <w:rFonts w:ascii="Calibri" w:hAnsi="Calibri"/>
              </w:rPr>
              <w:t> </w:t>
            </w:r>
            <w:r w:rsidRPr="008E6A7C">
              <w:rPr>
                <w:rFonts w:ascii="Calibri" w:hAnsi="Calibri"/>
              </w:rPr>
              <w:t>: Angioscanner thoracique, scintigraphie de ventilation-perfusion, échographie cardiaque transthoracique</w:t>
            </w:r>
          </w:p>
        </w:tc>
      </w:tr>
      <w:tr w:rsidR="006009FC" w:rsidRPr="008E6A7C" w14:paraId="25B9DB96" w14:textId="77777777" w:rsidTr="006009FC">
        <w:trPr>
          <w:trHeight w:val="201"/>
        </w:trPr>
        <w:tc>
          <w:tcPr>
            <w:tcW w:w="631" w:type="dxa"/>
            <w:shd w:val="clear" w:color="C00000" w:fill="auto"/>
            <w:vAlign w:val="center"/>
          </w:tcPr>
          <w:p w14:paraId="0A957C69"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rPr>
              <w:t>A</w:t>
            </w:r>
          </w:p>
        </w:tc>
        <w:tc>
          <w:tcPr>
            <w:tcW w:w="2003" w:type="dxa"/>
            <w:shd w:val="clear" w:color="C00000" w:fill="auto"/>
            <w:vAlign w:val="center"/>
          </w:tcPr>
          <w:p w14:paraId="23D28D88" w14:textId="77777777" w:rsidR="006009FC" w:rsidRPr="008E6A7C" w:rsidRDefault="006009FC" w:rsidP="003720F8">
            <w:pPr>
              <w:spacing w:line="276" w:lineRule="auto"/>
              <w:jc w:val="left"/>
              <w:rPr>
                <w:rFonts w:ascii="Calibri" w:hAnsi="Calibri"/>
              </w:rPr>
            </w:pPr>
            <w:r w:rsidRPr="008E6A7C">
              <w:rPr>
                <w:rFonts w:ascii="Calibri" w:hAnsi="Calibri"/>
              </w:rPr>
              <w:t>Identifier une urgence</w:t>
            </w:r>
          </w:p>
        </w:tc>
        <w:tc>
          <w:tcPr>
            <w:tcW w:w="6378" w:type="dxa"/>
            <w:shd w:val="clear" w:color="C00000" w:fill="auto"/>
            <w:vAlign w:val="center"/>
          </w:tcPr>
          <w:p w14:paraId="5F8C5586" w14:textId="77777777" w:rsidR="006009FC" w:rsidRPr="008E6A7C" w:rsidRDefault="006009FC" w:rsidP="003720F8">
            <w:pPr>
              <w:spacing w:line="276" w:lineRule="auto"/>
              <w:rPr>
                <w:rFonts w:ascii="Calibri" w:hAnsi="Calibri"/>
              </w:rPr>
            </w:pPr>
            <w:r w:rsidRPr="008E6A7C">
              <w:rPr>
                <w:rFonts w:ascii="Calibri" w:hAnsi="Calibri"/>
              </w:rPr>
              <w:t>Savoir identifier et connaître la démarche diagnostique en cas d</w:t>
            </w:r>
            <w:r>
              <w:rPr>
                <w:rFonts w:ascii="Calibri" w:hAnsi="Calibri"/>
              </w:rPr>
              <w:t>’</w:t>
            </w:r>
            <w:r w:rsidRPr="008E6A7C">
              <w:rPr>
                <w:rFonts w:ascii="Calibri" w:hAnsi="Calibri"/>
              </w:rPr>
              <w:t>EP grave</w:t>
            </w:r>
          </w:p>
        </w:tc>
      </w:tr>
      <w:tr w:rsidR="006009FC" w:rsidRPr="008E6A7C" w14:paraId="05CCAFB1" w14:textId="77777777" w:rsidTr="006009FC">
        <w:trPr>
          <w:trHeight w:val="201"/>
        </w:trPr>
        <w:tc>
          <w:tcPr>
            <w:tcW w:w="631" w:type="dxa"/>
            <w:shd w:val="clear" w:color="C00000" w:fill="auto"/>
            <w:vAlign w:val="center"/>
          </w:tcPr>
          <w:p w14:paraId="6629BE2A"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rPr>
              <w:t>A</w:t>
            </w:r>
          </w:p>
        </w:tc>
        <w:tc>
          <w:tcPr>
            <w:tcW w:w="2003" w:type="dxa"/>
            <w:shd w:val="clear" w:color="C00000" w:fill="auto"/>
            <w:vAlign w:val="center"/>
          </w:tcPr>
          <w:p w14:paraId="6A7145B2" w14:textId="77777777" w:rsidR="006009FC" w:rsidRPr="008E6A7C" w:rsidRDefault="006009FC" w:rsidP="003720F8">
            <w:pPr>
              <w:spacing w:line="276" w:lineRule="auto"/>
              <w:jc w:val="left"/>
              <w:rPr>
                <w:rFonts w:ascii="Calibri" w:hAnsi="Calibri"/>
              </w:rPr>
            </w:pPr>
            <w:r w:rsidRPr="008E6A7C">
              <w:rPr>
                <w:rFonts w:ascii="Calibri" w:hAnsi="Calibri"/>
              </w:rPr>
              <w:t>Prévalence, épidémiologie</w:t>
            </w:r>
          </w:p>
        </w:tc>
        <w:tc>
          <w:tcPr>
            <w:tcW w:w="6378" w:type="dxa"/>
            <w:shd w:val="clear" w:color="C00000" w:fill="auto"/>
            <w:vAlign w:val="center"/>
          </w:tcPr>
          <w:p w14:paraId="168BA1D9" w14:textId="4D6A9354" w:rsidR="006009FC" w:rsidRPr="008E6A7C" w:rsidRDefault="006009FC" w:rsidP="003720F8">
            <w:pPr>
              <w:spacing w:line="276" w:lineRule="auto"/>
              <w:rPr>
                <w:rFonts w:ascii="Calibri" w:hAnsi="Calibri"/>
              </w:rPr>
            </w:pPr>
            <w:r w:rsidRPr="008E6A7C">
              <w:rPr>
                <w:rFonts w:ascii="Calibri" w:hAnsi="Calibri"/>
              </w:rPr>
              <w:t xml:space="preserve">Connaître les situations qui favorisent la </w:t>
            </w:r>
            <w:r w:rsidR="0026545F">
              <w:rPr>
                <w:rFonts w:ascii="Calibri" w:hAnsi="Calibri"/>
              </w:rPr>
              <w:t>MTEV</w:t>
            </w:r>
            <w:r w:rsidRPr="008E6A7C">
              <w:rPr>
                <w:rFonts w:ascii="Calibri" w:hAnsi="Calibri"/>
              </w:rPr>
              <w:t xml:space="preserve"> (circonstances de survenue, facteurs favorisants temporaires et persistants)</w:t>
            </w:r>
          </w:p>
        </w:tc>
      </w:tr>
      <w:tr w:rsidR="006009FC" w:rsidRPr="008E6A7C" w14:paraId="01A80486" w14:textId="77777777" w:rsidTr="006009FC">
        <w:trPr>
          <w:trHeight w:val="201"/>
        </w:trPr>
        <w:tc>
          <w:tcPr>
            <w:tcW w:w="631" w:type="dxa"/>
            <w:shd w:val="clear" w:color="C00000" w:fill="auto"/>
            <w:vAlign w:val="center"/>
          </w:tcPr>
          <w:p w14:paraId="187CD313"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color w:val="0070C0"/>
              </w:rPr>
              <w:t>B</w:t>
            </w:r>
          </w:p>
        </w:tc>
        <w:tc>
          <w:tcPr>
            <w:tcW w:w="2003" w:type="dxa"/>
            <w:shd w:val="clear" w:color="C00000" w:fill="auto"/>
            <w:vAlign w:val="center"/>
          </w:tcPr>
          <w:p w14:paraId="07BA351B" w14:textId="77777777" w:rsidR="006009FC" w:rsidRPr="008E6A7C" w:rsidRDefault="006009FC" w:rsidP="003720F8">
            <w:pPr>
              <w:spacing w:line="276" w:lineRule="auto"/>
              <w:jc w:val="left"/>
              <w:rPr>
                <w:rFonts w:ascii="Calibri" w:hAnsi="Calibri"/>
                <w:color w:val="0070C0"/>
              </w:rPr>
            </w:pPr>
            <w:r w:rsidRPr="008E6A7C">
              <w:rPr>
                <w:rFonts w:ascii="Calibri" w:hAnsi="Calibri"/>
                <w:color w:val="0070C0"/>
              </w:rPr>
              <w:t>Prise en charge</w:t>
            </w:r>
          </w:p>
        </w:tc>
        <w:tc>
          <w:tcPr>
            <w:tcW w:w="6378" w:type="dxa"/>
            <w:shd w:val="clear" w:color="C00000" w:fill="auto"/>
            <w:vAlign w:val="center"/>
          </w:tcPr>
          <w:p w14:paraId="0D93FEF0" w14:textId="77777777" w:rsidR="006009FC" w:rsidRPr="008E6A7C" w:rsidRDefault="006009FC" w:rsidP="003720F8">
            <w:pPr>
              <w:spacing w:line="276" w:lineRule="auto"/>
              <w:rPr>
                <w:rFonts w:ascii="Calibri" w:hAnsi="Calibri"/>
                <w:color w:val="0070C0"/>
              </w:rPr>
            </w:pPr>
            <w:r w:rsidRPr="008E6A7C">
              <w:rPr>
                <w:rFonts w:ascii="Calibri" w:hAnsi="Calibri"/>
                <w:color w:val="0070C0"/>
              </w:rPr>
              <w:t>Connaître les signes de gravité d</w:t>
            </w:r>
            <w:r>
              <w:rPr>
                <w:rFonts w:ascii="Calibri" w:hAnsi="Calibri"/>
                <w:color w:val="0070C0"/>
              </w:rPr>
              <w:t>’</w:t>
            </w:r>
            <w:r w:rsidRPr="008E6A7C">
              <w:rPr>
                <w:rFonts w:ascii="Calibri" w:hAnsi="Calibri"/>
                <w:color w:val="0070C0"/>
              </w:rPr>
              <w:t>une EP et savoir reconnaître les patients pouvant être pris en charge en ambulatoire en cas d</w:t>
            </w:r>
            <w:r>
              <w:rPr>
                <w:rFonts w:ascii="Calibri" w:hAnsi="Calibri"/>
                <w:color w:val="0070C0"/>
              </w:rPr>
              <w:t>’</w:t>
            </w:r>
            <w:r w:rsidRPr="008E6A7C">
              <w:rPr>
                <w:rFonts w:ascii="Calibri" w:hAnsi="Calibri"/>
                <w:color w:val="0070C0"/>
              </w:rPr>
              <w:t>EP</w:t>
            </w:r>
          </w:p>
        </w:tc>
      </w:tr>
      <w:tr w:rsidR="006009FC" w:rsidRPr="008E6A7C" w14:paraId="44BC5C6B" w14:textId="77777777" w:rsidTr="006009FC">
        <w:trPr>
          <w:trHeight w:val="201"/>
        </w:trPr>
        <w:tc>
          <w:tcPr>
            <w:tcW w:w="631" w:type="dxa"/>
            <w:shd w:val="clear" w:color="C00000" w:fill="auto"/>
            <w:vAlign w:val="center"/>
          </w:tcPr>
          <w:p w14:paraId="25C23929"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rPr>
              <w:t>A</w:t>
            </w:r>
          </w:p>
        </w:tc>
        <w:tc>
          <w:tcPr>
            <w:tcW w:w="2003" w:type="dxa"/>
            <w:shd w:val="clear" w:color="C00000" w:fill="auto"/>
            <w:vAlign w:val="center"/>
          </w:tcPr>
          <w:p w14:paraId="2717A161" w14:textId="77777777" w:rsidR="006009FC" w:rsidRPr="008E6A7C" w:rsidRDefault="006009FC" w:rsidP="003720F8">
            <w:pPr>
              <w:spacing w:line="276" w:lineRule="auto"/>
              <w:jc w:val="left"/>
              <w:rPr>
                <w:rFonts w:ascii="Calibri" w:hAnsi="Calibri"/>
                <w:color w:val="0070C0"/>
              </w:rPr>
            </w:pPr>
            <w:r w:rsidRPr="008E6A7C">
              <w:rPr>
                <w:rFonts w:ascii="Calibri" w:hAnsi="Calibri"/>
              </w:rPr>
              <w:t>Prise en charge</w:t>
            </w:r>
          </w:p>
        </w:tc>
        <w:tc>
          <w:tcPr>
            <w:tcW w:w="6378" w:type="dxa"/>
            <w:shd w:val="clear" w:color="C00000" w:fill="auto"/>
            <w:vAlign w:val="center"/>
          </w:tcPr>
          <w:p w14:paraId="5096D028" w14:textId="77777777" w:rsidR="006009FC" w:rsidRPr="008E6A7C" w:rsidRDefault="006009FC" w:rsidP="003720F8">
            <w:pPr>
              <w:spacing w:line="276" w:lineRule="auto"/>
              <w:rPr>
                <w:rFonts w:ascii="Calibri" w:hAnsi="Calibri"/>
                <w:color w:val="0070C0"/>
              </w:rPr>
            </w:pPr>
            <w:r w:rsidRPr="008E6A7C">
              <w:rPr>
                <w:rFonts w:ascii="Calibri" w:hAnsi="Calibri"/>
              </w:rPr>
              <w:t>Connaître les principes de traitement d</w:t>
            </w:r>
            <w:r>
              <w:rPr>
                <w:rFonts w:ascii="Calibri" w:hAnsi="Calibri"/>
              </w:rPr>
              <w:t>’</w:t>
            </w:r>
            <w:r w:rsidRPr="008E6A7C">
              <w:rPr>
                <w:rFonts w:ascii="Calibri" w:hAnsi="Calibri"/>
              </w:rPr>
              <w:t>une TVP/EP non grave à la phase initiale</w:t>
            </w:r>
          </w:p>
        </w:tc>
      </w:tr>
      <w:tr w:rsidR="006009FC" w:rsidRPr="008E6A7C" w14:paraId="4CA765F3" w14:textId="77777777" w:rsidTr="006009FC">
        <w:trPr>
          <w:trHeight w:val="201"/>
        </w:trPr>
        <w:tc>
          <w:tcPr>
            <w:tcW w:w="631" w:type="dxa"/>
            <w:shd w:val="clear" w:color="C00000" w:fill="auto"/>
            <w:vAlign w:val="center"/>
          </w:tcPr>
          <w:p w14:paraId="09325AC7"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rPr>
              <w:t>A</w:t>
            </w:r>
          </w:p>
        </w:tc>
        <w:tc>
          <w:tcPr>
            <w:tcW w:w="2003" w:type="dxa"/>
            <w:shd w:val="clear" w:color="C00000" w:fill="auto"/>
            <w:vAlign w:val="center"/>
          </w:tcPr>
          <w:p w14:paraId="6BD138F7" w14:textId="77777777" w:rsidR="006009FC" w:rsidRPr="008E6A7C" w:rsidRDefault="006009FC" w:rsidP="003720F8">
            <w:pPr>
              <w:spacing w:line="276" w:lineRule="auto"/>
              <w:jc w:val="left"/>
              <w:rPr>
                <w:rFonts w:ascii="Calibri" w:hAnsi="Calibri"/>
                <w:color w:val="0070C0"/>
              </w:rPr>
            </w:pPr>
            <w:r w:rsidRPr="008E6A7C">
              <w:rPr>
                <w:rFonts w:ascii="Calibri" w:hAnsi="Calibri"/>
              </w:rPr>
              <w:t>Prise en charge</w:t>
            </w:r>
          </w:p>
        </w:tc>
        <w:tc>
          <w:tcPr>
            <w:tcW w:w="6378" w:type="dxa"/>
            <w:shd w:val="clear" w:color="C00000" w:fill="auto"/>
            <w:vAlign w:val="center"/>
          </w:tcPr>
          <w:p w14:paraId="5483502B" w14:textId="77777777" w:rsidR="006009FC" w:rsidRPr="008E6A7C" w:rsidRDefault="006009FC" w:rsidP="003720F8">
            <w:pPr>
              <w:spacing w:line="276" w:lineRule="auto"/>
              <w:rPr>
                <w:rFonts w:ascii="Calibri" w:hAnsi="Calibri"/>
                <w:color w:val="0070C0"/>
              </w:rPr>
            </w:pPr>
            <w:r w:rsidRPr="008E6A7C">
              <w:rPr>
                <w:rFonts w:ascii="Calibri" w:hAnsi="Calibri"/>
              </w:rPr>
              <w:t>Connaître les indications et contre-indications de la compression élastique (TVP des membres inférieurs)</w:t>
            </w:r>
          </w:p>
        </w:tc>
      </w:tr>
      <w:tr w:rsidR="006009FC" w:rsidRPr="008E6A7C" w14:paraId="64783BB1" w14:textId="77777777" w:rsidTr="006009FC">
        <w:trPr>
          <w:trHeight w:val="201"/>
        </w:trPr>
        <w:tc>
          <w:tcPr>
            <w:tcW w:w="631" w:type="dxa"/>
            <w:shd w:val="clear" w:color="C00000" w:fill="auto"/>
            <w:vAlign w:val="center"/>
          </w:tcPr>
          <w:p w14:paraId="4CFEFD6F" w14:textId="77777777" w:rsidR="006009FC" w:rsidRPr="008E6A7C" w:rsidRDefault="006009FC" w:rsidP="003720F8">
            <w:pPr>
              <w:spacing w:line="276" w:lineRule="auto"/>
              <w:jc w:val="center"/>
              <w:rPr>
                <w:rFonts w:ascii="Calibri" w:hAnsi="Calibri"/>
                <w:bCs/>
              </w:rPr>
            </w:pPr>
            <w:r w:rsidRPr="008E6A7C">
              <w:rPr>
                <w:rFonts w:ascii="Calibri" w:hAnsi="Calibri"/>
                <w:bCs/>
              </w:rPr>
              <w:t>A</w:t>
            </w:r>
          </w:p>
        </w:tc>
        <w:tc>
          <w:tcPr>
            <w:tcW w:w="2003" w:type="dxa"/>
            <w:shd w:val="clear" w:color="C00000" w:fill="auto"/>
            <w:vAlign w:val="center"/>
          </w:tcPr>
          <w:p w14:paraId="6D4D6336" w14:textId="77777777" w:rsidR="006009FC" w:rsidRPr="008E6A7C" w:rsidRDefault="006009FC" w:rsidP="003720F8">
            <w:pPr>
              <w:spacing w:line="276" w:lineRule="auto"/>
              <w:jc w:val="left"/>
              <w:rPr>
                <w:rFonts w:ascii="Calibri" w:hAnsi="Calibri"/>
              </w:rPr>
            </w:pPr>
            <w:r w:rsidRPr="008E6A7C">
              <w:rPr>
                <w:rFonts w:ascii="Calibri" w:hAnsi="Calibri"/>
              </w:rPr>
              <w:t>Prise en charge</w:t>
            </w:r>
          </w:p>
        </w:tc>
        <w:tc>
          <w:tcPr>
            <w:tcW w:w="6378" w:type="dxa"/>
            <w:shd w:val="clear" w:color="C00000" w:fill="auto"/>
            <w:vAlign w:val="center"/>
          </w:tcPr>
          <w:p w14:paraId="4CE4114B" w14:textId="5DB994E7" w:rsidR="006009FC" w:rsidRPr="008E6A7C" w:rsidRDefault="006009FC" w:rsidP="003720F8">
            <w:pPr>
              <w:spacing w:line="276" w:lineRule="auto"/>
              <w:rPr>
                <w:rFonts w:ascii="Calibri" w:hAnsi="Calibri"/>
              </w:rPr>
            </w:pPr>
            <w:r w:rsidRPr="008E6A7C">
              <w:rPr>
                <w:rFonts w:ascii="Calibri" w:hAnsi="Calibri"/>
              </w:rPr>
              <w:t xml:space="preserve">Connaître les contraceptions contre-indiquées en cas de </w:t>
            </w:r>
            <w:r w:rsidR="0026545F">
              <w:rPr>
                <w:rFonts w:ascii="Calibri" w:hAnsi="Calibri"/>
              </w:rPr>
              <w:t>MTEV</w:t>
            </w:r>
            <w:r w:rsidRPr="008E6A7C">
              <w:rPr>
                <w:rFonts w:ascii="Calibri" w:hAnsi="Calibri"/>
              </w:rPr>
              <w:t xml:space="preserve"> (TVP, EP)</w:t>
            </w:r>
          </w:p>
        </w:tc>
      </w:tr>
      <w:tr w:rsidR="006009FC" w:rsidRPr="008E6A7C" w14:paraId="414D6547" w14:textId="77777777" w:rsidTr="006009FC">
        <w:trPr>
          <w:trHeight w:val="201"/>
        </w:trPr>
        <w:tc>
          <w:tcPr>
            <w:tcW w:w="631" w:type="dxa"/>
            <w:shd w:val="clear" w:color="C00000" w:fill="auto"/>
            <w:vAlign w:val="center"/>
          </w:tcPr>
          <w:p w14:paraId="7396E025" w14:textId="77777777" w:rsidR="006009FC" w:rsidRPr="008E6A7C" w:rsidRDefault="006009FC" w:rsidP="003720F8">
            <w:pPr>
              <w:spacing w:line="276" w:lineRule="auto"/>
              <w:jc w:val="center"/>
              <w:rPr>
                <w:rFonts w:ascii="Calibri" w:hAnsi="Calibri"/>
                <w:bCs/>
              </w:rPr>
            </w:pPr>
            <w:r w:rsidRPr="008E6A7C">
              <w:rPr>
                <w:rFonts w:ascii="Calibri" w:hAnsi="Calibri"/>
                <w:bCs/>
              </w:rPr>
              <w:t>A</w:t>
            </w:r>
          </w:p>
        </w:tc>
        <w:tc>
          <w:tcPr>
            <w:tcW w:w="2003" w:type="dxa"/>
            <w:shd w:val="clear" w:color="C00000" w:fill="auto"/>
            <w:vAlign w:val="center"/>
          </w:tcPr>
          <w:p w14:paraId="7E21EC64" w14:textId="77777777" w:rsidR="006009FC" w:rsidRPr="008E6A7C" w:rsidRDefault="006009FC" w:rsidP="003720F8">
            <w:pPr>
              <w:spacing w:line="276" w:lineRule="auto"/>
              <w:jc w:val="left"/>
              <w:rPr>
                <w:rFonts w:ascii="Calibri" w:hAnsi="Calibri"/>
              </w:rPr>
            </w:pPr>
            <w:r w:rsidRPr="008E6A7C">
              <w:rPr>
                <w:rFonts w:ascii="Calibri" w:hAnsi="Calibri"/>
              </w:rPr>
              <w:t>Prise en charge</w:t>
            </w:r>
          </w:p>
        </w:tc>
        <w:tc>
          <w:tcPr>
            <w:tcW w:w="6378" w:type="dxa"/>
            <w:shd w:val="clear" w:color="C00000" w:fill="auto"/>
            <w:vAlign w:val="center"/>
          </w:tcPr>
          <w:p w14:paraId="7676A964" w14:textId="0DAF0045" w:rsidR="006009FC" w:rsidRPr="008E6A7C" w:rsidRDefault="006009FC" w:rsidP="003720F8">
            <w:pPr>
              <w:spacing w:line="276" w:lineRule="auto"/>
              <w:rPr>
                <w:rFonts w:ascii="Calibri" w:hAnsi="Calibri"/>
              </w:rPr>
            </w:pPr>
            <w:r w:rsidRPr="008E6A7C">
              <w:rPr>
                <w:rFonts w:ascii="Calibri" w:hAnsi="Calibri"/>
              </w:rPr>
              <w:t xml:space="preserve">Connaître les situations nécessitant une prévention de la </w:t>
            </w:r>
            <w:r w:rsidR="0026545F">
              <w:rPr>
                <w:rFonts w:ascii="Calibri" w:hAnsi="Calibri"/>
              </w:rPr>
              <w:t>MTEV</w:t>
            </w:r>
          </w:p>
        </w:tc>
      </w:tr>
      <w:tr w:rsidR="006009FC" w:rsidRPr="008E6A7C" w14:paraId="16750762" w14:textId="77777777" w:rsidTr="006009FC">
        <w:trPr>
          <w:trHeight w:val="201"/>
        </w:trPr>
        <w:tc>
          <w:tcPr>
            <w:tcW w:w="631" w:type="dxa"/>
            <w:shd w:val="clear" w:color="C00000" w:fill="auto"/>
            <w:vAlign w:val="center"/>
          </w:tcPr>
          <w:p w14:paraId="513329B0"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color w:val="0070C0"/>
              </w:rPr>
              <w:lastRenderedPageBreak/>
              <w:t>B</w:t>
            </w:r>
          </w:p>
        </w:tc>
        <w:tc>
          <w:tcPr>
            <w:tcW w:w="2003" w:type="dxa"/>
            <w:shd w:val="clear" w:color="C00000" w:fill="auto"/>
            <w:vAlign w:val="center"/>
          </w:tcPr>
          <w:p w14:paraId="32D3170F" w14:textId="77777777" w:rsidR="006009FC" w:rsidRPr="008E6A7C" w:rsidRDefault="006009FC" w:rsidP="003720F8">
            <w:pPr>
              <w:spacing w:line="276" w:lineRule="auto"/>
              <w:jc w:val="left"/>
              <w:rPr>
                <w:rFonts w:ascii="Calibri" w:hAnsi="Calibri"/>
                <w:color w:val="0070C0"/>
              </w:rPr>
            </w:pPr>
            <w:r w:rsidRPr="008E6A7C">
              <w:rPr>
                <w:rFonts w:ascii="Calibri" w:hAnsi="Calibri"/>
                <w:color w:val="0070C0"/>
              </w:rPr>
              <w:t>Prise en charge</w:t>
            </w:r>
          </w:p>
        </w:tc>
        <w:tc>
          <w:tcPr>
            <w:tcW w:w="6378" w:type="dxa"/>
            <w:shd w:val="clear" w:color="C00000" w:fill="auto"/>
            <w:vAlign w:val="center"/>
          </w:tcPr>
          <w:p w14:paraId="67287749" w14:textId="77777777" w:rsidR="006009FC" w:rsidRPr="008E6A7C" w:rsidRDefault="006009FC" w:rsidP="003720F8">
            <w:pPr>
              <w:spacing w:line="276" w:lineRule="auto"/>
              <w:rPr>
                <w:rFonts w:ascii="Calibri" w:hAnsi="Calibri"/>
                <w:color w:val="0070C0"/>
              </w:rPr>
            </w:pPr>
            <w:r w:rsidRPr="008E6A7C">
              <w:rPr>
                <w:rFonts w:ascii="Calibri" w:hAnsi="Calibri"/>
                <w:color w:val="0070C0"/>
              </w:rPr>
              <w:t>Savoir déterminer la durée du traitement anticoagulant (TVP proximale et EP)</w:t>
            </w:r>
          </w:p>
        </w:tc>
      </w:tr>
      <w:tr w:rsidR="006009FC" w:rsidRPr="008E6A7C" w14:paraId="377C69C5" w14:textId="77777777" w:rsidTr="006009FC">
        <w:trPr>
          <w:trHeight w:val="201"/>
        </w:trPr>
        <w:tc>
          <w:tcPr>
            <w:tcW w:w="631" w:type="dxa"/>
            <w:shd w:val="clear" w:color="C00000" w:fill="auto"/>
            <w:vAlign w:val="center"/>
          </w:tcPr>
          <w:p w14:paraId="22A9089B"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color w:val="0070C0"/>
              </w:rPr>
              <w:t>B</w:t>
            </w:r>
          </w:p>
        </w:tc>
        <w:tc>
          <w:tcPr>
            <w:tcW w:w="2003" w:type="dxa"/>
            <w:shd w:val="clear" w:color="C00000" w:fill="auto"/>
            <w:vAlign w:val="center"/>
          </w:tcPr>
          <w:p w14:paraId="49BBD928" w14:textId="77777777" w:rsidR="006009FC" w:rsidRPr="008E6A7C" w:rsidRDefault="006009FC" w:rsidP="003720F8">
            <w:pPr>
              <w:spacing w:line="276" w:lineRule="auto"/>
              <w:jc w:val="left"/>
              <w:rPr>
                <w:rFonts w:ascii="Calibri" w:hAnsi="Calibri"/>
                <w:color w:val="0070C0"/>
              </w:rPr>
            </w:pPr>
            <w:r w:rsidRPr="008E6A7C">
              <w:rPr>
                <w:rFonts w:ascii="Calibri" w:hAnsi="Calibri"/>
                <w:color w:val="0070C0"/>
              </w:rPr>
              <w:t>Prise en charge</w:t>
            </w:r>
          </w:p>
        </w:tc>
        <w:tc>
          <w:tcPr>
            <w:tcW w:w="6378" w:type="dxa"/>
            <w:shd w:val="clear" w:color="C00000" w:fill="auto"/>
            <w:vAlign w:val="center"/>
          </w:tcPr>
          <w:p w14:paraId="4686ABDF" w14:textId="77777777" w:rsidR="006009FC" w:rsidRPr="008E6A7C" w:rsidRDefault="006009FC" w:rsidP="003720F8">
            <w:pPr>
              <w:spacing w:line="276" w:lineRule="auto"/>
              <w:rPr>
                <w:rFonts w:ascii="Calibri" w:hAnsi="Calibri"/>
                <w:color w:val="0070C0"/>
              </w:rPr>
            </w:pPr>
            <w:r w:rsidRPr="008E6A7C">
              <w:rPr>
                <w:rFonts w:ascii="Calibri" w:hAnsi="Calibri"/>
                <w:color w:val="0070C0"/>
              </w:rPr>
              <w:t>Connaître les principes de la prise en charge une thrombose veineuse superficielle</w:t>
            </w:r>
          </w:p>
        </w:tc>
      </w:tr>
      <w:tr w:rsidR="006009FC" w:rsidRPr="008E6A7C" w14:paraId="5CF0FFD3" w14:textId="77777777" w:rsidTr="006009FC">
        <w:trPr>
          <w:trHeight w:val="201"/>
        </w:trPr>
        <w:tc>
          <w:tcPr>
            <w:tcW w:w="631" w:type="dxa"/>
            <w:shd w:val="clear" w:color="C00000" w:fill="auto"/>
            <w:vAlign w:val="center"/>
          </w:tcPr>
          <w:p w14:paraId="3AF289A7"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color w:val="0070C0"/>
              </w:rPr>
              <w:t>B</w:t>
            </w:r>
          </w:p>
        </w:tc>
        <w:tc>
          <w:tcPr>
            <w:tcW w:w="2003" w:type="dxa"/>
            <w:shd w:val="clear" w:color="C00000" w:fill="auto"/>
            <w:vAlign w:val="center"/>
          </w:tcPr>
          <w:p w14:paraId="05979267" w14:textId="77777777" w:rsidR="006009FC" w:rsidRPr="008E6A7C" w:rsidRDefault="006009FC" w:rsidP="003720F8">
            <w:pPr>
              <w:spacing w:line="276" w:lineRule="auto"/>
              <w:jc w:val="left"/>
              <w:rPr>
                <w:rFonts w:ascii="Calibri" w:hAnsi="Calibri"/>
                <w:color w:val="0070C0"/>
              </w:rPr>
            </w:pPr>
            <w:r w:rsidRPr="008E6A7C">
              <w:rPr>
                <w:rFonts w:ascii="Calibri" w:hAnsi="Calibri"/>
                <w:color w:val="0070C0"/>
              </w:rPr>
              <w:t>Suivi et/ou pronostic</w:t>
            </w:r>
          </w:p>
        </w:tc>
        <w:tc>
          <w:tcPr>
            <w:tcW w:w="6378" w:type="dxa"/>
            <w:shd w:val="clear" w:color="C00000" w:fill="auto"/>
            <w:vAlign w:val="center"/>
          </w:tcPr>
          <w:p w14:paraId="22D83EE1" w14:textId="5123B3FE" w:rsidR="006009FC" w:rsidRPr="008E6A7C" w:rsidRDefault="006009FC" w:rsidP="003720F8">
            <w:pPr>
              <w:spacing w:line="276" w:lineRule="auto"/>
              <w:rPr>
                <w:rFonts w:ascii="Calibri" w:hAnsi="Calibri"/>
                <w:color w:val="0070C0"/>
              </w:rPr>
            </w:pPr>
            <w:r w:rsidRPr="008E6A7C">
              <w:rPr>
                <w:rFonts w:ascii="Calibri" w:hAnsi="Calibri"/>
                <w:color w:val="0070C0"/>
              </w:rPr>
              <w:t xml:space="preserve">Savoir évoquer les complications à long terme de la </w:t>
            </w:r>
            <w:r w:rsidR="0026545F">
              <w:rPr>
                <w:rFonts w:ascii="Calibri" w:hAnsi="Calibri"/>
                <w:color w:val="0070C0"/>
              </w:rPr>
              <w:t>MTEV</w:t>
            </w:r>
            <w:r w:rsidRPr="008E6A7C">
              <w:rPr>
                <w:rFonts w:ascii="Calibri" w:hAnsi="Calibri"/>
                <w:color w:val="0070C0"/>
              </w:rPr>
              <w:t xml:space="preserve"> (syndrome post-thrombotique, hypertension pulmonaire thrombo-embolique chronique)</w:t>
            </w:r>
          </w:p>
        </w:tc>
      </w:tr>
      <w:tr w:rsidR="006009FC" w:rsidRPr="008E6A7C" w14:paraId="68FA6A8D" w14:textId="77777777" w:rsidTr="006009FC">
        <w:trPr>
          <w:trHeight w:val="201"/>
        </w:trPr>
        <w:tc>
          <w:tcPr>
            <w:tcW w:w="631" w:type="dxa"/>
            <w:shd w:val="clear" w:color="C00000" w:fill="auto"/>
            <w:vAlign w:val="center"/>
          </w:tcPr>
          <w:p w14:paraId="24932370" w14:textId="77777777" w:rsidR="006009FC" w:rsidRPr="008E6A7C" w:rsidRDefault="006009FC" w:rsidP="003720F8">
            <w:pPr>
              <w:spacing w:line="276" w:lineRule="auto"/>
              <w:jc w:val="center"/>
              <w:rPr>
                <w:rFonts w:ascii="Calibri" w:hAnsi="Calibri"/>
                <w:bCs/>
                <w:color w:val="0070C0"/>
              </w:rPr>
            </w:pPr>
            <w:r w:rsidRPr="008E6A7C">
              <w:rPr>
                <w:rFonts w:ascii="Calibri" w:hAnsi="Calibri"/>
                <w:bCs/>
                <w:color w:val="0070C0"/>
              </w:rPr>
              <w:t>B</w:t>
            </w:r>
          </w:p>
        </w:tc>
        <w:tc>
          <w:tcPr>
            <w:tcW w:w="2003" w:type="dxa"/>
            <w:shd w:val="clear" w:color="C00000" w:fill="auto"/>
            <w:vAlign w:val="center"/>
          </w:tcPr>
          <w:p w14:paraId="3BC334BD" w14:textId="77777777" w:rsidR="006009FC" w:rsidRPr="008E6A7C" w:rsidRDefault="006009FC" w:rsidP="003720F8">
            <w:pPr>
              <w:spacing w:line="276" w:lineRule="auto"/>
              <w:jc w:val="left"/>
              <w:rPr>
                <w:rFonts w:ascii="Calibri" w:hAnsi="Calibri"/>
                <w:color w:val="0070C0"/>
              </w:rPr>
            </w:pPr>
            <w:r w:rsidRPr="008E6A7C">
              <w:rPr>
                <w:rFonts w:ascii="Calibri" w:hAnsi="Calibri"/>
                <w:color w:val="0070C0"/>
              </w:rPr>
              <w:t>Suivi et/ou pronostic</w:t>
            </w:r>
          </w:p>
        </w:tc>
        <w:tc>
          <w:tcPr>
            <w:tcW w:w="6378" w:type="dxa"/>
            <w:shd w:val="clear" w:color="C00000" w:fill="auto"/>
          </w:tcPr>
          <w:p w14:paraId="4ACB0137" w14:textId="77777777" w:rsidR="006009FC" w:rsidRPr="008E6A7C" w:rsidRDefault="006009FC" w:rsidP="003720F8">
            <w:pPr>
              <w:spacing w:line="276" w:lineRule="auto"/>
              <w:rPr>
                <w:rFonts w:ascii="Calibri" w:hAnsi="Calibri"/>
                <w:color w:val="0070C0"/>
              </w:rPr>
            </w:pPr>
            <w:r w:rsidRPr="008E6A7C">
              <w:rPr>
                <w:rFonts w:ascii="Calibri" w:hAnsi="Calibri"/>
                <w:color w:val="0070C0"/>
              </w:rPr>
              <w:t>Connaître les complications à dépister avant d</w:t>
            </w:r>
            <w:r>
              <w:rPr>
                <w:rFonts w:ascii="Calibri" w:hAnsi="Calibri"/>
                <w:color w:val="0070C0"/>
              </w:rPr>
              <w:t>’</w:t>
            </w:r>
            <w:r w:rsidRPr="008E6A7C">
              <w:rPr>
                <w:rFonts w:ascii="Calibri" w:hAnsi="Calibri"/>
                <w:color w:val="0070C0"/>
              </w:rPr>
              <w:t>arrêter un traitement anticoagulant pour EP</w:t>
            </w:r>
          </w:p>
        </w:tc>
      </w:tr>
    </w:tbl>
    <w:p w14:paraId="33D4B065" w14:textId="77777777" w:rsidR="00AC56AB" w:rsidRDefault="00AC56AB" w:rsidP="003720F8">
      <w:pPr>
        <w:spacing w:line="276" w:lineRule="auto"/>
      </w:pPr>
    </w:p>
    <w:p w14:paraId="74EE45DD" w14:textId="1C12335E" w:rsidR="00876EF8" w:rsidRDefault="00876EF8" w:rsidP="003720F8">
      <w:pPr>
        <w:spacing w:line="276" w:lineRule="auto"/>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78A62DC1" w14:textId="77777777" w:rsidR="00447337" w:rsidRPr="00447337" w:rsidRDefault="00447337" w:rsidP="003720F8">
      <w:pPr>
        <w:spacing w:line="276" w:lineRule="auto"/>
        <w:jc w:val="center"/>
        <w:rPr>
          <w:color w:val="0070C0"/>
        </w:rPr>
      </w:pPr>
    </w:p>
    <w:p w14:paraId="064314BF" w14:textId="77777777" w:rsidR="00876EF8" w:rsidRDefault="00876EF8" w:rsidP="003720F8">
      <w:pPr>
        <w:pStyle w:val="Pointscls"/>
        <w:spacing w:line="276" w:lineRule="auto"/>
      </w:pPr>
      <w:r>
        <w:t>Points clés</w:t>
      </w:r>
    </w:p>
    <w:p w14:paraId="0021AB09" w14:textId="29CDE7F3" w:rsidR="006009FC" w:rsidRDefault="006009FC" w:rsidP="003720F8">
      <w:pPr>
        <w:pStyle w:val="pointscls10"/>
        <w:spacing w:line="276" w:lineRule="auto"/>
      </w:pPr>
      <w:r w:rsidRPr="00171A69">
        <w:t>La maladie thrombo-embolique veineuse (</w:t>
      </w:r>
      <w:r w:rsidR="0026545F">
        <w:t>MTEV</w:t>
      </w:r>
      <w:r w:rsidRPr="00171A69">
        <w:t>) </w:t>
      </w:r>
      <w:r>
        <w:t>est une entité dont les deux manifestations cliniques sont les</w:t>
      </w:r>
      <w:r w:rsidRPr="00171A69">
        <w:t xml:space="preserve"> thrombose</w:t>
      </w:r>
      <w:r>
        <w:t>s</w:t>
      </w:r>
      <w:r w:rsidRPr="00171A69">
        <w:t xml:space="preserve"> veineuse</w:t>
      </w:r>
      <w:r>
        <w:t>s</w:t>
      </w:r>
      <w:r w:rsidRPr="00171A69">
        <w:t xml:space="preserve"> profonde</w:t>
      </w:r>
      <w:r>
        <w:t>s</w:t>
      </w:r>
      <w:r w:rsidRPr="00171A69">
        <w:t xml:space="preserve"> (TVP) et/ou </w:t>
      </w:r>
      <w:r>
        <w:t>l’</w:t>
      </w:r>
      <w:r w:rsidRPr="00171A69">
        <w:t>embolie pulmonaire (EP)</w:t>
      </w:r>
      <w:r>
        <w:t>.</w:t>
      </w:r>
    </w:p>
    <w:p w14:paraId="26AB3B1C" w14:textId="77509117" w:rsidR="006009FC" w:rsidRDefault="006009FC" w:rsidP="003720F8">
      <w:pPr>
        <w:pStyle w:val="pointscls10"/>
        <w:spacing w:line="276" w:lineRule="auto"/>
      </w:pPr>
      <w:r>
        <w:t xml:space="preserve">La </w:t>
      </w:r>
      <w:r w:rsidR="0026545F">
        <w:t>MTEV</w:t>
      </w:r>
      <w:r>
        <w:t xml:space="preserve"> est fréquente (incidence annuelle de 1 à 2 pour 1000 habitants par an) et grave (mortalité à 3 mois de 5 à 10 %). </w:t>
      </w:r>
    </w:p>
    <w:p w14:paraId="1207558D" w14:textId="77777777" w:rsidR="006009FC" w:rsidRPr="00171A69" w:rsidRDefault="006009FC" w:rsidP="003720F8">
      <w:pPr>
        <w:pStyle w:val="pointscls10"/>
        <w:spacing w:line="276" w:lineRule="auto"/>
      </w:pPr>
      <w:r w:rsidRPr="00171A69">
        <w:t>Deux présentations cliniques très différentes d’EP</w:t>
      </w:r>
      <w:r>
        <w:t> </w:t>
      </w:r>
      <w:r w:rsidRPr="00171A69">
        <w:t>: une forme rare (5</w:t>
      </w:r>
      <w:r>
        <w:t> </w:t>
      </w:r>
      <w:r w:rsidRPr="00171A69">
        <w:t xml:space="preserve">% des cas) l’EP </w:t>
      </w:r>
      <w:r>
        <w:t xml:space="preserve">à haut risque de décès </w:t>
      </w:r>
      <w:r w:rsidRPr="00171A69">
        <w:t>définie par la présence d’un état de choc (mortalité</w:t>
      </w:r>
      <w:r>
        <w:t> </w:t>
      </w:r>
      <w:r w:rsidRPr="00171A69">
        <w:t>25-50</w:t>
      </w:r>
      <w:r>
        <w:t> </w:t>
      </w:r>
      <w:r w:rsidRPr="00171A69">
        <w:t xml:space="preserve">%) et les EP </w:t>
      </w:r>
      <w:r>
        <w:t>hémodynamiquement stables</w:t>
      </w:r>
      <w:r w:rsidRPr="00171A69">
        <w:t xml:space="preserve"> (95</w:t>
      </w:r>
      <w:r>
        <w:t> </w:t>
      </w:r>
      <w:r w:rsidRPr="00171A69">
        <w:t>% de cas) dont la présentation clinique est très polymorphe et dont la prise en charge repose sur l’évocation du diagnostic et le respect de l’algorithme diagnostique.</w:t>
      </w:r>
    </w:p>
    <w:p w14:paraId="3E69C2D0" w14:textId="38314FE3" w:rsidR="006009FC" w:rsidRDefault="006009FC" w:rsidP="003720F8">
      <w:pPr>
        <w:pStyle w:val="pointscls10"/>
        <w:spacing w:line="276" w:lineRule="auto"/>
      </w:pPr>
      <w:r>
        <w:t xml:space="preserve">Le diagnostic de </w:t>
      </w:r>
      <w:r w:rsidR="0026545F">
        <w:t>MTEV</w:t>
      </w:r>
      <w:r>
        <w:t xml:space="preserve"> est difficile, car les signes cliniques sont inconstants et non spécifiques. </w:t>
      </w:r>
    </w:p>
    <w:p w14:paraId="7A636F10" w14:textId="77777777" w:rsidR="006009FC" w:rsidRPr="00171A69" w:rsidRDefault="006009FC" w:rsidP="003720F8">
      <w:pPr>
        <w:pStyle w:val="pointscls10"/>
        <w:spacing w:line="276" w:lineRule="auto"/>
      </w:pPr>
      <w:r w:rsidRPr="00171A69">
        <w:t>La stratégie diagnostique est un processus en plusieurs étapes</w:t>
      </w:r>
      <w:r>
        <w:t> </w:t>
      </w:r>
      <w:r w:rsidRPr="00171A69">
        <w:t>:</w:t>
      </w:r>
    </w:p>
    <w:p w14:paraId="53A8C048" w14:textId="77777777" w:rsidR="006009FC" w:rsidRPr="00171A69" w:rsidRDefault="006009FC" w:rsidP="003720F8">
      <w:pPr>
        <w:pStyle w:val="pointscls10"/>
        <w:numPr>
          <w:ilvl w:val="0"/>
          <w:numId w:val="0"/>
        </w:numPr>
        <w:spacing w:line="276" w:lineRule="auto"/>
        <w:ind w:left="142"/>
      </w:pPr>
      <w:r>
        <w:t>- Évoquer</w:t>
      </w:r>
      <w:r w:rsidRPr="00171A69">
        <w:t xml:space="preserve"> l’hypothèse d’une EP ou d’une TVP</w:t>
      </w:r>
      <w:r>
        <w:t xml:space="preserve"> (pas de score pour cette étape).</w:t>
      </w:r>
    </w:p>
    <w:p w14:paraId="0BE57395" w14:textId="77777777" w:rsidR="006009FC" w:rsidRPr="00171A69" w:rsidRDefault="006009FC" w:rsidP="003720F8">
      <w:pPr>
        <w:pStyle w:val="pointscls10"/>
        <w:numPr>
          <w:ilvl w:val="0"/>
          <w:numId w:val="0"/>
        </w:numPr>
        <w:spacing w:line="276" w:lineRule="auto"/>
        <w:ind w:left="426" w:hanging="284"/>
      </w:pPr>
      <w:r>
        <w:t>- E</w:t>
      </w:r>
      <w:r w:rsidRPr="00171A69">
        <w:t>stimer la probabilité clinique (PC)</w:t>
      </w:r>
      <w:r>
        <w:t xml:space="preserve"> : étape </w:t>
      </w:r>
      <w:r w:rsidRPr="000E589D">
        <w:rPr>
          <w:iCs/>
        </w:rPr>
        <w:t>obligatoire</w:t>
      </w:r>
      <w:r>
        <w:rPr>
          <w:iCs/>
        </w:rPr>
        <w:t>.</w:t>
      </w:r>
    </w:p>
    <w:p w14:paraId="7C8FE468" w14:textId="77777777" w:rsidR="006009FC" w:rsidRPr="00171A69" w:rsidRDefault="006009FC" w:rsidP="003720F8">
      <w:pPr>
        <w:pStyle w:val="pointscls10"/>
        <w:numPr>
          <w:ilvl w:val="0"/>
          <w:numId w:val="0"/>
        </w:numPr>
        <w:spacing w:line="276" w:lineRule="auto"/>
        <w:ind w:left="142"/>
      </w:pPr>
      <w:r>
        <w:t>- D</w:t>
      </w:r>
      <w:r w:rsidRPr="00171A69">
        <w:t>oser les D-dimères si la PC est non forte ou prescrire d’emblée un examen d’imagerie si la PC est forte (</w:t>
      </w:r>
      <w:r>
        <w:t>une</w:t>
      </w:r>
      <w:r w:rsidRPr="00171A69">
        <w:t xml:space="preserve"> échographie veineuse</w:t>
      </w:r>
      <w:r>
        <w:t xml:space="preserve"> des membres inférieurs</w:t>
      </w:r>
      <w:r w:rsidRPr="00171A69">
        <w:t xml:space="preserve"> pour la TVP et u</w:t>
      </w:r>
      <w:r>
        <w:t>n</w:t>
      </w:r>
      <w:r w:rsidRPr="00171A69">
        <w:t xml:space="preserve"> angioscanner spiralé thoracique pour l’EP)</w:t>
      </w:r>
      <w:r>
        <w:t xml:space="preserve">. </w:t>
      </w:r>
      <w:r w:rsidRPr="00171A69">
        <w:t xml:space="preserve"> </w:t>
      </w:r>
    </w:p>
    <w:p w14:paraId="373A5C59" w14:textId="77777777" w:rsidR="006009FC" w:rsidRPr="00171A69" w:rsidRDefault="006009FC" w:rsidP="003720F8">
      <w:pPr>
        <w:pStyle w:val="pointscls10"/>
        <w:spacing w:line="276" w:lineRule="auto"/>
      </w:pPr>
      <w:r w:rsidRPr="00171A69">
        <w:t xml:space="preserve">Un taux de D-dimères normal </w:t>
      </w:r>
      <w:r>
        <w:t xml:space="preserve">(négatif) </w:t>
      </w:r>
      <w:r w:rsidRPr="00171A69">
        <w:t>par méthode ELISA</w:t>
      </w:r>
      <w:r>
        <w:t xml:space="preserve"> ou LATEX quantitative</w:t>
      </w:r>
      <w:r w:rsidRPr="00171A69">
        <w:t xml:space="preserve"> élimine le diagnostic d’EP ou de TVP si la PC n’est pas forte</w:t>
      </w:r>
      <w:r>
        <w:t xml:space="preserve">. </w:t>
      </w:r>
    </w:p>
    <w:p w14:paraId="54F591D4" w14:textId="67D80699" w:rsidR="006009FC" w:rsidRPr="00171A69" w:rsidRDefault="006009FC" w:rsidP="003720F8">
      <w:pPr>
        <w:pStyle w:val="pointscls10"/>
        <w:spacing w:line="276" w:lineRule="auto"/>
      </w:pPr>
      <w:r w:rsidRPr="00171A69">
        <w:t xml:space="preserve">Le traitement de la </w:t>
      </w:r>
      <w:r w:rsidR="0026545F">
        <w:t>MTEV</w:t>
      </w:r>
      <w:r w:rsidRPr="00171A69">
        <w:t xml:space="preserve"> est </w:t>
      </w:r>
      <w:r>
        <w:t>l’</w:t>
      </w:r>
      <w:r w:rsidRPr="00171A69">
        <w:t xml:space="preserve">anticoagulation </w:t>
      </w:r>
      <w:r>
        <w:t>à dose curative</w:t>
      </w:r>
      <w:r w:rsidRPr="00171A69">
        <w:t xml:space="preserve"> </w:t>
      </w:r>
      <w:r>
        <w:t>qui</w:t>
      </w:r>
      <w:r w:rsidRPr="00171A69">
        <w:t xml:space="preserve"> a pour but de prévenir une récidive. </w:t>
      </w:r>
    </w:p>
    <w:p w14:paraId="6BE86780" w14:textId="77777777" w:rsidR="006009FC" w:rsidRPr="00171A69" w:rsidRDefault="006009FC" w:rsidP="003720F8">
      <w:pPr>
        <w:pStyle w:val="pointscls10"/>
        <w:spacing w:line="276" w:lineRule="auto"/>
      </w:pPr>
      <w:r w:rsidRPr="00171A69">
        <w:t xml:space="preserve">La fibrinolyse est indiquée en cas d’état de choc (EP grave), elle est toujours </w:t>
      </w:r>
      <w:r>
        <w:t>associée à</w:t>
      </w:r>
      <w:r w:rsidRPr="00171A69">
        <w:t xml:space="preserve"> une anticoagulation </w:t>
      </w:r>
      <w:r>
        <w:t>à dose curative</w:t>
      </w:r>
      <w:r w:rsidRPr="00171A69">
        <w:t>.</w:t>
      </w:r>
    </w:p>
    <w:p w14:paraId="4DD79282" w14:textId="77777777" w:rsidR="006009FC" w:rsidRPr="00171A69" w:rsidRDefault="006009FC" w:rsidP="003720F8">
      <w:pPr>
        <w:pStyle w:val="pointscls10"/>
        <w:spacing w:line="276" w:lineRule="auto"/>
      </w:pPr>
      <w:r w:rsidRPr="00171A69">
        <w:t xml:space="preserve">La durée du traitement anticoagulant </w:t>
      </w:r>
      <w:r>
        <w:t>est courte (3 à 6 mois maximum) en présence de facteurs majeurs transitoires</w:t>
      </w:r>
      <w:r>
        <w:rPr>
          <w:rFonts w:ascii="Arial" w:hAnsi="Arial"/>
        </w:rPr>
        <w:t> </w:t>
      </w:r>
      <w:r>
        <w:t>; le traitement est long (6 mois voire durée non limitée) en présence de facteurs persistants (cancer) ou en l’absence de facteurs majeurs</w:t>
      </w:r>
      <w:r w:rsidRPr="00171A69">
        <w:t>.</w:t>
      </w:r>
    </w:p>
    <w:p w14:paraId="621C6C8D" w14:textId="77777777" w:rsidR="006009FC" w:rsidRPr="00171A69" w:rsidRDefault="006009FC" w:rsidP="003720F8">
      <w:pPr>
        <w:pStyle w:val="pointscls10"/>
        <w:spacing w:line="276" w:lineRule="auto"/>
      </w:pPr>
      <w:r w:rsidRPr="00171A69">
        <w:t xml:space="preserve">L’anticoagulation initiale repose </w:t>
      </w:r>
      <w:r>
        <w:t xml:space="preserve">soit sur les anticoagulants oraux directs (AOD) d’emblée soit </w:t>
      </w:r>
      <w:r w:rsidRPr="00171A69">
        <w:t>sur les héparines de bas poids moléculaire, le fondaparinux ou l’héparine non fractionnée. Le traitement d’entretien</w:t>
      </w:r>
      <w:r>
        <w:t xml:space="preserve"> </w:t>
      </w:r>
      <w:r w:rsidRPr="00171A69">
        <w:t>repose sur les</w:t>
      </w:r>
      <w:r>
        <w:t xml:space="preserve"> AOD ou sur les </w:t>
      </w:r>
      <w:r w:rsidRPr="00171A69">
        <w:t>antagonistes de la vitamine K</w:t>
      </w:r>
      <w:r>
        <w:t xml:space="preserve">. </w:t>
      </w:r>
    </w:p>
    <w:p w14:paraId="777D4991" w14:textId="77777777" w:rsidR="006009FC" w:rsidRPr="00171A69" w:rsidRDefault="006009FC" w:rsidP="003720F8">
      <w:pPr>
        <w:pStyle w:val="pointscls10"/>
        <w:spacing w:line="276" w:lineRule="auto"/>
      </w:pPr>
      <w:r w:rsidRPr="00171A69">
        <w:t>Les AOD sont</w:t>
      </w:r>
      <w:r>
        <w:t xml:space="preserve"> recommandés en 1</w:t>
      </w:r>
      <w:r w:rsidRPr="00BF018B">
        <w:rPr>
          <w:vertAlign w:val="superscript"/>
        </w:rPr>
        <w:t>re</w:t>
      </w:r>
      <w:r>
        <w:t xml:space="preserve"> intention. Ils sont</w:t>
      </w:r>
      <w:r w:rsidRPr="00171A69">
        <w:t xml:space="preserve"> </w:t>
      </w:r>
      <w:r>
        <w:t xml:space="preserve">au moins </w:t>
      </w:r>
      <w:r w:rsidRPr="00171A69">
        <w:t xml:space="preserve">aussi efficaces et </w:t>
      </w:r>
      <w:r>
        <w:t xml:space="preserve">plus </w:t>
      </w:r>
      <w:r w:rsidRPr="00171A69">
        <w:t>sûrs que le traitement conventionnel (HBPM relais AVK). Ils sont plus simples d’utilisation (administration orale à dose unique sans contrôle biologique) et contre-indiqués en cas d’insuffisance rénale sévère (clairance de la créatinine &lt; 30</w:t>
      </w:r>
      <w:r>
        <w:t> </w:t>
      </w:r>
      <w:proofErr w:type="spellStart"/>
      <w:r>
        <w:t>mL</w:t>
      </w:r>
      <w:proofErr w:type="spellEnd"/>
      <w:r w:rsidRPr="00171A69">
        <w:t>/min selon la formule de Cock</w:t>
      </w:r>
      <w:r>
        <w:t>c</w:t>
      </w:r>
      <w:r w:rsidRPr="00171A69">
        <w:t>roft et Gault)</w:t>
      </w:r>
      <w:r>
        <w:t xml:space="preserve">. </w:t>
      </w:r>
    </w:p>
    <w:p w14:paraId="1C7C328B" w14:textId="4B795F4E" w:rsidR="006009FC" w:rsidRPr="00171A69" w:rsidRDefault="006009FC" w:rsidP="003720F8">
      <w:pPr>
        <w:pStyle w:val="pointscls10"/>
        <w:spacing w:line="276" w:lineRule="auto"/>
      </w:pPr>
      <w:r>
        <w:t>À</w:t>
      </w:r>
      <w:r w:rsidRPr="00171A69">
        <w:t xml:space="preserve"> long terme, la </w:t>
      </w:r>
      <w:r w:rsidR="0026545F">
        <w:t>MTEV</w:t>
      </w:r>
      <w:r w:rsidRPr="00171A69">
        <w:t xml:space="preserve"> expose à deux complications : la récidive à l’arrêt du traitement anticoagulant</w:t>
      </w:r>
      <w:r>
        <w:t>,</w:t>
      </w:r>
      <w:r w:rsidRPr="00171A69">
        <w:t xml:space="preserve"> fréquente (</w:t>
      </w:r>
      <w:r>
        <w:t xml:space="preserve">entre 3 % et 15 % à 1 an de l’arrêt de traitement) </w:t>
      </w:r>
      <w:r w:rsidRPr="00171A69">
        <w:t xml:space="preserve">et l’hypertension pulmonaire </w:t>
      </w:r>
      <w:r>
        <w:t>thrombo-</w:t>
      </w:r>
      <w:r w:rsidRPr="00171A69">
        <w:t>embolique</w:t>
      </w:r>
      <w:r>
        <w:t xml:space="preserve"> chronique (HTP-TEC)</w:t>
      </w:r>
      <w:r w:rsidRPr="00171A69">
        <w:t xml:space="preserve"> ou le syndrome post-thrombotique rare</w:t>
      </w:r>
      <w:r>
        <w:t xml:space="preserve"> (&lt; 4 %), mais grave.</w:t>
      </w:r>
    </w:p>
    <w:p w14:paraId="62139F7D" w14:textId="77777777" w:rsidR="00AC56AB" w:rsidRDefault="00AC56AB" w:rsidP="003720F8">
      <w:pPr>
        <w:spacing w:after="160" w:line="276" w:lineRule="auto"/>
        <w:jc w:val="left"/>
        <w:rPr>
          <w:b/>
          <w:bCs/>
          <w:caps/>
          <w:color w:val="FFFFFF"/>
          <w:sz w:val="24"/>
          <w:szCs w:val="24"/>
        </w:rPr>
      </w:pPr>
      <w:r>
        <w:br w:type="page"/>
      </w:r>
    </w:p>
    <w:p w14:paraId="7EE46826" w14:textId="0EB84E13" w:rsidR="00876EF8" w:rsidRDefault="00876EF8" w:rsidP="003720F8">
      <w:pPr>
        <w:pStyle w:val="titredepartie"/>
        <w:spacing w:after="0" w:line="276" w:lineRule="auto"/>
      </w:pPr>
      <w:r>
        <w:lastRenderedPageBreak/>
        <w:t>DEFINITIONS</w:t>
      </w:r>
      <w:r w:rsidR="006009FC">
        <w:t xml:space="preserve"> – </w:t>
      </w:r>
      <w:r>
        <w:t>PHYSIOPATHOLOGIE</w:t>
      </w:r>
      <w:r w:rsidR="006009FC">
        <w:t xml:space="preserve"> </w:t>
      </w:r>
      <w:r>
        <w:t>-</w:t>
      </w:r>
      <w:r w:rsidR="006009FC">
        <w:t xml:space="preserve"> </w:t>
      </w:r>
      <w:r>
        <w:t>EPIDEMIOLOGIE</w:t>
      </w:r>
    </w:p>
    <w:p w14:paraId="11728F08" w14:textId="77777777" w:rsidR="00876EF8" w:rsidRDefault="00876EF8" w:rsidP="003720F8">
      <w:pPr>
        <w:spacing w:line="276" w:lineRule="auto"/>
      </w:pPr>
    </w:p>
    <w:p w14:paraId="1E800574" w14:textId="4B6DE805" w:rsidR="002F6315" w:rsidRDefault="002F6315" w:rsidP="003720F8">
      <w:pPr>
        <w:pStyle w:val="titredesous-partie"/>
        <w:spacing w:line="276" w:lineRule="auto"/>
      </w:pPr>
      <w:r w:rsidRPr="002F6315">
        <w:t>DEFINITIONS</w:t>
      </w:r>
    </w:p>
    <w:p w14:paraId="586B536C" w14:textId="53FCBF22" w:rsidR="002F6315" w:rsidRPr="00900348" w:rsidRDefault="002F6315" w:rsidP="003720F8">
      <w:pPr>
        <w:spacing w:line="276" w:lineRule="auto"/>
        <w:rPr>
          <w:rFonts w:cs="Arial"/>
        </w:rPr>
      </w:pPr>
      <w:r w:rsidRPr="00900348">
        <w:rPr>
          <w:rFonts w:cs="Arial"/>
        </w:rPr>
        <w:t>La «</w:t>
      </w:r>
      <w:r>
        <w:rPr>
          <w:rFonts w:ascii="Arial" w:hAnsi="Arial" w:cs="Arial"/>
        </w:rPr>
        <w:t> </w:t>
      </w:r>
      <w:r w:rsidRPr="00900348">
        <w:rPr>
          <w:rFonts w:cs="Arial"/>
        </w:rPr>
        <w:t>maladie veineuse thrombo-embolique</w:t>
      </w:r>
      <w:r>
        <w:rPr>
          <w:rFonts w:ascii="Arial" w:hAnsi="Arial" w:cs="Arial"/>
        </w:rPr>
        <w:t> </w:t>
      </w:r>
      <w:r w:rsidRPr="00900348">
        <w:rPr>
          <w:rFonts w:cs="Arial"/>
        </w:rPr>
        <w:t>» (</w:t>
      </w:r>
      <w:r w:rsidR="0026545F">
        <w:rPr>
          <w:rFonts w:cs="Arial"/>
        </w:rPr>
        <w:t>MTEV</w:t>
      </w:r>
      <w:r w:rsidRPr="00900348">
        <w:rPr>
          <w:rFonts w:cs="Arial"/>
        </w:rPr>
        <w:t>) est une entité dont les deux manifestations cliniques sont les «</w:t>
      </w:r>
      <w:r>
        <w:rPr>
          <w:rFonts w:ascii="Arial" w:hAnsi="Arial" w:cs="Arial"/>
        </w:rPr>
        <w:t> </w:t>
      </w:r>
      <w:r w:rsidRPr="00900348">
        <w:rPr>
          <w:rFonts w:cs="Arial"/>
        </w:rPr>
        <w:t>thromboses veineuses profondes</w:t>
      </w:r>
      <w:r>
        <w:rPr>
          <w:rFonts w:ascii="Arial" w:hAnsi="Arial" w:cs="Arial"/>
        </w:rPr>
        <w:t> </w:t>
      </w:r>
      <w:r w:rsidRPr="00900348">
        <w:rPr>
          <w:rFonts w:cs="Arial"/>
        </w:rPr>
        <w:t>» (TVP) et/ou «</w:t>
      </w:r>
      <w:r>
        <w:rPr>
          <w:rFonts w:ascii="Arial" w:hAnsi="Arial" w:cs="Arial"/>
        </w:rPr>
        <w:t> </w:t>
      </w:r>
      <w:r w:rsidRPr="00900348">
        <w:rPr>
          <w:rFonts w:cs="Arial"/>
        </w:rPr>
        <w:t>l’embolie pulmonaire</w:t>
      </w:r>
      <w:r>
        <w:rPr>
          <w:rFonts w:ascii="Arial" w:hAnsi="Arial" w:cs="Arial"/>
        </w:rPr>
        <w:t> </w:t>
      </w:r>
      <w:r w:rsidRPr="00900348">
        <w:rPr>
          <w:rFonts w:cs="Arial"/>
        </w:rPr>
        <w:t xml:space="preserve">» (EP). </w:t>
      </w:r>
    </w:p>
    <w:p w14:paraId="286C3698" w14:textId="77777777" w:rsidR="002F6315" w:rsidRPr="00900348" w:rsidRDefault="002F6315" w:rsidP="003720F8">
      <w:pPr>
        <w:spacing w:line="276" w:lineRule="auto"/>
        <w:rPr>
          <w:rFonts w:cs="Arial"/>
        </w:rPr>
      </w:pPr>
    </w:p>
    <w:p w14:paraId="5A772F52" w14:textId="0963F720" w:rsidR="002F6315" w:rsidRPr="00900348" w:rsidRDefault="002F6315" w:rsidP="003720F8">
      <w:pPr>
        <w:spacing w:line="276" w:lineRule="auto"/>
        <w:rPr>
          <w:rFonts w:cs="Arial"/>
        </w:rPr>
      </w:pPr>
      <w:r w:rsidRPr="00900348">
        <w:rPr>
          <w:rFonts w:cs="Arial"/>
        </w:rPr>
        <w:t>Une «</w:t>
      </w:r>
      <w:r>
        <w:rPr>
          <w:rFonts w:ascii="Arial" w:hAnsi="Arial" w:cs="Arial"/>
        </w:rPr>
        <w:t> </w:t>
      </w:r>
      <w:r w:rsidRPr="00900348">
        <w:rPr>
          <w:rFonts w:cs="Arial"/>
        </w:rPr>
        <w:t>TVP symptomatique</w:t>
      </w:r>
      <w:r>
        <w:rPr>
          <w:rFonts w:ascii="Arial" w:hAnsi="Arial" w:cs="Arial"/>
        </w:rPr>
        <w:t> </w:t>
      </w:r>
      <w:r w:rsidRPr="00900348">
        <w:rPr>
          <w:rFonts w:cs="Arial"/>
        </w:rPr>
        <w:t xml:space="preserve">» est définie par la présence d’un ou </w:t>
      </w:r>
      <w:r w:rsidR="0026545F">
        <w:rPr>
          <w:rFonts w:cs="Arial"/>
        </w:rPr>
        <w:t>plusieurs</w:t>
      </w:r>
      <w:r w:rsidRPr="00900348">
        <w:rPr>
          <w:rFonts w:cs="Arial"/>
        </w:rPr>
        <w:t xml:space="preserve"> «</w:t>
      </w:r>
      <w:r>
        <w:rPr>
          <w:rFonts w:ascii="Arial" w:hAnsi="Arial" w:cs="Arial"/>
        </w:rPr>
        <w:t> </w:t>
      </w:r>
      <w:proofErr w:type="spellStart"/>
      <w:r w:rsidRPr="00900348">
        <w:rPr>
          <w:rFonts w:cs="Arial"/>
        </w:rPr>
        <w:t>thrombi</w:t>
      </w:r>
      <w:proofErr w:type="spellEnd"/>
      <w:r>
        <w:rPr>
          <w:rFonts w:ascii="Arial" w:hAnsi="Arial" w:cs="Arial"/>
        </w:rPr>
        <w:t> </w:t>
      </w:r>
      <w:r w:rsidRPr="00900348">
        <w:rPr>
          <w:rFonts w:cs="Arial"/>
        </w:rPr>
        <w:t>» (caillots de sang) dans les veines profondes des membres inférieurs chez un patient ayant des symptômes aux membres inférieurs.</w:t>
      </w:r>
    </w:p>
    <w:p w14:paraId="295F4F48" w14:textId="77777777" w:rsidR="002F6315" w:rsidRPr="00900348" w:rsidRDefault="002F6315" w:rsidP="003720F8">
      <w:pPr>
        <w:spacing w:line="276" w:lineRule="auto"/>
        <w:rPr>
          <w:rFonts w:cs="Arial"/>
        </w:rPr>
      </w:pPr>
    </w:p>
    <w:p w14:paraId="4871459D" w14:textId="77777777" w:rsidR="002F6315" w:rsidRPr="00900348" w:rsidRDefault="002F6315" w:rsidP="003720F8">
      <w:pPr>
        <w:spacing w:line="276" w:lineRule="auto"/>
        <w:rPr>
          <w:rFonts w:cs="Arial"/>
        </w:rPr>
      </w:pPr>
      <w:r w:rsidRPr="00900348">
        <w:rPr>
          <w:rFonts w:cs="Arial"/>
        </w:rPr>
        <w:t>Une «</w:t>
      </w:r>
      <w:r>
        <w:rPr>
          <w:rFonts w:ascii="Arial" w:hAnsi="Arial" w:cs="Arial"/>
        </w:rPr>
        <w:t> </w:t>
      </w:r>
      <w:r w:rsidRPr="00900348">
        <w:rPr>
          <w:rFonts w:cs="Arial"/>
        </w:rPr>
        <w:t>TVP proximale</w:t>
      </w:r>
      <w:r>
        <w:rPr>
          <w:rFonts w:ascii="Arial" w:hAnsi="Arial" w:cs="Arial"/>
        </w:rPr>
        <w:t> </w:t>
      </w:r>
      <w:r w:rsidRPr="00900348">
        <w:rPr>
          <w:rFonts w:cs="Arial"/>
        </w:rPr>
        <w:t xml:space="preserve">» correspond à une thrombose affectant les veines poplitées, fémorales et/ou iliaques. </w:t>
      </w:r>
    </w:p>
    <w:p w14:paraId="3C886450" w14:textId="77777777" w:rsidR="002F6315" w:rsidRPr="00900348" w:rsidRDefault="002F6315" w:rsidP="003720F8">
      <w:pPr>
        <w:spacing w:line="276" w:lineRule="auto"/>
        <w:rPr>
          <w:rFonts w:cs="Arial"/>
        </w:rPr>
      </w:pPr>
    </w:p>
    <w:p w14:paraId="577D2774" w14:textId="77777777" w:rsidR="002F6315" w:rsidRPr="00900348" w:rsidRDefault="002F6315" w:rsidP="003720F8">
      <w:pPr>
        <w:spacing w:line="276" w:lineRule="auto"/>
        <w:rPr>
          <w:rFonts w:cs="Arial"/>
        </w:rPr>
      </w:pPr>
      <w:r w:rsidRPr="00900348">
        <w:rPr>
          <w:rFonts w:cs="Arial"/>
        </w:rPr>
        <w:t>Une «</w:t>
      </w:r>
      <w:r>
        <w:rPr>
          <w:rFonts w:ascii="Arial" w:hAnsi="Arial" w:cs="Arial"/>
        </w:rPr>
        <w:t> </w:t>
      </w:r>
      <w:r w:rsidRPr="00900348">
        <w:rPr>
          <w:rFonts w:cs="Arial"/>
        </w:rPr>
        <w:t>TVP distale</w:t>
      </w:r>
      <w:r>
        <w:rPr>
          <w:rFonts w:ascii="Arial" w:hAnsi="Arial" w:cs="Arial"/>
        </w:rPr>
        <w:t> </w:t>
      </w:r>
      <w:r w:rsidRPr="00900348">
        <w:rPr>
          <w:rFonts w:cs="Arial"/>
        </w:rPr>
        <w:t>» correspond à une thrombose sous-poplitée (veines tibiales et péronières).</w:t>
      </w:r>
    </w:p>
    <w:p w14:paraId="775F7789" w14:textId="77777777" w:rsidR="002F6315" w:rsidRPr="00900348" w:rsidRDefault="002F6315" w:rsidP="003720F8">
      <w:pPr>
        <w:spacing w:line="276" w:lineRule="auto"/>
        <w:rPr>
          <w:rFonts w:cs="Arial"/>
        </w:rPr>
      </w:pPr>
    </w:p>
    <w:p w14:paraId="2479C047" w14:textId="77777777" w:rsidR="002F6315" w:rsidRDefault="002F6315" w:rsidP="003720F8">
      <w:pPr>
        <w:spacing w:line="276" w:lineRule="auto"/>
        <w:rPr>
          <w:rFonts w:cs="Arial"/>
        </w:rPr>
      </w:pPr>
      <w:r w:rsidRPr="00900348">
        <w:rPr>
          <w:rFonts w:cs="Arial"/>
        </w:rPr>
        <w:t>Une «</w:t>
      </w:r>
      <w:r>
        <w:rPr>
          <w:rFonts w:ascii="Arial" w:hAnsi="Arial" w:cs="Arial"/>
        </w:rPr>
        <w:t> </w:t>
      </w:r>
      <w:r w:rsidRPr="00900348">
        <w:rPr>
          <w:rFonts w:cs="Arial"/>
        </w:rPr>
        <w:t>EP symptomatique</w:t>
      </w:r>
      <w:r>
        <w:rPr>
          <w:rFonts w:ascii="Arial" w:hAnsi="Arial" w:cs="Arial"/>
        </w:rPr>
        <w:t> </w:t>
      </w:r>
      <w:r w:rsidRPr="00900348">
        <w:rPr>
          <w:rFonts w:cs="Arial"/>
        </w:rPr>
        <w:t xml:space="preserve">» est définie par la présence d’un ou des </w:t>
      </w:r>
      <w:proofErr w:type="spellStart"/>
      <w:r w:rsidRPr="00900348">
        <w:rPr>
          <w:rFonts w:cs="Arial"/>
        </w:rPr>
        <w:t>thrombi</w:t>
      </w:r>
      <w:proofErr w:type="spellEnd"/>
      <w:r w:rsidRPr="00900348">
        <w:rPr>
          <w:rFonts w:cs="Arial"/>
        </w:rPr>
        <w:t xml:space="preserve"> dans les artères pulmonaires chez un patient ayant des symptômes thoraciques (que des symptômes évocateurs de TVP soient présents ou non, qu’une TVP associée soit confirmée ou non).</w:t>
      </w:r>
    </w:p>
    <w:p w14:paraId="21A86A32" w14:textId="77777777" w:rsidR="002F6315" w:rsidRDefault="002F6315" w:rsidP="003720F8">
      <w:pPr>
        <w:spacing w:line="276" w:lineRule="auto"/>
      </w:pPr>
    </w:p>
    <w:p w14:paraId="6507B670" w14:textId="2486BEB6" w:rsidR="002F6315" w:rsidRDefault="002F6315" w:rsidP="003720F8">
      <w:pPr>
        <w:pStyle w:val="titredesous-partie"/>
        <w:spacing w:line="276" w:lineRule="auto"/>
      </w:pPr>
      <w:r w:rsidRPr="002F6315">
        <w:t>EPIDEMIOLOGIE</w:t>
      </w:r>
    </w:p>
    <w:p w14:paraId="2D4E3EEE" w14:textId="7087CE8E" w:rsidR="002F6315" w:rsidRDefault="002F6315" w:rsidP="003720F8">
      <w:pPr>
        <w:pStyle w:val="Titre2"/>
        <w:spacing w:line="276" w:lineRule="auto"/>
      </w:pPr>
      <w:r w:rsidRPr="002F6315">
        <w:t>Incidence</w:t>
      </w:r>
    </w:p>
    <w:p w14:paraId="23CD07BB" w14:textId="4ADE82AA" w:rsidR="002F6315" w:rsidRDefault="002F6315" w:rsidP="003720F8">
      <w:pPr>
        <w:spacing w:line="276" w:lineRule="auto"/>
      </w:pPr>
      <w:r>
        <w:t xml:space="preserve">La </w:t>
      </w:r>
      <w:r w:rsidR="0026545F">
        <w:t>MTEV</w:t>
      </w:r>
      <w:r>
        <w:t xml:space="preserve"> est une maladie fréquente : incidence annuelle de </w:t>
      </w:r>
      <w:r w:rsidRPr="002F6315">
        <w:rPr>
          <w:b/>
          <w:bCs/>
        </w:rPr>
        <w:t xml:space="preserve">1 à 2 cas pour 1000 </w:t>
      </w:r>
      <w:r>
        <w:t xml:space="preserve">habitants (dans 2/3 des cas : TVP et 1/3 des cas : EP). </w:t>
      </w:r>
      <w:r w:rsidRPr="002F6315">
        <w:rPr>
          <w:b/>
          <w:bCs/>
        </w:rPr>
        <w:t xml:space="preserve">L’incidence annuelle de la </w:t>
      </w:r>
      <w:r w:rsidR="0026545F">
        <w:rPr>
          <w:b/>
          <w:bCs/>
        </w:rPr>
        <w:t>MTEV</w:t>
      </w:r>
      <w:r w:rsidRPr="002F6315">
        <w:rPr>
          <w:b/>
          <w:bCs/>
        </w:rPr>
        <w:t xml:space="preserve"> augmente avec l’âge (1/100 après 75 ans contre 1/10 000 avant 40 ans). </w:t>
      </w:r>
    </w:p>
    <w:p w14:paraId="5B83CFDA" w14:textId="53F41853" w:rsidR="002F6315" w:rsidRPr="002F6315" w:rsidRDefault="002F6315" w:rsidP="003720F8">
      <w:pPr>
        <w:spacing w:line="276" w:lineRule="auto"/>
        <w:rPr>
          <w:color w:val="0070C0"/>
        </w:rPr>
      </w:pPr>
      <w:r w:rsidRPr="00313EF7">
        <w:rPr>
          <w:rFonts w:ascii="Arial" w:hAnsi="Arial" w:cs="Arial"/>
          <w:iCs/>
          <w:noProof/>
          <w:color w:val="000000" w:themeColor="text1"/>
          <w:sz w:val="28"/>
          <w:szCs w:val="28"/>
        </w:rPr>
        <w:drawing>
          <wp:anchor distT="0" distB="0" distL="114300" distR="114300" simplePos="0" relativeHeight="251780096" behindDoc="0" locked="0" layoutInCell="1" allowOverlap="1" wp14:anchorId="5656001E" wp14:editId="70D64C3F">
            <wp:simplePos x="0" y="0"/>
            <wp:positionH relativeFrom="leftMargin">
              <wp:posOffset>470372</wp:posOffset>
            </wp:positionH>
            <wp:positionV relativeFrom="paragraph">
              <wp:posOffset>13335</wp:posOffset>
            </wp:positionV>
            <wp:extent cx="153670" cy="137160"/>
            <wp:effectExtent l="0" t="0" r="0" b="0"/>
            <wp:wrapThrough wrapText="bothSides">
              <wp:wrapPolygon edited="0">
                <wp:start x="0" y="0"/>
                <wp:lineTo x="0" y="18000"/>
                <wp:lineTo x="18744" y="18000"/>
                <wp:lineTo x="18744" y="0"/>
                <wp:lineTo x="0" y="0"/>
              </wp:wrapPolygon>
            </wp:wrapThrough>
            <wp:docPr id="10620687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2F6315">
        <w:rPr>
          <w:color w:val="0070C0"/>
        </w:rPr>
        <w:t>Il s’agit d’un enjeu de santé publique, car chaque année, près de 35 000 patients sont hospitalisés en France pour une EP avec une mortalité globale hospitalière de 5 %.</w:t>
      </w:r>
    </w:p>
    <w:p w14:paraId="59A88BCA" w14:textId="77777777" w:rsidR="002F6315" w:rsidRDefault="002F6315" w:rsidP="003720F8">
      <w:pPr>
        <w:spacing w:line="276" w:lineRule="auto"/>
      </w:pPr>
    </w:p>
    <w:p w14:paraId="47303623" w14:textId="5C5759E1" w:rsidR="002F6315" w:rsidRDefault="002F6315" w:rsidP="003720F8">
      <w:pPr>
        <w:pStyle w:val="Titre2"/>
        <w:spacing w:line="276" w:lineRule="auto"/>
      </w:pPr>
      <w:r w:rsidRPr="002F6315">
        <w:t>Facteurs de risque</w:t>
      </w:r>
    </w:p>
    <w:p w14:paraId="64AD72F5" w14:textId="341BA33F" w:rsidR="002F6315" w:rsidRDefault="002F6315" w:rsidP="003720F8">
      <w:pPr>
        <w:spacing w:line="276" w:lineRule="auto"/>
      </w:pPr>
      <w:r>
        <w:t xml:space="preserve">La </w:t>
      </w:r>
      <w:r w:rsidR="0026545F">
        <w:t>MTEV</w:t>
      </w:r>
      <w:r>
        <w:t xml:space="preserve"> est une maladie </w:t>
      </w:r>
      <w:r w:rsidRPr="002F6315">
        <w:rPr>
          <w:b/>
          <w:bCs/>
        </w:rPr>
        <w:t>multifactorielle</w:t>
      </w:r>
      <w:r>
        <w:t xml:space="preserve"> combinant facteurs cliniques (acquis) et/ou biologiques (principalement héréditaires). Dans 50 % des cas, aucun facteur n’est identifié. </w:t>
      </w:r>
    </w:p>
    <w:p w14:paraId="4C10C894" w14:textId="69A03099" w:rsidR="002F6315" w:rsidRPr="002F6315" w:rsidRDefault="002F6315" w:rsidP="003720F8">
      <w:pPr>
        <w:spacing w:line="276" w:lineRule="auto"/>
      </w:pPr>
      <w:r>
        <w:t xml:space="preserve">Les facteurs de risque de </w:t>
      </w:r>
      <w:r w:rsidR="0026545F">
        <w:t>MTEV</w:t>
      </w:r>
      <w:r>
        <w:t xml:space="preserve"> sont reportés dans le tableau 1. À noter : le tabac et les dyslipidémies ne sont pas des facteurs de risque de </w:t>
      </w:r>
      <w:r w:rsidR="0026545F">
        <w:t>MTEV</w:t>
      </w:r>
      <w:r>
        <w:t>. D’autres facteurs sont reconnus : âge &gt; 65 ans, obésité, syndrome néphrotique.</w:t>
      </w:r>
    </w:p>
    <w:p w14:paraId="6778D1B2" w14:textId="77777777" w:rsidR="002F6315" w:rsidRDefault="002F6315" w:rsidP="003720F8">
      <w:pPr>
        <w:spacing w:line="276" w:lineRule="auto"/>
      </w:pPr>
    </w:p>
    <w:p w14:paraId="44C70787" w14:textId="77777777" w:rsidR="00B62D23" w:rsidRDefault="00B62D23">
      <w:pPr>
        <w:spacing w:after="160"/>
        <w:jc w:val="left"/>
        <w:rPr>
          <w:rFonts w:ascii="Arial" w:eastAsia="Arial" w:hAnsi="Arial" w:cs="Arial"/>
          <w:sz w:val="18"/>
          <w:szCs w:val="18"/>
        </w:rPr>
      </w:pPr>
      <w:r>
        <w:br w:type="page"/>
      </w:r>
    </w:p>
    <w:p w14:paraId="2E267D12" w14:textId="4ECC977E" w:rsidR="002F6315" w:rsidRDefault="002F6315" w:rsidP="003720F8">
      <w:pPr>
        <w:pStyle w:val="lgende"/>
      </w:pPr>
      <w:r w:rsidRPr="002F6315">
        <w:lastRenderedPageBreak/>
        <w:t>Tableau 1 : Principaux facteurs de risque (</w:t>
      </w:r>
      <w:proofErr w:type="spellStart"/>
      <w:r w:rsidRPr="002F6315">
        <w:t>FdR</w:t>
      </w:r>
      <w:proofErr w:type="spellEnd"/>
      <w:r w:rsidRPr="002F6315">
        <w:t xml:space="preserve">) de </w:t>
      </w:r>
      <w:r w:rsidR="0026545F">
        <w:t>MTEV</w:t>
      </w:r>
      <w:r w:rsidRPr="002F6315">
        <w:t>.</w:t>
      </w:r>
    </w:p>
    <w:tbl>
      <w:tblPr>
        <w:tblW w:w="9072"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0" w:type="dxa"/>
          <w:right w:w="0" w:type="dxa"/>
        </w:tblCellMar>
        <w:tblLook w:val="0420" w:firstRow="1" w:lastRow="0" w:firstColumn="0" w:lastColumn="0" w:noHBand="0" w:noVBand="1"/>
      </w:tblPr>
      <w:tblGrid>
        <w:gridCol w:w="709"/>
        <w:gridCol w:w="582"/>
        <w:gridCol w:w="3820"/>
        <w:gridCol w:w="3961"/>
      </w:tblGrid>
      <w:tr w:rsidR="002F6315" w:rsidRPr="00F17C26" w14:paraId="1F6B5927" w14:textId="77777777" w:rsidTr="005F7E87">
        <w:trPr>
          <w:trHeight w:val="251"/>
          <w:jc w:val="center"/>
        </w:trPr>
        <w:tc>
          <w:tcPr>
            <w:tcW w:w="709" w:type="dxa"/>
            <w:tcMar>
              <w:top w:w="72" w:type="dxa"/>
              <w:left w:w="144" w:type="dxa"/>
              <w:bottom w:w="72" w:type="dxa"/>
              <w:right w:w="144" w:type="dxa"/>
            </w:tcMar>
            <w:vAlign w:val="center"/>
            <w:hideMark/>
          </w:tcPr>
          <w:p w14:paraId="255B7C1A" w14:textId="77777777" w:rsidR="002F6315" w:rsidRPr="00F17C26" w:rsidRDefault="002F6315" w:rsidP="003720F8">
            <w:pPr>
              <w:spacing w:line="276" w:lineRule="auto"/>
              <w:rPr>
                <w:rFonts w:ascii="Calibri" w:hAnsi="Calibri"/>
              </w:rPr>
            </w:pPr>
          </w:p>
        </w:tc>
        <w:tc>
          <w:tcPr>
            <w:tcW w:w="567" w:type="dxa"/>
            <w:tcMar>
              <w:top w:w="72" w:type="dxa"/>
              <w:left w:w="144" w:type="dxa"/>
              <w:bottom w:w="72" w:type="dxa"/>
              <w:right w:w="144" w:type="dxa"/>
            </w:tcMar>
            <w:vAlign w:val="center"/>
            <w:hideMark/>
          </w:tcPr>
          <w:p w14:paraId="41B4BE66" w14:textId="77777777" w:rsidR="002F6315" w:rsidRPr="00F17C26" w:rsidRDefault="002F6315" w:rsidP="003720F8">
            <w:pPr>
              <w:spacing w:line="276" w:lineRule="auto"/>
              <w:rPr>
                <w:rFonts w:ascii="Calibri" w:hAnsi="Calibri"/>
              </w:rPr>
            </w:pPr>
          </w:p>
        </w:tc>
        <w:tc>
          <w:tcPr>
            <w:tcW w:w="3827" w:type="dxa"/>
            <w:shd w:val="clear" w:color="auto" w:fill="D1D1D1" w:themeFill="background2" w:themeFillShade="E6"/>
            <w:tcMar>
              <w:top w:w="72" w:type="dxa"/>
              <w:left w:w="144" w:type="dxa"/>
              <w:bottom w:w="72" w:type="dxa"/>
              <w:right w:w="144" w:type="dxa"/>
            </w:tcMar>
            <w:vAlign w:val="center"/>
            <w:hideMark/>
          </w:tcPr>
          <w:p w14:paraId="4DF9176F" w14:textId="77777777" w:rsidR="002F6315" w:rsidRPr="002F6315" w:rsidRDefault="002F6315" w:rsidP="003720F8">
            <w:pPr>
              <w:spacing w:line="276" w:lineRule="auto"/>
              <w:jc w:val="center"/>
              <w:rPr>
                <w:rFonts w:ascii="Calibri" w:hAnsi="Calibri"/>
                <w:color w:val="000000" w:themeColor="text1"/>
              </w:rPr>
            </w:pPr>
            <w:r w:rsidRPr="002F6315">
              <w:rPr>
                <w:rFonts w:ascii="Calibri" w:hAnsi="Calibri"/>
                <w:b/>
                <w:bCs/>
                <w:color w:val="000000" w:themeColor="text1"/>
              </w:rPr>
              <w:t>Traitement court</w:t>
            </w:r>
          </w:p>
        </w:tc>
        <w:tc>
          <w:tcPr>
            <w:tcW w:w="3969" w:type="dxa"/>
            <w:shd w:val="clear" w:color="auto" w:fill="D1D1D1" w:themeFill="background2" w:themeFillShade="E6"/>
            <w:tcMar>
              <w:top w:w="72" w:type="dxa"/>
              <w:left w:w="144" w:type="dxa"/>
              <w:bottom w:w="72" w:type="dxa"/>
              <w:right w:w="144" w:type="dxa"/>
            </w:tcMar>
            <w:vAlign w:val="center"/>
            <w:hideMark/>
          </w:tcPr>
          <w:p w14:paraId="6804E8FE" w14:textId="77777777" w:rsidR="002F6315" w:rsidRPr="002F6315" w:rsidRDefault="002F6315" w:rsidP="003720F8">
            <w:pPr>
              <w:spacing w:line="276" w:lineRule="auto"/>
              <w:jc w:val="center"/>
              <w:rPr>
                <w:rFonts w:ascii="Calibri" w:hAnsi="Calibri"/>
                <w:color w:val="000000" w:themeColor="text1"/>
              </w:rPr>
            </w:pPr>
            <w:r w:rsidRPr="002F6315">
              <w:rPr>
                <w:rFonts w:ascii="Calibri" w:hAnsi="Calibri"/>
                <w:b/>
                <w:bCs/>
                <w:color w:val="000000" w:themeColor="text1"/>
              </w:rPr>
              <w:t>Traitement long</w:t>
            </w:r>
          </w:p>
        </w:tc>
      </w:tr>
      <w:tr w:rsidR="002F6315" w:rsidRPr="00F17C26" w14:paraId="4DC7A3E4" w14:textId="77777777" w:rsidTr="005F7E87">
        <w:trPr>
          <w:trHeight w:val="130"/>
          <w:jc w:val="center"/>
        </w:trPr>
        <w:tc>
          <w:tcPr>
            <w:tcW w:w="709" w:type="dxa"/>
            <w:vMerge w:val="restart"/>
            <w:shd w:val="clear" w:color="auto" w:fill="D1D1D1" w:themeFill="background2" w:themeFillShade="E6"/>
            <w:tcMar>
              <w:top w:w="72" w:type="dxa"/>
              <w:left w:w="144" w:type="dxa"/>
              <w:bottom w:w="72" w:type="dxa"/>
              <w:right w:w="144" w:type="dxa"/>
            </w:tcMar>
            <w:textDirection w:val="btLr"/>
            <w:vAlign w:val="center"/>
            <w:hideMark/>
          </w:tcPr>
          <w:p w14:paraId="7447F0D3" w14:textId="77777777" w:rsidR="002F6315" w:rsidRPr="002F6315" w:rsidRDefault="002F6315" w:rsidP="003720F8">
            <w:pPr>
              <w:spacing w:line="276" w:lineRule="auto"/>
              <w:ind w:left="113" w:right="113"/>
              <w:jc w:val="center"/>
              <w:rPr>
                <w:rFonts w:ascii="Calibri" w:hAnsi="Calibri"/>
                <w:b/>
                <w:color w:val="000000" w:themeColor="text1"/>
              </w:rPr>
            </w:pPr>
            <w:r w:rsidRPr="002F6315">
              <w:rPr>
                <w:rFonts w:ascii="Calibri" w:hAnsi="Calibri"/>
                <w:b/>
                <w:color w:val="000000" w:themeColor="text1"/>
              </w:rPr>
              <w:t>MODULATEURS DECISIFS</w:t>
            </w:r>
          </w:p>
        </w:tc>
        <w:tc>
          <w:tcPr>
            <w:tcW w:w="567" w:type="dxa"/>
            <w:vMerge w:val="restart"/>
            <w:shd w:val="clear" w:color="auto" w:fill="F2F2F2" w:themeFill="background1" w:themeFillShade="F2"/>
            <w:tcMar>
              <w:top w:w="72" w:type="dxa"/>
              <w:left w:w="144" w:type="dxa"/>
              <w:bottom w:w="72" w:type="dxa"/>
              <w:right w:w="144" w:type="dxa"/>
            </w:tcMar>
            <w:textDirection w:val="btLr"/>
            <w:vAlign w:val="center"/>
            <w:hideMark/>
          </w:tcPr>
          <w:p w14:paraId="06EECFAF" w14:textId="77777777" w:rsidR="002F6315" w:rsidRPr="00F17C26" w:rsidRDefault="002F6315" w:rsidP="003720F8">
            <w:pPr>
              <w:spacing w:line="276" w:lineRule="auto"/>
              <w:ind w:left="113" w:right="113"/>
              <w:jc w:val="center"/>
              <w:rPr>
                <w:rFonts w:ascii="Calibri" w:hAnsi="Calibri"/>
                <w:vertAlign w:val="superscript"/>
              </w:rPr>
            </w:pPr>
            <w:proofErr w:type="spellStart"/>
            <w:r w:rsidRPr="00F17C26">
              <w:rPr>
                <w:rFonts w:ascii="Calibri" w:hAnsi="Calibri"/>
                <w:b/>
              </w:rPr>
              <w:t>FdR</w:t>
            </w:r>
            <w:proofErr w:type="spellEnd"/>
            <w:r w:rsidRPr="00F17C26">
              <w:rPr>
                <w:rFonts w:ascii="Calibri" w:hAnsi="Calibri"/>
                <w:b/>
              </w:rPr>
              <w:t xml:space="preserve"> Majeur</w:t>
            </w:r>
            <w:r w:rsidRPr="00F17C26">
              <w:rPr>
                <w:rFonts w:ascii="Calibri" w:hAnsi="Calibri"/>
                <w:b/>
                <w:vertAlign w:val="superscript"/>
              </w:rPr>
              <w:t>1</w:t>
            </w:r>
          </w:p>
        </w:tc>
        <w:tc>
          <w:tcPr>
            <w:tcW w:w="3827" w:type="dxa"/>
            <w:shd w:val="clear" w:color="auto" w:fill="F2F2F2" w:themeFill="background1" w:themeFillShade="F2"/>
            <w:tcMar>
              <w:top w:w="72" w:type="dxa"/>
              <w:left w:w="144" w:type="dxa"/>
              <w:bottom w:w="72" w:type="dxa"/>
              <w:right w:w="144" w:type="dxa"/>
            </w:tcMar>
            <w:vAlign w:val="center"/>
            <w:hideMark/>
          </w:tcPr>
          <w:p w14:paraId="12A217F6" w14:textId="77777777" w:rsidR="002F6315" w:rsidRPr="00F17C26" w:rsidRDefault="002F6315" w:rsidP="003720F8">
            <w:pPr>
              <w:spacing w:line="276" w:lineRule="auto"/>
              <w:jc w:val="center"/>
              <w:rPr>
                <w:rFonts w:ascii="Calibri" w:hAnsi="Calibri"/>
                <w:b/>
              </w:rPr>
            </w:pPr>
            <w:proofErr w:type="spellStart"/>
            <w:r w:rsidRPr="00F17C26">
              <w:rPr>
                <w:rFonts w:ascii="Calibri" w:hAnsi="Calibri"/>
                <w:b/>
              </w:rPr>
              <w:t>FdR</w:t>
            </w:r>
            <w:proofErr w:type="spellEnd"/>
            <w:r w:rsidRPr="00F17C26">
              <w:rPr>
                <w:rFonts w:ascii="Calibri" w:hAnsi="Calibri"/>
                <w:b/>
              </w:rPr>
              <w:t xml:space="preserve"> transitoires</w:t>
            </w:r>
          </w:p>
        </w:tc>
        <w:tc>
          <w:tcPr>
            <w:tcW w:w="3969" w:type="dxa"/>
            <w:shd w:val="clear" w:color="auto" w:fill="F2F2F2" w:themeFill="background1" w:themeFillShade="F2"/>
            <w:tcMar>
              <w:top w:w="72" w:type="dxa"/>
              <w:left w:w="144" w:type="dxa"/>
              <w:bottom w:w="72" w:type="dxa"/>
              <w:right w:w="144" w:type="dxa"/>
            </w:tcMar>
            <w:vAlign w:val="center"/>
            <w:hideMark/>
          </w:tcPr>
          <w:p w14:paraId="6F7DF25C" w14:textId="77777777" w:rsidR="002F6315" w:rsidRPr="00F17C26" w:rsidRDefault="002F6315" w:rsidP="003720F8">
            <w:pPr>
              <w:spacing w:line="276" w:lineRule="auto"/>
              <w:jc w:val="center"/>
              <w:rPr>
                <w:rFonts w:ascii="Calibri" w:hAnsi="Calibri"/>
                <w:b/>
              </w:rPr>
            </w:pPr>
            <w:proofErr w:type="spellStart"/>
            <w:r w:rsidRPr="00F17C26">
              <w:rPr>
                <w:rFonts w:ascii="Calibri" w:hAnsi="Calibri"/>
                <w:b/>
              </w:rPr>
              <w:t>FdR</w:t>
            </w:r>
            <w:proofErr w:type="spellEnd"/>
            <w:r w:rsidRPr="00F17C26">
              <w:rPr>
                <w:rFonts w:ascii="Calibri" w:hAnsi="Calibri"/>
                <w:b/>
              </w:rPr>
              <w:t xml:space="preserve"> persistants</w:t>
            </w:r>
          </w:p>
        </w:tc>
      </w:tr>
      <w:tr w:rsidR="002F6315" w:rsidRPr="00F17C26" w14:paraId="793733C2" w14:textId="77777777" w:rsidTr="005F7E87">
        <w:trPr>
          <w:trHeight w:val="584"/>
          <w:jc w:val="center"/>
        </w:trPr>
        <w:tc>
          <w:tcPr>
            <w:tcW w:w="709" w:type="dxa"/>
            <w:vMerge/>
            <w:shd w:val="clear" w:color="auto" w:fill="D1D1D1" w:themeFill="background2" w:themeFillShade="E6"/>
            <w:vAlign w:val="center"/>
            <w:hideMark/>
          </w:tcPr>
          <w:p w14:paraId="7EE72E07" w14:textId="77777777" w:rsidR="002F6315" w:rsidRPr="00F17C26" w:rsidRDefault="002F6315" w:rsidP="003720F8">
            <w:pPr>
              <w:spacing w:line="276" w:lineRule="auto"/>
              <w:rPr>
                <w:rFonts w:ascii="Calibri" w:hAnsi="Calibri"/>
                <w:b/>
              </w:rPr>
            </w:pPr>
          </w:p>
        </w:tc>
        <w:tc>
          <w:tcPr>
            <w:tcW w:w="567" w:type="dxa"/>
            <w:vMerge/>
            <w:shd w:val="clear" w:color="auto" w:fill="F2F2F2" w:themeFill="background1" w:themeFillShade="F2"/>
            <w:vAlign w:val="center"/>
            <w:hideMark/>
          </w:tcPr>
          <w:p w14:paraId="05DDB856" w14:textId="77777777" w:rsidR="002F6315" w:rsidRPr="00F17C26" w:rsidRDefault="002F6315" w:rsidP="003720F8">
            <w:pPr>
              <w:spacing w:line="276" w:lineRule="auto"/>
              <w:rPr>
                <w:rFonts w:ascii="Calibri" w:hAnsi="Calibri"/>
                <w:vertAlign w:val="superscript"/>
              </w:rPr>
            </w:pPr>
          </w:p>
        </w:tc>
        <w:tc>
          <w:tcPr>
            <w:tcW w:w="3827" w:type="dxa"/>
            <w:tcMar>
              <w:top w:w="72" w:type="dxa"/>
              <w:left w:w="144" w:type="dxa"/>
              <w:bottom w:w="72" w:type="dxa"/>
              <w:right w:w="144" w:type="dxa"/>
            </w:tcMar>
            <w:hideMark/>
          </w:tcPr>
          <w:p w14:paraId="25F55D09"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Chirurgie avec anesthésie générale (AG) &gt; 30</w:t>
            </w:r>
            <w:r>
              <w:rPr>
                <w:rFonts w:ascii="Calibri" w:hAnsi="Calibri"/>
                <w:color w:val="000000" w:themeColor="text1"/>
              </w:rPr>
              <w:t> </w:t>
            </w:r>
            <w:r w:rsidRPr="00F17C26">
              <w:rPr>
                <w:rFonts w:ascii="Calibri" w:hAnsi="Calibri"/>
                <w:color w:val="000000" w:themeColor="text1"/>
              </w:rPr>
              <w:t>min dans les 3</w:t>
            </w:r>
            <w:r>
              <w:rPr>
                <w:rFonts w:ascii="Calibri" w:hAnsi="Calibri"/>
                <w:color w:val="000000" w:themeColor="text1"/>
              </w:rPr>
              <w:t> </w:t>
            </w:r>
            <w:r w:rsidRPr="00F17C26">
              <w:rPr>
                <w:rFonts w:ascii="Calibri" w:hAnsi="Calibri"/>
                <w:color w:val="000000" w:themeColor="text1"/>
              </w:rPr>
              <w:t>derniers mois (DM)</w:t>
            </w:r>
          </w:p>
          <w:p w14:paraId="50FEF909"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Fracture d’un membre inférieur (MI) dans les 3 DM</w:t>
            </w:r>
          </w:p>
          <w:p w14:paraId="60A4B525"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Immobilisation &gt;</w:t>
            </w:r>
            <w:r>
              <w:rPr>
                <w:rFonts w:ascii="Calibri" w:hAnsi="Calibri"/>
                <w:color w:val="000000" w:themeColor="text1"/>
              </w:rPr>
              <w:t xml:space="preserve"> </w:t>
            </w:r>
            <w:r w:rsidRPr="00F17C26">
              <w:rPr>
                <w:rFonts w:ascii="Calibri" w:hAnsi="Calibri"/>
                <w:color w:val="000000" w:themeColor="text1"/>
              </w:rPr>
              <w:t>3</w:t>
            </w:r>
            <w:r>
              <w:rPr>
                <w:rFonts w:ascii="Calibri" w:hAnsi="Calibri"/>
                <w:color w:val="000000" w:themeColor="text1"/>
              </w:rPr>
              <w:t> </w:t>
            </w:r>
            <w:r w:rsidRPr="00F17C26">
              <w:rPr>
                <w:rFonts w:ascii="Calibri" w:hAnsi="Calibri"/>
                <w:color w:val="000000" w:themeColor="text1"/>
              </w:rPr>
              <w:t>j pour motif médical aigu dans les 3 DM</w:t>
            </w:r>
          </w:p>
          <w:p w14:paraId="29C63558"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 xml:space="preserve">Contraception œstroprogestative, grossesse, post-partum, </w:t>
            </w:r>
            <w:proofErr w:type="spellStart"/>
            <w:r w:rsidRPr="00F17C26">
              <w:rPr>
                <w:rFonts w:ascii="Calibri" w:hAnsi="Calibri"/>
                <w:color w:val="000000" w:themeColor="text1"/>
              </w:rPr>
              <w:t>ttt</w:t>
            </w:r>
            <w:proofErr w:type="spellEnd"/>
            <w:r w:rsidRPr="00F17C26">
              <w:rPr>
                <w:rFonts w:ascii="Calibri" w:hAnsi="Calibri"/>
                <w:color w:val="000000" w:themeColor="text1"/>
              </w:rPr>
              <w:t xml:space="preserve"> hormonal de la ménopause dans les 3 DM</w:t>
            </w:r>
          </w:p>
        </w:tc>
        <w:tc>
          <w:tcPr>
            <w:tcW w:w="3969" w:type="dxa"/>
            <w:tcMar>
              <w:top w:w="72" w:type="dxa"/>
              <w:left w:w="144" w:type="dxa"/>
              <w:bottom w:w="72" w:type="dxa"/>
              <w:right w:w="144" w:type="dxa"/>
            </w:tcMar>
            <w:hideMark/>
          </w:tcPr>
          <w:p w14:paraId="33F92FD6"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Cancer actif</w:t>
            </w:r>
          </w:p>
          <w:p w14:paraId="79ACE76D"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Thrombophilie sévère</w:t>
            </w:r>
            <w:r>
              <w:rPr>
                <w:rFonts w:ascii="Calibri" w:hAnsi="Calibri"/>
                <w:color w:val="000000" w:themeColor="text1"/>
              </w:rPr>
              <w:t> </w:t>
            </w:r>
            <w:r w:rsidRPr="00F17C26">
              <w:rPr>
                <w:rFonts w:ascii="Calibri" w:hAnsi="Calibri"/>
                <w:color w:val="000000" w:themeColor="text1"/>
              </w:rPr>
              <w:t xml:space="preserve">: déficit en </w:t>
            </w:r>
            <w:proofErr w:type="spellStart"/>
            <w:r w:rsidRPr="00F17C26">
              <w:rPr>
                <w:rFonts w:ascii="Calibri" w:hAnsi="Calibri"/>
                <w:color w:val="000000" w:themeColor="text1"/>
              </w:rPr>
              <w:t>anti-thrombine</w:t>
            </w:r>
            <w:proofErr w:type="spellEnd"/>
            <w:r w:rsidRPr="00F17C26">
              <w:rPr>
                <w:rFonts w:ascii="Calibri" w:hAnsi="Calibri"/>
                <w:color w:val="000000" w:themeColor="text1"/>
              </w:rPr>
              <w:t>, syndrome des anti-phospholipides</w:t>
            </w:r>
          </w:p>
        </w:tc>
      </w:tr>
      <w:tr w:rsidR="002F6315" w:rsidRPr="00F17C26" w14:paraId="3EC1E92E" w14:textId="77777777" w:rsidTr="005F7E87">
        <w:trPr>
          <w:trHeight w:val="584"/>
          <w:jc w:val="center"/>
        </w:trPr>
        <w:tc>
          <w:tcPr>
            <w:tcW w:w="709" w:type="dxa"/>
            <w:vMerge/>
            <w:shd w:val="clear" w:color="auto" w:fill="D1D1D1" w:themeFill="background2" w:themeFillShade="E6"/>
            <w:vAlign w:val="center"/>
            <w:hideMark/>
          </w:tcPr>
          <w:p w14:paraId="55C9A0B9" w14:textId="77777777" w:rsidR="002F6315" w:rsidRPr="00F17C26" w:rsidRDefault="002F6315" w:rsidP="003720F8">
            <w:pPr>
              <w:spacing w:line="276" w:lineRule="auto"/>
              <w:rPr>
                <w:rFonts w:ascii="Calibri" w:hAnsi="Calibri"/>
                <w:b/>
              </w:rPr>
            </w:pPr>
          </w:p>
        </w:tc>
        <w:tc>
          <w:tcPr>
            <w:tcW w:w="567" w:type="dxa"/>
            <w:vMerge w:val="restart"/>
            <w:shd w:val="clear" w:color="auto" w:fill="F2F2F2" w:themeFill="background1" w:themeFillShade="F2"/>
            <w:tcMar>
              <w:top w:w="72" w:type="dxa"/>
              <w:left w:w="144" w:type="dxa"/>
              <w:bottom w:w="72" w:type="dxa"/>
              <w:right w:w="144" w:type="dxa"/>
            </w:tcMar>
            <w:textDirection w:val="btLr"/>
            <w:vAlign w:val="center"/>
            <w:hideMark/>
          </w:tcPr>
          <w:p w14:paraId="3327ADCD" w14:textId="77777777" w:rsidR="002F6315" w:rsidRPr="00F17C26" w:rsidRDefault="002F6315" w:rsidP="003720F8">
            <w:pPr>
              <w:spacing w:line="276" w:lineRule="auto"/>
              <w:ind w:left="113" w:right="113"/>
              <w:jc w:val="center"/>
              <w:rPr>
                <w:rFonts w:ascii="Calibri" w:hAnsi="Calibri"/>
                <w:b/>
                <w:vertAlign w:val="superscript"/>
              </w:rPr>
            </w:pPr>
            <w:proofErr w:type="spellStart"/>
            <w:r w:rsidRPr="00F17C26">
              <w:rPr>
                <w:rFonts w:ascii="Calibri" w:hAnsi="Calibri"/>
                <w:b/>
              </w:rPr>
              <w:t>FdR</w:t>
            </w:r>
            <w:proofErr w:type="spellEnd"/>
            <w:r w:rsidRPr="00F17C26">
              <w:rPr>
                <w:rFonts w:ascii="Calibri" w:hAnsi="Calibri"/>
                <w:b/>
              </w:rPr>
              <w:t xml:space="preserve"> Mineurs</w:t>
            </w:r>
            <w:r w:rsidRPr="00F17C26">
              <w:rPr>
                <w:rFonts w:ascii="Calibri" w:hAnsi="Calibri"/>
                <w:b/>
                <w:vertAlign w:val="superscript"/>
              </w:rPr>
              <w:t>2</w:t>
            </w:r>
          </w:p>
        </w:tc>
        <w:tc>
          <w:tcPr>
            <w:tcW w:w="3827" w:type="dxa"/>
            <w:tcMar>
              <w:top w:w="72" w:type="dxa"/>
              <w:left w:w="144" w:type="dxa"/>
              <w:bottom w:w="72" w:type="dxa"/>
              <w:right w:w="144" w:type="dxa"/>
            </w:tcMar>
            <w:hideMark/>
          </w:tcPr>
          <w:p w14:paraId="14436E16"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Traumatisme d’un MI non plâtré avec mobilité réduite ≥ 3</w:t>
            </w:r>
            <w:r>
              <w:rPr>
                <w:rFonts w:ascii="Calibri" w:hAnsi="Calibri"/>
                <w:color w:val="000000" w:themeColor="text1"/>
              </w:rPr>
              <w:t> </w:t>
            </w:r>
            <w:r w:rsidRPr="00F17C26">
              <w:rPr>
                <w:rFonts w:ascii="Calibri" w:hAnsi="Calibri"/>
                <w:color w:val="000000" w:themeColor="text1"/>
              </w:rPr>
              <w:t>jours dans les 2 DM</w:t>
            </w:r>
          </w:p>
          <w:p w14:paraId="79E308F2"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Chirurgie avec AG &lt; 30</w:t>
            </w:r>
            <w:r>
              <w:rPr>
                <w:rFonts w:ascii="Calibri" w:hAnsi="Calibri"/>
                <w:color w:val="000000" w:themeColor="text1"/>
              </w:rPr>
              <w:t> </w:t>
            </w:r>
            <w:r w:rsidRPr="00F17C26">
              <w:rPr>
                <w:rFonts w:ascii="Calibri" w:hAnsi="Calibri"/>
                <w:color w:val="000000" w:themeColor="text1"/>
              </w:rPr>
              <w:t>min dans les 2 DM</w:t>
            </w:r>
          </w:p>
          <w:p w14:paraId="15DB2CA5"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Immobilisation &lt; 3</w:t>
            </w:r>
            <w:r>
              <w:rPr>
                <w:rFonts w:ascii="Calibri" w:hAnsi="Calibri"/>
                <w:color w:val="000000" w:themeColor="text1"/>
              </w:rPr>
              <w:t> </w:t>
            </w:r>
            <w:r w:rsidRPr="00F17C26">
              <w:rPr>
                <w:rFonts w:ascii="Calibri" w:hAnsi="Calibri"/>
                <w:color w:val="000000" w:themeColor="text1"/>
              </w:rPr>
              <w:t>jours pour motif médical aigu dans les 2 DM</w:t>
            </w:r>
          </w:p>
          <w:p w14:paraId="144C6BD1"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Voyage &gt; 6</w:t>
            </w:r>
            <w:r>
              <w:rPr>
                <w:rFonts w:ascii="Calibri" w:hAnsi="Calibri"/>
                <w:color w:val="000000" w:themeColor="text1"/>
              </w:rPr>
              <w:t> </w:t>
            </w:r>
            <w:r w:rsidRPr="00F17C26">
              <w:rPr>
                <w:rFonts w:ascii="Calibri" w:hAnsi="Calibri"/>
                <w:color w:val="000000" w:themeColor="text1"/>
              </w:rPr>
              <w:t>h</w:t>
            </w:r>
          </w:p>
        </w:tc>
        <w:tc>
          <w:tcPr>
            <w:tcW w:w="3969" w:type="dxa"/>
            <w:tcMar>
              <w:top w:w="72" w:type="dxa"/>
              <w:left w:w="144" w:type="dxa"/>
              <w:bottom w:w="72" w:type="dxa"/>
              <w:right w:w="144" w:type="dxa"/>
            </w:tcMar>
            <w:hideMark/>
          </w:tcPr>
          <w:p w14:paraId="52D0FB67" w14:textId="77777777" w:rsidR="002F6315"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Maladie inflammatoire chronique intestinale ou articulaire</w:t>
            </w:r>
          </w:p>
          <w:p w14:paraId="36498D63" w14:textId="77777777" w:rsidR="002F6315" w:rsidRPr="00F17C26" w:rsidRDefault="002F6315" w:rsidP="003720F8">
            <w:pPr>
              <w:spacing w:line="276" w:lineRule="auto"/>
              <w:rPr>
                <w:rFonts w:ascii="Calibri" w:hAnsi="Calibri"/>
                <w:color w:val="000000" w:themeColor="text1"/>
              </w:rPr>
            </w:pPr>
            <w:r>
              <w:rPr>
                <w:rFonts w:ascii="Calibri" w:hAnsi="Calibri"/>
                <w:color w:val="000000" w:themeColor="text1"/>
              </w:rPr>
              <w:t xml:space="preserve">- </w:t>
            </w:r>
            <w:r w:rsidRPr="00F17C26">
              <w:rPr>
                <w:rFonts w:ascii="Calibri" w:hAnsi="Calibri"/>
                <w:color w:val="000000" w:themeColor="text1"/>
              </w:rPr>
              <w:t>Thrombophilie non sévère : déficit en protéine C, protéine S, mutation Leiden du facteur V (hétérozygote ou homozygote), mutation du gène de la prothrombine (hétérozygote ou homozygote)</w:t>
            </w:r>
          </w:p>
        </w:tc>
      </w:tr>
      <w:tr w:rsidR="002F6315" w:rsidRPr="00F17C26" w14:paraId="51DB123F" w14:textId="77777777" w:rsidTr="005F7E87">
        <w:trPr>
          <w:trHeight w:val="201"/>
          <w:jc w:val="center"/>
        </w:trPr>
        <w:tc>
          <w:tcPr>
            <w:tcW w:w="709" w:type="dxa"/>
            <w:vMerge/>
            <w:shd w:val="clear" w:color="auto" w:fill="D1D1D1" w:themeFill="background2" w:themeFillShade="E6"/>
            <w:vAlign w:val="center"/>
            <w:hideMark/>
          </w:tcPr>
          <w:p w14:paraId="301B57DD" w14:textId="77777777" w:rsidR="002F6315" w:rsidRPr="00F17C26" w:rsidRDefault="002F6315" w:rsidP="003720F8">
            <w:pPr>
              <w:spacing w:line="276" w:lineRule="auto"/>
              <w:rPr>
                <w:rFonts w:ascii="Calibri" w:hAnsi="Calibri"/>
                <w:b/>
              </w:rPr>
            </w:pPr>
          </w:p>
        </w:tc>
        <w:tc>
          <w:tcPr>
            <w:tcW w:w="567" w:type="dxa"/>
            <w:vMerge/>
            <w:shd w:val="clear" w:color="auto" w:fill="F2F2F2" w:themeFill="background1" w:themeFillShade="F2"/>
            <w:vAlign w:val="center"/>
            <w:hideMark/>
          </w:tcPr>
          <w:p w14:paraId="24067E12" w14:textId="77777777" w:rsidR="002F6315" w:rsidRPr="00F17C26" w:rsidRDefault="002F6315" w:rsidP="003720F8">
            <w:pPr>
              <w:spacing w:line="276" w:lineRule="auto"/>
              <w:rPr>
                <w:rFonts w:ascii="Calibri" w:hAnsi="Calibri"/>
                <w:b/>
                <w:vertAlign w:val="superscript"/>
              </w:rPr>
            </w:pPr>
          </w:p>
        </w:tc>
        <w:tc>
          <w:tcPr>
            <w:tcW w:w="3827" w:type="dxa"/>
            <w:shd w:val="clear" w:color="auto" w:fill="F2F2F2" w:themeFill="background1" w:themeFillShade="F2"/>
            <w:tcMar>
              <w:top w:w="72" w:type="dxa"/>
              <w:left w:w="144" w:type="dxa"/>
              <w:bottom w:w="72" w:type="dxa"/>
              <w:right w:w="144" w:type="dxa"/>
            </w:tcMar>
            <w:vAlign w:val="center"/>
            <w:hideMark/>
          </w:tcPr>
          <w:p w14:paraId="281F48A4" w14:textId="77777777" w:rsidR="002F6315" w:rsidRPr="00F17C26" w:rsidRDefault="002F6315" w:rsidP="003720F8">
            <w:pPr>
              <w:spacing w:line="276" w:lineRule="auto"/>
              <w:jc w:val="center"/>
              <w:rPr>
                <w:rFonts w:ascii="Calibri" w:hAnsi="Calibri"/>
                <w:b/>
                <w:color w:val="000000" w:themeColor="text1"/>
              </w:rPr>
            </w:pPr>
            <w:r w:rsidRPr="00F17C26">
              <w:rPr>
                <w:rFonts w:ascii="Calibri" w:hAnsi="Calibri"/>
                <w:b/>
                <w:color w:val="000000" w:themeColor="text1"/>
              </w:rPr>
              <w:t>Plutôt Traitement court</w:t>
            </w:r>
          </w:p>
        </w:tc>
        <w:tc>
          <w:tcPr>
            <w:tcW w:w="3969" w:type="dxa"/>
            <w:shd w:val="clear" w:color="auto" w:fill="F2F2F2" w:themeFill="background1" w:themeFillShade="F2"/>
            <w:tcMar>
              <w:top w:w="72" w:type="dxa"/>
              <w:left w:w="144" w:type="dxa"/>
              <w:bottom w:w="72" w:type="dxa"/>
              <w:right w:w="144" w:type="dxa"/>
            </w:tcMar>
            <w:vAlign w:val="center"/>
            <w:hideMark/>
          </w:tcPr>
          <w:p w14:paraId="533275B9" w14:textId="77777777" w:rsidR="002F6315" w:rsidRPr="00F17C26" w:rsidRDefault="002F6315" w:rsidP="003720F8">
            <w:pPr>
              <w:spacing w:line="276" w:lineRule="auto"/>
              <w:jc w:val="center"/>
              <w:rPr>
                <w:rFonts w:ascii="Calibri" w:hAnsi="Calibri"/>
                <w:b/>
                <w:color w:val="000000" w:themeColor="text1"/>
              </w:rPr>
            </w:pPr>
            <w:r w:rsidRPr="00F17C26">
              <w:rPr>
                <w:rFonts w:ascii="Calibri" w:hAnsi="Calibri"/>
                <w:b/>
                <w:color w:val="000000" w:themeColor="text1"/>
              </w:rPr>
              <w:t>Plutôt traitement long</w:t>
            </w:r>
          </w:p>
        </w:tc>
      </w:tr>
    </w:tbl>
    <w:p w14:paraId="66F2F97A" w14:textId="77777777" w:rsidR="005F7E87" w:rsidRDefault="005F7E87" w:rsidP="003720F8">
      <w:pPr>
        <w:pStyle w:val="lgende"/>
      </w:pPr>
      <w:r w:rsidRPr="00900348">
        <w:rPr>
          <w:vertAlign w:val="superscript"/>
        </w:rPr>
        <w:t>1</w:t>
      </w:r>
      <w:r w:rsidRPr="00900348">
        <w:t xml:space="preserve"> Ces facteurs de risque de récidive sont définis comme majeurs</w:t>
      </w:r>
      <w:r>
        <w:t>,</w:t>
      </w:r>
      <w:r w:rsidRPr="00900348">
        <w:t xml:space="preserve"> car ils ont un impact majeur sur la décision de stopper ou de prolonger le traitement anticoagulant (facteurs décisifs). </w:t>
      </w:r>
    </w:p>
    <w:p w14:paraId="1259ADB7" w14:textId="77777777" w:rsidR="005F7E87" w:rsidRDefault="005F7E87" w:rsidP="003720F8">
      <w:pPr>
        <w:pStyle w:val="lgende"/>
      </w:pPr>
      <w:r w:rsidRPr="00900348">
        <w:rPr>
          <w:vertAlign w:val="superscript"/>
        </w:rPr>
        <w:t xml:space="preserve">2 </w:t>
      </w:r>
      <w:r w:rsidRPr="00900348">
        <w:t>Ces facteurs de risque de récidive sont définis comme mineurs</w:t>
      </w:r>
      <w:r>
        <w:t>,</w:t>
      </w:r>
      <w:r w:rsidRPr="00900348">
        <w:t xml:space="preserve"> car ils ont un impact mineur ou non démontré sur la décision de stopper ou de prolonger le traitement anticoagulant (= facteurs de modulation). </w:t>
      </w:r>
    </w:p>
    <w:p w14:paraId="75C68EC2" w14:textId="77777777" w:rsidR="002F6315" w:rsidRDefault="002F6315" w:rsidP="003720F8">
      <w:pPr>
        <w:pStyle w:val="lgende"/>
      </w:pPr>
    </w:p>
    <w:p w14:paraId="6E94D0CF" w14:textId="5158B18D" w:rsidR="005F7E87" w:rsidRDefault="005F7E87" w:rsidP="003720F8">
      <w:pPr>
        <w:pStyle w:val="titredesous-partie"/>
        <w:spacing w:line="276" w:lineRule="auto"/>
      </w:pPr>
      <w:r w:rsidRPr="005F7E87">
        <w:t>PHYSIOPATHOLOGIE</w:t>
      </w:r>
    </w:p>
    <w:p w14:paraId="01C7DB63" w14:textId="52A04729" w:rsidR="005F7E87" w:rsidRPr="007835EC" w:rsidRDefault="005F7E87" w:rsidP="003720F8">
      <w:pPr>
        <w:spacing w:line="276" w:lineRule="auto"/>
        <w:rPr>
          <w:rFonts w:cs="Arial"/>
          <w:b/>
          <w:iCs/>
          <w:color w:val="0070C0"/>
        </w:rPr>
      </w:pPr>
      <w:r w:rsidRPr="00313EF7">
        <w:rPr>
          <w:rFonts w:ascii="Arial" w:hAnsi="Arial"/>
          <w:iCs/>
          <w:noProof/>
          <w:color w:val="000000" w:themeColor="text1"/>
          <w:sz w:val="28"/>
          <w:szCs w:val="28"/>
        </w:rPr>
        <w:drawing>
          <wp:anchor distT="0" distB="0" distL="114300" distR="114300" simplePos="0" relativeHeight="251782144" behindDoc="0" locked="0" layoutInCell="1" allowOverlap="1" wp14:anchorId="465632DA" wp14:editId="7383FABF">
            <wp:simplePos x="0" y="0"/>
            <wp:positionH relativeFrom="leftMargin">
              <wp:posOffset>468630</wp:posOffset>
            </wp:positionH>
            <wp:positionV relativeFrom="paragraph">
              <wp:posOffset>40005</wp:posOffset>
            </wp:positionV>
            <wp:extent cx="153670" cy="137160"/>
            <wp:effectExtent l="0" t="0" r="0" b="0"/>
            <wp:wrapThrough wrapText="bothSides">
              <wp:wrapPolygon edited="0">
                <wp:start x="0" y="0"/>
                <wp:lineTo x="0" y="18000"/>
                <wp:lineTo x="18744" y="18000"/>
                <wp:lineTo x="18744" y="0"/>
                <wp:lineTo x="0" y="0"/>
              </wp:wrapPolygon>
            </wp:wrapThrough>
            <wp:docPr id="6337291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7835EC">
        <w:rPr>
          <w:rFonts w:cs="Arial"/>
          <w:iCs/>
          <w:color w:val="0070C0"/>
        </w:rPr>
        <w:t xml:space="preserve">La stase veineuse et les lésions endothéliales prédisposent à la thrombose. La plupart des </w:t>
      </w:r>
      <w:proofErr w:type="spellStart"/>
      <w:r w:rsidRPr="007835EC">
        <w:rPr>
          <w:rFonts w:cs="Arial"/>
          <w:iCs/>
          <w:color w:val="0070C0"/>
        </w:rPr>
        <w:t>thombi</w:t>
      </w:r>
      <w:proofErr w:type="spellEnd"/>
      <w:r w:rsidRPr="007835EC">
        <w:rPr>
          <w:rFonts w:cs="Arial"/>
          <w:iCs/>
          <w:color w:val="0070C0"/>
        </w:rPr>
        <w:t xml:space="preserve"> (</w:t>
      </w:r>
      <w:proofErr w:type="spellStart"/>
      <w:r w:rsidRPr="007835EC">
        <w:rPr>
          <w:rFonts w:cs="Arial"/>
          <w:iCs/>
          <w:color w:val="0070C0"/>
        </w:rPr>
        <w:t>fibrino</w:t>
      </w:r>
      <w:proofErr w:type="spellEnd"/>
      <w:r w:rsidRPr="007835EC">
        <w:rPr>
          <w:rFonts w:cs="Arial"/>
          <w:iCs/>
          <w:color w:val="0070C0"/>
        </w:rPr>
        <w:t>-cruoriques) proviennent des veines profondes des membres inférieurs et du pelvis.</w:t>
      </w:r>
    </w:p>
    <w:p w14:paraId="5FF52821" w14:textId="77777777" w:rsidR="005F7E87" w:rsidRDefault="005F7E87" w:rsidP="003720F8">
      <w:pPr>
        <w:pStyle w:val="lgende"/>
      </w:pPr>
    </w:p>
    <w:p w14:paraId="06078394" w14:textId="77777777" w:rsidR="005F7E87" w:rsidRPr="007835EC" w:rsidRDefault="005F7E87">
      <w:pPr>
        <w:pStyle w:val="1titre"/>
        <w:numPr>
          <w:ilvl w:val="0"/>
          <w:numId w:val="8"/>
        </w:numPr>
        <w:spacing w:line="276" w:lineRule="auto"/>
      </w:pPr>
      <w:r w:rsidRPr="007835EC">
        <w:t>Conséquences hémodynamiques de l’EP</w:t>
      </w:r>
    </w:p>
    <w:p w14:paraId="694F7C23" w14:textId="77777777" w:rsidR="005F7E87" w:rsidRPr="007835EC" w:rsidRDefault="005F7E87" w:rsidP="003720F8">
      <w:pPr>
        <w:spacing w:line="276" w:lineRule="auto"/>
        <w:rPr>
          <w:rFonts w:cs="Arial"/>
          <w:iCs/>
          <w:color w:val="0070C0"/>
        </w:rPr>
      </w:pPr>
      <w:r w:rsidRPr="007835EC">
        <w:rPr>
          <w:rFonts w:cs="Arial"/>
          <w:iCs/>
          <w:color w:val="0070C0"/>
        </w:rPr>
        <w:t xml:space="preserve">L’obstruction brutale de la circulation pulmonaire par des </w:t>
      </w:r>
      <w:proofErr w:type="spellStart"/>
      <w:r w:rsidRPr="007835EC">
        <w:rPr>
          <w:rFonts w:cs="Arial"/>
          <w:iCs/>
          <w:color w:val="0070C0"/>
        </w:rPr>
        <w:t>thrombi</w:t>
      </w:r>
      <w:proofErr w:type="spellEnd"/>
      <w:r w:rsidRPr="007835EC">
        <w:rPr>
          <w:rFonts w:cs="Arial"/>
          <w:iCs/>
          <w:color w:val="0070C0"/>
        </w:rPr>
        <w:t xml:space="preserve"> provoque</w:t>
      </w:r>
      <w:r>
        <w:rPr>
          <w:rFonts w:cs="Arial"/>
          <w:iCs/>
          <w:color w:val="0070C0"/>
        </w:rPr>
        <w:t> </w:t>
      </w:r>
      <w:r w:rsidRPr="007835EC">
        <w:rPr>
          <w:rFonts w:cs="Arial"/>
          <w:iCs/>
          <w:color w:val="0070C0"/>
        </w:rPr>
        <w:t>:</w:t>
      </w:r>
    </w:p>
    <w:p w14:paraId="295A2D79" w14:textId="77777777" w:rsidR="005F7E87" w:rsidRDefault="005F7E87" w:rsidP="003720F8">
      <w:pPr>
        <w:widowControl w:val="0"/>
        <w:spacing w:line="276" w:lineRule="auto"/>
        <w:rPr>
          <w:rFonts w:cs="Arial"/>
          <w:iCs/>
          <w:color w:val="0070C0"/>
        </w:rPr>
      </w:pPr>
      <w:r>
        <w:rPr>
          <w:rFonts w:cs="Arial"/>
          <w:iCs/>
          <w:color w:val="0070C0"/>
        </w:rPr>
        <w:t xml:space="preserve">- </w:t>
      </w:r>
      <w:r w:rsidRPr="007835EC">
        <w:rPr>
          <w:rFonts w:cs="Arial"/>
          <w:iCs/>
          <w:color w:val="0070C0"/>
        </w:rPr>
        <w:t xml:space="preserve">Augmentation de la pression artérielle pulmonaire (PAP), de la </w:t>
      </w:r>
      <w:proofErr w:type="spellStart"/>
      <w:r w:rsidRPr="007835EC">
        <w:rPr>
          <w:rFonts w:cs="Arial"/>
          <w:iCs/>
          <w:color w:val="0070C0"/>
        </w:rPr>
        <w:t>post-charge</w:t>
      </w:r>
      <w:proofErr w:type="spellEnd"/>
      <w:r w:rsidRPr="007835EC">
        <w:rPr>
          <w:rFonts w:cs="Arial"/>
          <w:iCs/>
          <w:color w:val="0070C0"/>
        </w:rPr>
        <w:t xml:space="preserve"> du VD qui entraîne une dilatation du VD, une majoration du travail du VD et de sa consommation en oxygène</w:t>
      </w:r>
      <w:r>
        <w:rPr>
          <w:rFonts w:cs="Arial"/>
          <w:iCs/>
          <w:color w:val="0070C0"/>
        </w:rPr>
        <w:t>.</w:t>
      </w:r>
    </w:p>
    <w:p w14:paraId="038F3DDF" w14:textId="77777777" w:rsidR="005F7E87" w:rsidRDefault="005F7E87" w:rsidP="003720F8">
      <w:pPr>
        <w:widowControl w:val="0"/>
        <w:spacing w:line="276" w:lineRule="auto"/>
        <w:rPr>
          <w:rFonts w:cs="Arial"/>
          <w:iCs/>
          <w:color w:val="0070C0"/>
        </w:rPr>
      </w:pPr>
      <w:r>
        <w:rPr>
          <w:rFonts w:cs="Arial"/>
          <w:iCs/>
          <w:color w:val="0070C0"/>
        </w:rPr>
        <w:t xml:space="preserve">- </w:t>
      </w:r>
      <w:r w:rsidRPr="007835EC">
        <w:rPr>
          <w:rFonts w:cs="Arial"/>
          <w:iCs/>
          <w:color w:val="0070C0"/>
        </w:rPr>
        <w:t>Ischémie du VD par écrasement des vaisseaux coronaires sous-épicardiques, altérant la contractilité du VD</w:t>
      </w:r>
      <w:r>
        <w:rPr>
          <w:rFonts w:cs="Arial"/>
          <w:iCs/>
          <w:color w:val="0070C0"/>
        </w:rPr>
        <w:t>.</w:t>
      </w:r>
    </w:p>
    <w:p w14:paraId="29454F5B" w14:textId="77777777" w:rsidR="005F7E87" w:rsidRPr="007835EC" w:rsidRDefault="005F7E87" w:rsidP="003720F8">
      <w:pPr>
        <w:widowControl w:val="0"/>
        <w:spacing w:line="276" w:lineRule="auto"/>
        <w:rPr>
          <w:rFonts w:cs="Arial"/>
          <w:iCs/>
          <w:color w:val="0070C0"/>
        </w:rPr>
      </w:pPr>
      <w:r>
        <w:rPr>
          <w:rFonts w:cs="Arial"/>
          <w:iCs/>
          <w:color w:val="0070C0"/>
        </w:rPr>
        <w:t xml:space="preserve">- </w:t>
      </w:r>
      <w:r w:rsidRPr="007835EC">
        <w:rPr>
          <w:rFonts w:cs="Arial"/>
          <w:iCs/>
          <w:color w:val="0070C0"/>
        </w:rPr>
        <w:t>Compression du VG par le VD entra</w:t>
      </w:r>
      <w:r>
        <w:rPr>
          <w:rFonts w:cs="Arial"/>
          <w:iCs/>
          <w:color w:val="0070C0"/>
        </w:rPr>
        <w:t>î</w:t>
      </w:r>
      <w:r w:rsidRPr="007835EC">
        <w:rPr>
          <w:rFonts w:cs="Arial"/>
          <w:iCs/>
          <w:color w:val="0070C0"/>
        </w:rPr>
        <w:t>nant une diminution de la précharge du VG.</w:t>
      </w:r>
    </w:p>
    <w:p w14:paraId="63022A80" w14:textId="77777777" w:rsidR="005F7E87" w:rsidRPr="007835EC" w:rsidRDefault="005F7E87" w:rsidP="003720F8">
      <w:pPr>
        <w:widowControl w:val="0"/>
        <w:spacing w:line="276" w:lineRule="auto"/>
        <w:rPr>
          <w:rFonts w:cs="Arial"/>
          <w:iCs/>
          <w:color w:val="0070C0"/>
        </w:rPr>
      </w:pPr>
      <w:r w:rsidRPr="007835EC">
        <w:rPr>
          <w:rFonts w:cs="Arial"/>
          <w:iCs/>
          <w:color w:val="0070C0"/>
        </w:rPr>
        <w:t>Ces évènements aboutissent à un bas débit cardiaque, une hypotension artérielle et un état de choc.</w:t>
      </w:r>
    </w:p>
    <w:p w14:paraId="65256589" w14:textId="77777777" w:rsidR="005F7E87" w:rsidRPr="007835EC" w:rsidRDefault="005F7E87" w:rsidP="003720F8">
      <w:pPr>
        <w:widowControl w:val="0"/>
        <w:spacing w:line="276" w:lineRule="auto"/>
        <w:rPr>
          <w:rFonts w:cs="Arial"/>
          <w:iCs/>
          <w:color w:val="0070C0"/>
        </w:rPr>
      </w:pPr>
      <w:r w:rsidRPr="007835EC">
        <w:rPr>
          <w:rFonts w:cs="Arial"/>
          <w:iCs/>
          <w:color w:val="0070C0"/>
        </w:rPr>
        <w:t>La tolérance hémodynamique dépend de l’importance de l’obstruction anatomique vasculaire pulmonaire (seuil de 50-60</w:t>
      </w:r>
      <w:r>
        <w:rPr>
          <w:rFonts w:cs="Arial"/>
          <w:iCs/>
          <w:color w:val="0070C0"/>
        </w:rPr>
        <w:t> </w:t>
      </w:r>
      <w:r w:rsidRPr="007835EC">
        <w:rPr>
          <w:rFonts w:cs="Arial"/>
          <w:iCs/>
          <w:color w:val="0070C0"/>
        </w:rPr>
        <w:t>% chez le sujet sain) et de l</w:t>
      </w:r>
      <w:r>
        <w:rPr>
          <w:rFonts w:cs="Arial"/>
          <w:iCs/>
          <w:color w:val="0070C0"/>
        </w:rPr>
        <w:t>’</w:t>
      </w:r>
      <w:r w:rsidRPr="007835EC">
        <w:rPr>
          <w:rFonts w:cs="Arial"/>
          <w:iCs/>
          <w:color w:val="0070C0"/>
        </w:rPr>
        <w:t>état cardiovasculaire préexistant.</w:t>
      </w:r>
    </w:p>
    <w:p w14:paraId="068F4A51" w14:textId="4222A738" w:rsidR="005F7E87" w:rsidRPr="007835EC" w:rsidRDefault="00B62D23" w:rsidP="00B62D23">
      <w:pPr>
        <w:spacing w:after="160"/>
        <w:jc w:val="left"/>
        <w:rPr>
          <w:rFonts w:cs="Arial"/>
          <w:b/>
          <w:iCs/>
          <w:color w:val="0070C0"/>
        </w:rPr>
      </w:pPr>
      <w:r>
        <w:rPr>
          <w:rFonts w:cs="Arial"/>
          <w:b/>
          <w:iCs/>
          <w:color w:val="0070C0"/>
        </w:rPr>
        <w:br w:type="page"/>
      </w:r>
    </w:p>
    <w:p w14:paraId="4FBF4C7E" w14:textId="77777777" w:rsidR="005F7E87" w:rsidRPr="007835EC" w:rsidRDefault="005F7E87" w:rsidP="003720F8">
      <w:pPr>
        <w:pStyle w:val="Titre2"/>
        <w:spacing w:line="276" w:lineRule="auto"/>
      </w:pPr>
      <w:r w:rsidRPr="007835EC">
        <w:lastRenderedPageBreak/>
        <w:t>Conséquences respiratoires de l’EP</w:t>
      </w:r>
    </w:p>
    <w:p w14:paraId="78E660E7" w14:textId="77777777" w:rsidR="005F7E87" w:rsidRPr="007835EC" w:rsidRDefault="005F7E87" w:rsidP="003720F8">
      <w:pPr>
        <w:spacing w:line="276" w:lineRule="auto"/>
        <w:rPr>
          <w:rFonts w:cs="Arial"/>
          <w:iCs/>
          <w:color w:val="0070C0"/>
        </w:rPr>
      </w:pPr>
      <w:r w:rsidRPr="007835EC">
        <w:rPr>
          <w:rFonts w:cs="Arial"/>
          <w:iCs/>
          <w:color w:val="0070C0"/>
        </w:rPr>
        <w:t>Effet espace mort initial (territoires ventilés</w:t>
      </w:r>
      <w:r>
        <w:rPr>
          <w:rFonts w:cs="Arial"/>
          <w:iCs/>
          <w:color w:val="0070C0"/>
        </w:rPr>
        <w:t>,</w:t>
      </w:r>
      <w:r w:rsidRPr="007835EC">
        <w:rPr>
          <w:rFonts w:cs="Arial"/>
          <w:iCs/>
          <w:color w:val="0070C0"/>
        </w:rPr>
        <w:t xml:space="preserve"> mais non perfusés), puis diminution de la ventilation dans les territoires embolisés et redistribution du débit de perfusion vers des territoires normalement ventilés aboutissant à un effet shunt (zones dont le rapport ventilation/perfusion est abaissé). L</w:t>
      </w:r>
      <w:r>
        <w:rPr>
          <w:rFonts w:cs="Arial"/>
          <w:iCs/>
          <w:color w:val="0070C0"/>
        </w:rPr>
        <w:t>’</w:t>
      </w:r>
      <w:r w:rsidRPr="007835EC">
        <w:rPr>
          <w:rFonts w:cs="Arial"/>
          <w:iCs/>
          <w:color w:val="0070C0"/>
        </w:rPr>
        <w:t xml:space="preserve">hypoxémie est principalement expliquée par cet effet shunt. </w:t>
      </w:r>
    </w:p>
    <w:p w14:paraId="392063AC" w14:textId="77777777" w:rsidR="005F7E87" w:rsidRPr="007835EC" w:rsidRDefault="005F7E87" w:rsidP="003720F8">
      <w:pPr>
        <w:spacing w:line="276" w:lineRule="auto"/>
        <w:rPr>
          <w:rFonts w:cs="Arial"/>
          <w:iCs/>
          <w:color w:val="0070C0"/>
        </w:rPr>
      </w:pPr>
      <w:r w:rsidRPr="007835EC">
        <w:rPr>
          <w:rFonts w:cs="Arial"/>
          <w:iCs/>
          <w:color w:val="0070C0"/>
        </w:rPr>
        <w:t>Autres causes d’hypoxémie :</w:t>
      </w:r>
    </w:p>
    <w:p w14:paraId="2A9C8ABD" w14:textId="77777777" w:rsidR="005F7E87" w:rsidRDefault="005F7E87" w:rsidP="003720F8">
      <w:pPr>
        <w:spacing w:line="276" w:lineRule="auto"/>
        <w:jc w:val="left"/>
        <w:rPr>
          <w:rFonts w:cs="Helvetica"/>
          <w:iCs/>
          <w:color w:val="0070C0"/>
        </w:rPr>
      </w:pPr>
      <w:r>
        <w:rPr>
          <w:rFonts w:cs="Helvetica"/>
          <w:iCs/>
          <w:color w:val="0070C0"/>
        </w:rPr>
        <w:t xml:space="preserve">- </w:t>
      </w:r>
      <w:r w:rsidRPr="007835EC">
        <w:rPr>
          <w:rFonts w:cs="Helvetica"/>
          <w:iCs/>
          <w:color w:val="0070C0"/>
        </w:rPr>
        <w:t>Shunt droit gauche par réouverture du foramen ovale</w:t>
      </w:r>
      <w:r>
        <w:rPr>
          <w:rFonts w:cs="Helvetica"/>
          <w:iCs/>
          <w:color w:val="0070C0"/>
        </w:rPr>
        <w:t>.</w:t>
      </w:r>
    </w:p>
    <w:p w14:paraId="5283328D" w14:textId="77777777" w:rsidR="005F7E87" w:rsidRDefault="005F7E87" w:rsidP="003720F8">
      <w:pPr>
        <w:spacing w:line="276" w:lineRule="auto"/>
        <w:jc w:val="left"/>
        <w:rPr>
          <w:rFonts w:cs="Helvetica"/>
          <w:iCs/>
          <w:color w:val="0070C0"/>
        </w:rPr>
      </w:pPr>
      <w:r>
        <w:rPr>
          <w:rFonts w:cs="Helvetica"/>
          <w:iCs/>
          <w:color w:val="0070C0"/>
        </w:rPr>
        <w:t xml:space="preserve">- </w:t>
      </w:r>
      <w:r w:rsidRPr="007835EC">
        <w:rPr>
          <w:rFonts w:cs="Helvetica"/>
          <w:iCs/>
          <w:color w:val="0070C0"/>
        </w:rPr>
        <w:t>Altération de la diffusion alvéolo-capillaire en raison d’une diminution régionale du temps de transit capillaire</w:t>
      </w:r>
      <w:r>
        <w:rPr>
          <w:rFonts w:cs="Helvetica"/>
          <w:iCs/>
          <w:color w:val="0070C0"/>
        </w:rPr>
        <w:t>.</w:t>
      </w:r>
    </w:p>
    <w:p w14:paraId="0E37266A" w14:textId="77777777" w:rsidR="005F7E87" w:rsidRDefault="005F7E87" w:rsidP="003720F8">
      <w:pPr>
        <w:spacing w:line="276" w:lineRule="auto"/>
        <w:jc w:val="left"/>
        <w:rPr>
          <w:rFonts w:cs="Helvetica"/>
          <w:iCs/>
          <w:color w:val="0070C0"/>
        </w:rPr>
      </w:pPr>
      <w:r>
        <w:rPr>
          <w:rFonts w:cs="Helvetica"/>
          <w:iCs/>
          <w:color w:val="0070C0"/>
        </w:rPr>
        <w:t xml:space="preserve">- </w:t>
      </w:r>
      <w:r w:rsidRPr="007835EC">
        <w:rPr>
          <w:rFonts w:cs="Helvetica"/>
          <w:iCs/>
          <w:color w:val="0070C0"/>
        </w:rPr>
        <w:t>Diminution de la saturation veineuse en O</w:t>
      </w:r>
      <w:r w:rsidRPr="007835EC">
        <w:rPr>
          <w:rFonts w:cs="Helvetica"/>
          <w:iCs/>
          <w:color w:val="0070C0"/>
          <w:vertAlign w:val="subscript"/>
        </w:rPr>
        <w:t>2</w:t>
      </w:r>
      <w:r w:rsidRPr="007835EC">
        <w:rPr>
          <w:rFonts w:cs="Helvetica"/>
          <w:iCs/>
          <w:color w:val="0070C0"/>
        </w:rPr>
        <w:t xml:space="preserve"> secondaire à la chute du débit cardiaque dans les EP graves.</w:t>
      </w:r>
    </w:p>
    <w:p w14:paraId="74C96627" w14:textId="77777777" w:rsidR="005F7E87" w:rsidRPr="007835EC" w:rsidRDefault="005F7E87" w:rsidP="003720F8">
      <w:pPr>
        <w:spacing w:line="276" w:lineRule="auto"/>
        <w:jc w:val="left"/>
        <w:rPr>
          <w:rFonts w:cs="Helvetica"/>
          <w:iCs/>
          <w:color w:val="0070C0"/>
        </w:rPr>
      </w:pPr>
    </w:p>
    <w:p w14:paraId="6D60E877" w14:textId="77777777" w:rsidR="005F7E87" w:rsidRPr="007835EC" w:rsidRDefault="005F7E87" w:rsidP="003720F8">
      <w:pPr>
        <w:pStyle w:val="Titre2"/>
        <w:spacing w:line="276" w:lineRule="auto"/>
      </w:pPr>
      <w:r w:rsidRPr="007835EC">
        <w:t>Thrombophilies héréditaires</w:t>
      </w:r>
    </w:p>
    <w:p w14:paraId="39C318A3" w14:textId="4DC3BAA3" w:rsidR="005F7E87" w:rsidRDefault="005F7E87" w:rsidP="003720F8">
      <w:pPr>
        <w:spacing w:line="276" w:lineRule="auto"/>
        <w:rPr>
          <w:rFonts w:cs="Arial"/>
          <w:iCs/>
          <w:color w:val="0070C0"/>
        </w:rPr>
      </w:pPr>
      <w:r w:rsidRPr="007835EC">
        <w:rPr>
          <w:rFonts w:cs="Arial"/>
          <w:iCs/>
          <w:color w:val="0070C0"/>
        </w:rPr>
        <w:t>Chez 25</w:t>
      </w:r>
      <w:r>
        <w:rPr>
          <w:rFonts w:cs="Arial"/>
          <w:iCs/>
          <w:color w:val="0070C0"/>
        </w:rPr>
        <w:t> </w:t>
      </w:r>
      <w:r w:rsidRPr="007835EC">
        <w:rPr>
          <w:rFonts w:cs="Arial"/>
          <w:iCs/>
          <w:color w:val="0070C0"/>
        </w:rPr>
        <w:t xml:space="preserve">% des patients, une thrombophilie héréditaire est détectée. Certaines mutations </w:t>
      </w:r>
      <w:r>
        <w:rPr>
          <w:rFonts w:cs="Arial"/>
          <w:iCs/>
          <w:color w:val="0070C0"/>
        </w:rPr>
        <w:t>entraînent</w:t>
      </w:r>
      <w:r w:rsidRPr="007835EC">
        <w:rPr>
          <w:rFonts w:cs="Arial"/>
          <w:iCs/>
          <w:color w:val="0070C0"/>
        </w:rPr>
        <w:t xml:space="preserve"> un défaut d’anticoagulation (déficit en protéine C, S ou antithrombine), d’autres un excès en protéines coagulantes (mutation Leiden du facteur V et mutation G20210A du gène de la prothrombine). Ces mutations n’ont qu’un impact clinique faible (excepté le déficit en antithrombine). En outre, un antécédent familial de </w:t>
      </w:r>
      <w:r w:rsidR="0026545F">
        <w:rPr>
          <w:rFonts w:cs="Arial"/>
          <w:iCs/>
          <w:color w:val="0070C0"/>
        </w:rPr>
        <w:t>MTEV</w:t>
      </w:r>
      <w:r w:rsidRPr="007835EC">
        <w:rPr>
          <w:rFonts w:cs="Arial"/>
          <w:iCs/>
          <w:color w:val="0070C0"/>
        </w:rPr>
        <w:t xml:space="preserve"> sans thrombophilie héréditaire détectée est considéré comme un marqueur de thrombophilie héréditaire. Les indications de recherche d’une thrombophilie constitutionnelle sont abordées au chapitre </w:t>
      </w:r>
      <w:r w:rsidR="0026545F">
        <w:rPr>
          <w:rFonts w:cs="Arial"/>
          <w:iCs/>
          <w:color w:val="0070C0"/>
        </w:rPr>
        <w:t>« connaissances »</w:t>
      </w:r>
      <w:r w:rsidRPr="007835EC">
        <w:rPr>
          <w:rFonts w:cs="Arial"/>
          <w:iCs/>
          <w:color w:val="0070C0"/>
        </w:rPr>
        <w:t>.</w:t>
      </w:r>
    </w:p>
    <w:p w14:paraId="4CA37B55" w14:textId="77777777" w:rsidR="005F7E87" w:rsidRDefault="005F7E87" w:rsidP="003720F8">
      <w:pPr>
        <w:pStyle w:val="lgende"/>
      </w:pPr>
    </w:p>
    <w:p w14:paraId="4315D2C1" w14:textId="5D06F111" w:rsidR="005F7E87" w:rsidRDefault="005F7E87" w:rsidP="003720F8">
      <w:pPr>
        <w:pStyle w:val="titredepartie"/>
        <w:spacing w:line="276" w:lineRule="auto"/>
      </w:pPr>
      <w:r w:rsidRPr="005F7E87">
        <w:t>STRATEGIE DIAGNOSTIQUE DEVANT UNE EMBOLIE PUMONAIRE</w:t>
      </w:r>
    </w:p>
    <w:p w14:paraId="1C5D03E8" w14:textId="77777777" w:rsidR="005F7E87" w:rsidRPr="005F7E87" w:rsidRDefault="005F7E87" w:rsidP="003720F8">
      <w:pPr>
        <w:spacing w:line="276" w:lineRule="auto"/>
        <w:rPr>
          <w:rFonts w:cs="Arial"/>
        </w:rPr>
      </w:pPr>
      <w:r w:rsidRPr="005F7E87">
        <w:rPr>
          <w:rFonts w:cs="Arial"/>
        </w:rPr>
        <w:t xml:space="preserve">Les </w:t>
      </w:r>
      <w:r w:rsidRPr="005F7E87">
        <w:rPr>
          <w:rFonts w:cs="Arial"/>
          <w:b/>
        </w:rPr>
        <w:t>3 grandes étapes</w:t>
      </w:r>
      <w:r w:rsidRPr="005F7E87">
        <w:rPr>
          <w:rFonts w:cs="Arial"/>
        </w:rPr>
        <w:t xml:space="preserve"> du diagnostic d’EP reposent sur les éléments suivants, incontournables :</w:t>
      </w:r>
    </w:p>
    <w:tbl>
      <w:tblPr>
        <w:tblStyle w:val="Grilledutableau"/>
        <w:tblW w:w="0" w:type="auto"/>
        <w:tblInd w:w="2263" w:type="dxa"/>
        <w:tblLook w:val="04A0" w:firstRow="1" w:lastRow="0" w:firstColumn="1" w:lastColumn="0" w:noHBand="0" w:noVBand="1"/>
      </w:tblPr>
      <w:tblGrid>
        <w:gridCol w:w="4678"/>
      </w:tblGrid>
      <w:tr w:rsidR="005F7E87" w:rsidRPr="005F7E87" w14:paraId="75DF68DF" w14:textId="77777777" w:rsidTr="005F7E87">
        <w:tc>
          <w:tcPr>
            <w:tcW w:w="4678" w:type="dxa"/>
          </w:tcPr>
          <w:p w14:paraId="376B9BDF" w14:textId="77777777" w:rsidR="005F7E87" w:rsidRPr="005F7E87" w:rsidRDefault="005F7E87" w:rsidP="003720F8">
            <w:pPr>
              <w:spacing w:line="276" w:lineRule="auto"/>
              <w:ind w:firstLine="319"/>
              <w:rPr>
                <w:rFonts w:cs="Arial"/>
                <w:b/>
                <w:bCs/>
              </w:rPr>
            </w:pPr>
            <w:r w:rsidRPr="005F7E87">
              <w:rPr>
                <w:rFonts w:cs="Arial"/>
                <w:b/>
                <w:bCs/>
              </w:rPr>
              <w:t>1. SUSPECTER LE DIAGNOSTIC D’EP</w:t>
            </w:r>
          </w:p>
          <w:p w14:paraId="36478384" w14:textId="77777777" w:rsidR="005F7E87" w:rsidRPr="005F7E87" w:rsidRDefault="005F7E87" w:rsidP="003720F8">
            <w:pPr>
              <w:spacing w:line="276" w:lineRule="auto"/>
              <w:ind w:firstLine="319"/>
              <w:rPr>
                <w:rFonts w:cs="Arial"/>
                <w:b/>
                <w:bCs/>
              </w:rPr>
            </w:pPr>
            <w:r w:rsidRPr="005F7E87">
              <w:rPr>
                <w:rFonts w:cs="Arial"/>
                <w:b/>
                <w:bCs/>
              </w:rPr>
              <w:t>2. ÉTABLIR UNE PROBABILITE CLINIQUE D’EP</w:t>
            </w:r>
          </w:p>
          <w:p w14:paraId="708D400F" w14:textId="77777777" w:rsidR="005F7E87" w:rsidRPr="005F7E87" w:rsidRDefault="005F7E87" w:rsidP="003720F8">
            <w:pPr>
              <w:spacing w:line="276" w:lineRule="auto"/>
              <w:ind w:firstLine="319"/>
              <w:rPr>
                <w:rFonts w:cs="Arial"/>
              </w:rPr>
            </w:pPr>
            <w:r w:rsidRPr="005F7E87">
              <w:rPr>
                <w:rFonts w:cs="Arial"/>
                <w:b/>
                <w:bCs/>
              </w:rPr>
              <w:t>3. PRESCRIRE UN EXAMEN PARACLINIQUE</w:t>
            </w:r>
          </w:p>
        </w:tc>
      </w:tr>
    </w:tbl>
    <w:p w14:paraId="16C722BC" w14:textId="77777777" w:rsidR="005F7E87" w:rsidRPr="005F7E87" w:rsidRDefault="005F7E87" w:rsidP="003720F8">
      <w:pPr>
        <w:spacing w:line="276" w:lineRule="auto"/>
        <w:rPr>
          <w:rFonts w:cs="Arial"/>
        </w:rPr>
      </w:pPr>
    </w:p>
    <w:p w14:paraId="708C332D" w14:textId="77777777" w:rsidR="005F7E87" w:rsidRPr="005F7E87" w:rsidRDefault="005F7E87" w:rsidP="003720F8">
      <w:pPr>
        <w:spacing w:line="276" w:lineRule="auto"/>
        <w:rPr>
          <w:rFonts w:cs="Arial"/>
        </w:rPr>
      </w:pPr>
      <w:r w:rsidRPr="005F7E87">
        <w:rPr>
          <w:rFonts w:cs="Arial"/>
        </w:rPr>
        <w:t>Le diagnostic d’EP doit être établi :</w:t>
      </w:r>
    </w:p>
    <w:p w14:paraId="4D943DFB" w14:textId="77777777" w:rsidR="005F7E87" w:rsidRPr="005F7E87" w:rsidRDefault="005F7E87" w:rsidP="003720F8">
      <w:pPr>
        <w:spacing w:line="276" w:lineRule="auto"/>
        <w:rPr>
          <w:rFonts w:cs="Arial"/>
        </w:rPr>
      </w:pPr>
      <w:r w:rsidRPr="005F7E87">
        <w:rPr>
          <w:rFonts w:cs="Arial"/>
          <w:bCs/>
        </w:rPr>
        <w:t>-</w:t>
      </w:r>
      <w:r w:rsidRPr="005F7E87">
        <w:rPr>
          <w:rFonts w:cs="Arial"/>
          <w:b/>
        </w:rPr>
        <w:t xml:space="preserve"> Dans les 24 heures. </w:t>
      </w:r>
    </w:p>
    <w:p w14:paraId="4B1AB11B" w14:textId="77777777" w:rsidR="005F7E87" w:rsidRPr="005F7E87" w:rsidRDefault="005F7E87" w:rsidP="003720F8">
      <w:pPr>
        <w:spacing w:line="276" w:lineRule="auto"/>
        <w:rPr>
          <w:rFonts w:cs="Arial"/>
        </w:rPr>
      </w:pPr>
      <w:r w:rsidRPr="005F7E87">
        <w:rPr>
          <w:rFonts w:cs="Arial"/>
        </w:rPr>
        <w:t>- Avec</w:t>
      </w:r>
      <w:r w:rsidRPr="005F7E87">
        <w:rPr>
          <w:rFonts w:cs="Arial"/>
          <w:b/>
        </w:rPr>
        <w:t xml:space="preserve"> certitude</w:t>
      </w:r>
      <w:r w:rsidRPr="005F7E87">
        <w:rPr>
          <w:rFonts w:cs="Arial"/>
        </w:rPr>
        <w:t>.</w:t>
      </w:r>
    </w:p>
    <w:p w14:paraId="5A093A5D" w14:textId="77777777" w:rsidR="005F7E87" w:rsidRPr="005F7E87" w:rsidRDefault="005F7E87" w:rsidP="003720F8">
      <w:pPr>
        <w:spacing w:line="276" w:lineRule="auto"/>
        <w:rPr>
          <w:rFonts w:cs="Arial"/>
        </w:rPr>
      </w:pPr>
      <w:r w:rsidRPr="005F7E87">
        <w:rPr>
          <w:rFonts w:cs="Arial"/>
        </w:rPr>
        <w:t xml:space="preserve">- Sur les </w:t>
      </w:r>
      <w:r w:rsidRPr="005F7E87">
        <w:rPr>
          <w:rFonts w:cs="Arial"/>
          <w:b/>
        </w:rPr>
        <w:t>résultats combinés</w:t>
      </w:r>
      <w:r w:rsidRPr="005F7E87">
        <w:rPr>
          <w:rFonts w:cs="Arial"/>
        </w:rPr>
        <w:t xml:space="preserve"> de la probabilité clinique et des examens paracliniques (aucun examen isolé ne permet de confirmer ou d’exclure le diagnostic). </w:t>
      </w:r>
    </w:p>
    <w:p w14:paraId="27B8C6C4" w14:textId="77777777" w:rsidR="005F7E87" w:rsidRDefault="005F7E87" w:rsidP="003720F8">
      <w:pPr>
        <w:spacing w:line="276" w:lineRule="auto"/>
      </w:pPr>
    </w:p>
    <w:p w14:paraId="16F9022F" w14:textId="6404C1F0" w:rsidR="005F7E87" w:rsidRDefault="005F7E87" w:rsidP="003720F8">
      <w:pPr>
        <w:pStyle w:val="titredesous-partie"/>
        <w:spacing w:line="276" w:lineRule="auto"/>
      </w:pPr>
      <w:r w:rsidRPr="005F7E87">
        <w:t>ÉTAPE 1 : SUSPECTER LE DIAGNOSTIC D’EP</w:t>
      </w:r>
    </w:p>
    <w:p w14:paraId="21427FA0" w14:textId="77777777" w:rsidR="005F7E87" w:rsidRPr="00B62D23" w:rsidRDefault="005F7E87" w:rsidP="003720F8">
      <w:pPr>
        <w:pStyle w:val="Titre2"/>
        <w:numPr>
          <w:ilvl w:val="0"/>
          <w:numId w:val="0"/>
        </w:numPr>
        <w:spacing w:line="276" w:lineRule="auto"/>
      </w:pPr>
      <w:r w:rsidRPr="00B62D23">
        <w:t>MOTIF DE CONSULTATION/PRISE EN CHARGE</w:t>
      </w:r>
      <w:r w:rsidRPr="00B62D23">
        <w:rPr>
          <w:i/>
          <w:iCs/>
        </w:rPr>
        <w:t xml:space="preserve"> </w:t>
      </w:r>
    </w:p>
    <w:p w14:paraId="0F26F445" w14:textId="77777777" w:rsidR="005F7E87" w:rsidRPr="00B62D23" w:rsidRDefault="005F7E87" w:rsidP="003720F8">
      <w:pPr>
        <w:spacing w:line="276" w:lineRule="auto"/>
        <w:rPr>
          <w:rFonts w:cs="Arial"/>
        </w:rPr>
      </w:pPr>
      <w:r w:rsidRPr="00B62D23">
        <w:rPr>
          <w:rFonts w:cs="Arial"/>
        </w:rPr>
        <w:t>Aucun score disponible</w:t>
      </w:r>
      <w:r w:rsidRPr="00B62D23">
        <w:rPr>
          <w:rFonts w:ascii="Arial" w:hAnsi="Arial" w:cs="Arial"/>
        </w:rPr>
        <w:t> </w:t>
      </w:r>
      <w:r w:rsidRPr="00B62D23">
        <w:rPr>
          <w:rFonts w:cs="Arial"/>
        </w:rPr>
        <w:t>; repose sur un faisceau d’arguments :</w:t>
      </w:r>
    </w:p>
    <w:p w14:paraId="6475B80E" w14:textId="77777777" w:rsidR="005F7E87" w:rsidRPr="00B62D23" w:rsidRDefault="005F7E87" w:rsidP="003720F8">
      <w:pPr>
        <w:spacing w:line="276" w:lineRule="auto"/>
        <w:rPr>
          <w:rFonts w:cs="Arial"/>
        </w:rPr>
      </w:pPr>
      <w:r w:rsidRPr="00B62D23">
        <w:rPr>
          <w:rFonts w:cs="Arial"/>
          <w:u w:val="single"/>
        </w:rPr>
        <w:t>Cliniques</w:t>
      </w:r>
      <w:r w:rsidRPr="00B62D23">
        <w:rPr>
          <w:rFonts w:cs="Arial"/>
        </w:rPr>
        <w:t> :</w:t>
      </w:r>
    </w:p>
    <w:p w14:paraId="1322EBBF" w14:textId="77777777" w:rsidR="005F7E87" w:rsidRPr="00B62D23" w:rsidRDefault="005F7E87" w:rsidP="003720F8">
      <w:pPr>
        <w:spacing w:line="276" w:lineRule="auto"/>
        <w:rPr>
          <w:rFonts w:cs="Arial"/>
          <w:bCs/>
        </w:rPr>
      </w:pPr>
      <w:r w:rsidRPr="00B62D23">
        <w:rPr>
          <w:rFonts w:cs="Arial"/>
          <w:bCs/>
        </w:rPr>
        <w:t>-</w:t>
      </w:r>
      <w:r w:rsidRPr="00B62D23">
        <w:rPr>
          <w:rFonts w:cs="Arial"/>
          <w:b/>
        </w:rPr>
        <w:t xml:space="preserve"> Douleur thoracique</w:t>
      </w:r>
      <w:r w:rsidRPr="00B62D23">
        <w:rPr>
          <w:rFonts w:cs="Arial"/>
          <w:bCs/>
        </w:rPr>
        <w:t> : douleur thoracique de type pleurale</w:t>
      </w:r>
      <w:r w:rsidRPr="00B62D23">
        <w:rPr>
          <w:rFonts w:ascii="Arial" w:hAnsi="Arial" w:cs="Arial"/>
          <w:bCs/>
        </w:rPr>
        <w:t> </w:t>
      </w:r>
      <w:r w:rsidRPr="00B62D23">
        <w:rPr>
          <w:rFonts w:cs="Arial"/>
          <w:bCs/>
        </w:rPr>
        <w:t xml:space="preserve">; parfois augmentée par la percussion ou la pression des côtes, éventuellement associée à des </w:t>
      </w:r>
      <w:r w:rsidRPr="00B62D23">
        <w:rPr>
          <w:rFonts w:cs="Arial"/>
          <w:b/>
        </w:rPr>
        <w:t>expectorations hémoptoïques</w:t>
      </w:r>
      <w:r w:rsidRPr="00B62D23">
        <w:rPr>
          <w:rFonts w:cs="Arial"/>
          <w:bCs/>
        </w:rPr>
        <w:t>.</w:t>
      </w:r>
    </w:p>
    <w:p w14:paraId="3DBABF20" w14:textId="77777777" w:rsidR="005F7E87" w:rsidRPr="00B62D23" w:rsidRDefault="005F7E87" w:rsidP="003720F8">
      <w:pPr>
        <w:spacing w:line="276" w:lineRule="auto"/>
        <w:rPr>
          <w:rFonts w:cs="Arial"/>
          <w:bCs/>
        </w:rPr>
      </w:pPr>
      <w:r w:rsidRPr="00B62D23">
        <w:rPr>
          <w:rFonts w:cs="Arial"/>
          <w:bCs/>
        </w:rPr>
        <w:t xml:space="preserve">- </w:t>
      </w:r>
      <w:r w:rsidRPr="00B62D23">
        <w:rPr>
          <w:rFonts w:cs="Arial"/>
          <w:b/>
        </w:rPr>
        <w:t>Dyspnée isolée</w:t>
      </w:r>
      <w:r w:rsidRPr="00B62D23">
        <w:rPr>
          <w:rFonts w:cs="Arial"/>
          <w:bCs/>
        </w:rPr>
        <w:t> : dyspnée souvent brutale, inexpliquée, mais parfois progressive, l’auscultation pulmonaire est souvent normale.</w:t>
      </w:r>
    </w:p>
    <w:p w14:paraId="40430611" w14:textId="77777777" w:rsidR="005F7E87" w:rsidRPr="00B62D23" w:rsidRDefault="005F7E87" w:rsidP="003720F8">
      <w:pPr>
        <w:spacing w:line="276" w:lineRule="auto"/>
        <w:rPr>
          <w:rFonts w:cs="Arial"/>
          <w:bCs/>
        </w:rPr>
      </w:pPr>
      <w:r w:rsidRPr="00B62D23">
        <w:rPr>
          <w:rFonts w:cs="Arial"/>
          <w:bCs/>
        </w:rPr>
        <w:lastRenderedPageBreak/>
        <w:t>-</w:t>
      </w:r>
      <w:r w:rsidRPr="00B62D23">
        <w:rPr>
          <w:rFonts w:cs="Arial"/>
          <w:b/>
        </w:rPr>
        <w:t xml:space="preserve"> État de choc</w:t>
      </w:r>
      <w:r w:rsidRPr="00B62D23">
        <w:rPr>
          <w:rFonts w:cs="Arial"/>
          <w:bCs/>
        </w:rPr>
        <w:t> : avec ou parfois sans signes d’insuffisance cardiaque droite.</w:t>
      </w:r>
    </w:p>
    <w:p w14:paraId="664C930A" w14:textId="77777777" w:rsidR="005F7E87" w:rsidRPr="00B62D23" w:rsidRDefault="005F7E87" w:rsidP="003720F8">
      <w:pPr>
        <w:spacing w:line="276" w:lineRule="auto"/>
        <w:rPr>
          <w:rFonts w:cs="Arial"/>
          <w:bCs/>
        </w:rPr>
      </w:pPr>
    </w:p>
    <w:p w14:paraId="22B1D0CF" w14:textId="77777777" w:rsidR="005F7E87" w:rsidRPr="00B62D23" w:rsidRDefault="005F7E87" w:rsidP="003720F8">
      <w:pPr>
        <w:pStyle w:val="Titre2"/>
        <w:numPr>
          <w:ilvl w:val="0"/>
          <w:numId w:val="0"/>
        </w:numPr>
        <w:spacing w:line="276" w:lineRule="auto"/>
      </w:pPr>
      <w:r w:rsidRPr="00B62D23">
        <w:t>TERRAIN ET ATCD</w:t>
      </w:r>
    </w:p>
    <w:p w14:paraId="1AA45770" w14:textId="77777777" w:rsidR="005F7E87" w:rsidRPr="00B62D23" w:rsidRDefault="005F7E87" w:rsidP="003720F8">
      <w:pPr>
        <w:spacing w:line="276" w:lineRule="auto"/>
        <w:rPr>
          <w:rFonts w:cs="Arial"/>
        </w:rPr>
      </w:pPr>
      <w:r w:rsidRPr="00B62D23">
        <w:rPr>
          <w:rFonts w:cs="Arial"/>
          <w:u w:val="single"/>
        </w:rPr>
        <w:t>Présence de facteurs de risque +++</w:t>
      </w:r>
      <w:r w:rsidRPr="00B62D23">
        <w:rPr>
          <w:rFonts w:cs="Arial"/>
        </w:rPr>
        <w:t> :</w:t>
      </w:r>
      <w:r w:rsidRPr="00B62D23" w:rsidDel="007D46E6">
        <w:rPr>
          <w:rFonts w:cs="Arial"/>
        </w:rPr>
        <w:t xml:space="preserve"> </w:t>
      </w:r>
      <w:r w:rsidRPr="00B62D23">
        <w:rPr>
          <w:rFonts w:cs="Arial"/>
        </w:rPr>
        <w:t>voir supra.</w:t>
      </w:r>
    </w:p>
    <w:p w14:paraId="2DBB2D0B" w14:textId="77777777" w:rsidR="005F7E87" w:rsidRPr="00B62D23" w:rsidRDefault="005F7E87" w:rsidP="003720F8">
      <w:pPr>
        <w:spacing w:line="276" w:lineRule="auto"/>
        <w:rPr>
          <w:rFonts w:cs="Arial"/>
        </w:rPr>
      </w:pPr>
    </w:p>
    <w:p w14:paraId="00BBD22C" w14:textId="77777777" w:rsidR="005F7E87" w:rsidRPr="00B62D23" w:rsidRDefault="005F7E87" w:rsidP="003720F8">
      <w:pPr>
        <w:pStyle w:val="Titre2"/>
        <w:numPr>
          <w:ilvl w:val="0"/>
          <w:numId w:val="0"/>
        </w:numPr>
        <w:spacing w:line="276" w:lineRule="auto"/>
      </w:pPr>
      <w:r w:rsidRPr="00B62D23">
        <w:t>EXAMEN CLINIQUE</w:t>
      </w:r>
    </w:p>
    <w:p w14:paraId="407A86ED" w14:textId="77777777" w:rsidR="005F7E87" w:rsidRPr="00B62D23" w:rsidRDefault="005F7E87" w:rsidP="003720F8">
      <w:pPr>
        <w:spacing w:line="276" w:lineRule="auto"/>
        <w:rPr>
          <w:rFonts w:cs="Arial"/>
          <w:bCs/>
        </w:rPr>
      </w:pPr>
      <w:r w:rsidRPr="00B62D23">
        <w:rPr>
          <w:rFonts w:cs="Arial"/>
          <w:bCs/>
        </w:rPr>
        <w:t xml:space="preserve">Examen clinique : </w:t>
      </w:r>
    </w:p>
    <w:p w14:paraId="3796FAA1" w14:textId="77777777" w:rsidR="005F7E87" w:rsidRPr="00B62D23" w:rsidRDefault="005F7E87" w:rsidP="003720F8">
      <w:pPr>
        <w:spacing w:line="276" w:lineRule="auto"/>
        <w:rPr>
          <w:rFonts w:cs="Arial"/>
          <w:bCs/>
        </w:rPr>
      </w:pPr>
      <w:r w:rsidRPr="00B62D23">
        <w:rPr>
          <w:rFonts w:cs="Arial"/>
          <w:bCs/>
        </w:rPr>
        <w:t>- Tachypnée constante.</w:t>
      </w:r>
    </w:p>
    <w:p w14:paraId="3619D133" w14:textId="77777777" w:rsidR="005F7E87" w:rsidRPr="00B62D23" w:rsidRDefault="005F7E87" w:rsidP="003720F8">
      <w:pPr>
        <w:spacing w:line="276" w:lineRule="auto"/>
        <w:rPr>
          <w:rFonts w:cs="Arial"/>
          <w:bCs/>
        </w:rPr>
      </w:pPr>
      <w:r w:rsidRPr="00B62D23">
        <w:rPr>
          <w:rFonts w:cs="Arial"/>
          <w:bCs/>
        </w:rPr>
        <w:t>- Tachycardie moins constante.</w:t>
      </w:r>
    </w:p>
    <w:p w14:paraId="177B5BC9" w14:textId="77777777" w:rsidR="005F7E87" w:rsidRPr="00B62D23" w:rsidRDefault="005F7E87" w:rsidP="003720F8">
      <w:pPr>
        <w:spacing w:line="276" w:lineRule="auto"/>
        <w:rPr>
          <w:rFonts w:cs="Arial"/>
          <w:bCs/>
        </w:rPr>
      </w:pPr>
      <w:r w:rsidRPr="00B62D23">
        <w:rPr>
          <w:rFonts w:cs="Arial"/>
          <w:bCs/>
        </w:rPr>
        <w:t>- Signes de TVP.</w:t>
      </w:r>
    </w:p>
    <w:p w14:paraId="727CE1B8" w14:textId="77777777" w:rsidR="005F7E87" w:rsidRPr="00B62D23" w:rsidRDefault="005F7E87" w:rsidP="003720F8">
      <w:pPr>
        <w:spacing w:line="276" w:lineRule="auto"/>
        <w:rPr>
          <w:rFonts w:cs="Arial"/>
          <w:bCs/>
        </w:rPr>
      </w:pPr>
      <w:r w:rsidRPr="00B62D23">
        <w:rPr>
          <w:rFonts w:cs="Arial"/>
          <w:bCs/>
        </w:rPr>
        <w:t>- Signes d’insuffisance cardiaque droite aiguë (TJ, RHJ, absence d’OMI).</w:t>
      </w:r>
    </w:p>
    <w:p w14:paraId="3BEC366C" w14:textId="77777777" w:rsidR="005F7E87" w:rsidRPr="00B62D23" w:rsidRDefault="005F7E87" w:rsidP="003720F8">
      <w:pPr>
        <w:spacing w:line="276" w:lineRule="auto"/>
        <w:rPr>
          <w:rFonts w:cs="Arial"/>
          <w:bCs/>
        </w:rPr>
      </w:pPr>
      <w:r w:rsidRPr="00B62D23">
        <w:rPr>
          <w:rFonts w:cs="Arial"/>
          <w:bCs/>
        </w:rPr>
        <w:t xml:space="preserve">L’auscultation pulmonaire est souvent normale. </w:t>
      </w:r>
    </w:p>
    <w:p w14:paraId="6FF09A55" w14:textId="77777777" w:rsidR="005F7E87" w:rsidRPr="00B62D23" w:rsidRDefault="005F7E87" w:rsidP="003720F8">
      <w:pPr>
        <w:spacing w:line="276" w:lineRule="auto"/>
        <w:rPr>
          <w:rFonts w:cs="Arial"/>
          <w:bCs/>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5F7E87" w:rsidRPr="00B62D23" w14:paraId="2419355A" w14:textId="77777777" w:rsidTr="00F44AC4">
        <w:tc>
          <w:tcPr>
            <w:tcW w:w="9628" w:type="dxa"/>
          </w:tcPr>
          <w:p w14:paraId="7C5DAB8E" w14:textId="77777777" w:rsidR="005F7E87" w:rsidRPr="00B62D23" w:rsidRDefault="005F7E87" w:rsidP="003720F8">
            <w:pPr>
              <w:spacing w:line="276" w:lineRule="auto"/>
              <w:rPr>
                <w:rFonts w:cs="Arial"/>
                <w:b/>
              </w:rPr>
            </w:pPr>
            <w:r w:rsidRPr="00B62D23">
              <w:rPr>
                <w:rFonts w:cs="Arial"/>
                <w:b/>
                <w:bCs/>
                <w:noProof/>
                <w:color w:val="000000" w:themeColor="text1"/>
              </w:rPr>
              <w:drawing>
                <wp:anchor distT="0" distB="0" distL="114300" distR="114300" simplePos="0" relativeHeight="251784192" behindDoc="1" locked="0" layoutInCell="1" allowOverlap="1" wp14:anchorId="4E57F41A" wp14:editId="1F3C7365">
                  <wp:simplePos x="0" y="0"/>
                  <wp:positionH relativeFrom="column">
                    <wp:posOffset>8641</wp:posOffset>
                  </wp:positionH>
                  <wp:positionV relativeFrom="paragraph">
                    <wp:posOffset>19022</wp:posOffset>
                  </wp:positionV>
                  <wp:extent cx="478790" cy="521335"/>
                  <wp:effectExtent l="0" t="0" r="3810" b="0"/>
                  <wp:wrapTight wrapText="bothSides">
                    <wp:wrapPolygon edited="0">
                      <wp:start x="0" y="0"/>
                      <wp:lineTo x="0" y="21048"/>
                      <wp:lineTo x="21199" y="21048"/>
                      <wp:lineTo x="21199" y="0"/>
                      <wp:lineTo x="0" y="0"/>
                    </wp:wrapPolygon>
                  </wp:wrapTight>
                  <wp:docPr id="49959660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58488" name="Image 10242584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8790" cy="521335"/>
                          </a:xfrm>
                          <a:prstGeom prst="rect">
                            <a:avLst/>
                          </a:prstGeom>
                        </pic:spPr>
                      </pic:pic>
                    </a:graphicData>
                  </a:graphic>
                  <wp14:sizeRelH relativeFrom="margin">
                    <wp14:pctWidth>0</wp14:pctWidth>
                  </wp14:sizeRelH>
                  <wp14:sizeRelV relativeFrom="margin">
                    <wp14:pctHeight>0</wp14:pctHeight>
                  </wp14:sizeRelV>
                </wp:anchor>
              </w:drawing>
            </w:r>
          </w:p>
          <w:p w14:paraId="70631493" w14:textId="77777777" w:rsidR="005F7E87" w:rsidRPr="00B62D23" w:rsidRDefault="005F7E87" w:rsidP="003720F8">
            <w:pPr>
              <w:spacing w:line="276" w:lineRule="auto"/>
              <w:rPr>
                <w:rFonts w:cs="Arial"/>
                <w:bCs/>
              </w:rPr>
            </w:pPr>
            <w:r w:rsidRPr="00B62D23">
              <w:rPr>
                <w:rFonts w:cs="Arial"/>
                <w:b/>
              </w:rPr>
              <w:t>L’examen clinique peut être normal</w:t>
            </w:r>
            <w:r w:rsidRPr="00B62D23">
              <w:rPr>
                <w:rFonts w:ascii="Arial" w:hAnsi="Arial" w:cs="Arial"/>
                <w:b/>
              </w:rPr>
              <w:t> </w:t>
            </w:r>
            <w:r w:rsidRPr="00B62D23">
              <w:rPr>
                <w:rFonts w:cs="Arial"/>
                <w:b/>
              </w:rPr>
              <w:t>!</w:t>
            </w:r>
          </w:p>
        </w:tc>
      </w:tr>
    </w:tbl>
    <w:p w14:paraId="76209189" w14:textId="77777777" w:rsidR="005F7E87" w:rsidRPr="00B62D23" w:rsidRDefault="005F7E87" w:rsidP="003720F8">
      <w:pPr>
        <w:spacing w:line="276" w:lineRule="auto"/>
        <w:rPr>
          <w:rFonts w:cs="Arial"/>
        </w:rPr>
      </w:pPr>
    </w:p>
    <w:p w14:paraId="5A7C3EC9" w14:textId="77777777" w:rsidR="005F7E87" w:rsidRPr="00B62D23" w:rsidRDefault="005F7E87" w:rsidP="003720F8">
      <w:pPr>
        <w:pStyle w:val="Titre2"/>
        <w:numPr>
          <w:ilvl w:val="0"/>
          <w:numId w:val="0"/>
        </w:numPr>
        <w:spacing w:line="276" w:lineRule="auto"/>
      </w:pPr>
      <w:r w:rsidRPr="00B62D23">
        <w:t>EXAMENS COMPLEMENTAIRES</w:t>
      </w:r>
    </w:p>
    <w:p w14:paraId="6B819556" w14:textId="77777777" w:rsidR="005F7E87" w:rsidRPr="00B62D23" w:rsidRDefault="005F7E87" w:rsidP="003720F8">
      <w:pPr>
        <w:spacing w:line="276" w:lineRule="auto"/>
        <w:rPr>
          <w:rFonts w:cs="Arial"/>
        </w:rPr>
      </w:pPr>
      <w:r w:rsidRPr="00B62D23">
        <w:rPr>
          <w:rFonts w:cs="Arial"/>
        </w:rPr>
        <w:t>Examens complémentaires de 1</w:t>
      </w:r>
      <w:r w:rsidRPr="00B62D23">
        <w:rPr>
          <w:rFonts w:cs="Arial"/>
          <w:vertAlign w:val="superscript"/>
        </w:rPr>
        <w:t>re</w:t>
      </w:r>
      <w:r w:rsidRPr="00B62D23">
        <w:rPr>
          <w:rFonts w:cs="Arial"/>
        </w:rPr>
        <w:t xml:space="preserve"> intention :</w:t>
      </w:r>
    </w:p>
    <w:p w14:paraId="654AE8CB" w14:textId="77777777" w:rsidR="005F7E87" w:rsidRPr="00B62D23" w:rsidRDefault="005F7E87" w:rsidP="003720F8">
      <w:pPr>
        <w:spacing w:line="276" w:lineRule="auto"/>
        <w:rPr>
          <w:rFonts w:cs="Arial"/>
        </w:rPr>
      </w:pPr>
      <w:r w:rsidRPr="00B62D23">
        <w:rPr>
          <w:rFonts w:cs="Arial"/>
        </w:rPr>
        <w:t xml:space="preserve">Radiographie de thorax et ECG : </w:t>
      </w:r>
      <w:r w:rsidRPr="00B62D23">
        <w:rPr>
          <w:rFonts w:cs="Arial"/>
          <w:b/>
        </w:rPr>
        <w:t>ni sensibles ni spécifiques</w:t>
      </w:r>
      <w:r w:rsidRPr="00B62D23">
        <w:rPr>
          <w:rFonts w:cs="Arial"/>
        </w:rPr>
        <w:t xml:space="preserve"> pour le diagnostic d’EP, mais </w:t>
      </w:r>
      <w:r w:rsidRPr="00B62D23">
        <w:rPr>
          <w:rFonts w:cs="Arial"/>
          <w:b/>
          <w:bCs/>
        </w:rPr>
        <w:t>indispensables</w:t>
      </w:r>
      <w:r w:rsidRPr="00B62D23">
        <w:rPr>
          <w:rFonts w:cs="Arial"/>
        </w:rPr>
        <w:t xml:space="preserve"> pour exclure les diagnostics différentiels. </w:t>
      </w:r>
    </w:p>
    <w:p w14:paraId="05D1AAF6" w14:textId="468FC7A7" w:rsidR="005F7E87" w:rsidRPr="00B62D23" w:rsidRDefault="005F7E87" w:rsidP="003720F8">
      <w:pPr>
        <w:spacing w:line="276" w:lineRule="auto"/>
        <w:rPr>
          <w:rFonts w:cs="Arial"/>
        </w:rPr>
      </w:pPr>
      <w:r w:rsidRPr="00B62D23">
        <w:rPr>
          <w:rFonts w:cs="Arial"/>
        </w:rPr>
        <w:t>- Radiographie thoracique</w:t>
      </w:r>
      <w:r w:rsidR="0026545F">
        <w:rPr>
          <w:rFonts w:cs="Arial"/>
        </w:rPr>
        <w:t xml:space="preserve"> (figure 1)</w:t>
      </w:r>
      <w:r w:rsidRPr="00B62D23">
        <w:rPr>
          <w:rFonts w:cs="Arial"/>
        </w:rPr>
        <w:t> :</w:t>
      </w:r>
    </w:p>
    <w:p w14:paraId="57985278" w14:textId="77777777" w:rsidR="005F7E87" w:rsidRPr="00B62D23" w:rsidRDefault="005F7E87">
      <w:pPr>
        <w:widowControl w:val="0"/>
        <w:numPr>
          <w:ilvl w:val="0"/>
          <w:numId w:val="11"/>
        </w:numPr>
        <w:spacing w:line="276" w:lineRule="auto"/>
        <w:ind w:left="284" w:hanging="142"/>
        <w:rPr>
          <w:rFonts w:cs="Arial"/>
        </w:rPr>
      </w:pPr>
      <w:r w:rsidRPr="00B62D23">
        <w:rPr>
          <w:rFonts w:cs="Arial"/>
        </w:rPr>
        <w:t>Peut-être normale.</w:t>
      </w:r>
    </w:p>
    <w:p w14:paraId="09A09ACA" w14:textId="77777777" w:rsidR="005F7E87" w:rsidRPr="00B62D23" w:rsidRDefault="005F7E87">
      <w:pPr>
        <w:widowControl w:val="0"/>
        <w:numPr>
          <w:ilvl w:val="0"/>
          <w:numId w:val="11"/>
        </w:numPr>
        <w:spacing w:line="276" w:lineRule="auto"/>
        <w:ind w:left="284" w:hanging="142"/>
        <w:rPr>
          <w:rFonts w:cs="Arial"/>
        </w:rPr>
      </w:pPr>
      <w:r w:rsidRPr="00B62D23">
        <w:rPr>
          <w:rFonts w:cs="Arial"/>
        </w:rPr>
        <w:t xml:space="preserve">Sinon : </w:t>
      </w:r>
    </w:p>
    <w:p w14:paraId="715EFF03" w14:textId="77777777" w:rsidR="005F7E87" w:rsidRPr="00B62D23" w:rsidRDefault="005F7E87">
      <w:pPr>
        <w:widowControl w:val="0"/>
        <w:numPr>
          <w:ilvl w:val="1"/>
          <w:numId w:val="10"/>
        </w:numPr>
        <w:tabs>
          <w:tab w:val="clear" w:pos="1788"/>
        </w:tabs>
        <w:spacing w:line="276" w:lineRule="auto"/>
        <w:ind w:left="567" w:hanging="283"/>
        <w:rPr>
          <w:rFonts w:cs="Arial"/>
        </w:rPr>
      </w:pPr>
      <w:r w:rsidRPr="00B62D23">
        <w:rPr>
          <w:rFonts w:cs="Arial"/>
        </w:rPr>
        <w:t>Atélectasie en bande et/ou</w:t>
      </w:r>
    </w:p>
    <w:p w14:paraId="646A08CE" w14:textId="77777777" w:rsidR="005F7E87" w:rsidRPr="00B62D23" w:rsidRDefault="005F7E87">
      <w:pPr>
        <w:widowControl w:val="0"/>
        <w:numPr>
          <w:ilvl w:val="1"/>
          <w:numId w:val="10"/>
        </w:numPr>
        <w:tabs>
          <w:tab w:val="clear" w:pos="1788"/>
        </w:tabs>
        <w:spacing w:line="276" w:lineRule="auto"/>
        <w:ind w:left="567" w:hanging="283"/>
        <w:rPr>
          <w:rFonts w:cs="Arial"/>
        </w:rPr>
      </w:pPr>
      <w:r w:rsidRPr="00B62D23">
        <w:rPr>
          <w:rFonts w:cs="Arial"/>
        </w:rPr>
        <w:t>Épanchement pleural, parfois modeste et/ou</w:t>
      </w:r>
    </w:p>
    <w:p w14:paraId="52E0A445" w14:textId="77777777" w:rsidR="005F7E87" w:rsidRPr="00B62D23" w:rsidRDefault="005F7E87">
      <w:pPr>
        <w:widowControl w:val="0"/>
        <w:numPr>
          <w:ilvl w:val="1"/>
          <w:numId w:val="10"/>
        </w:numPr>
        <w:tabs>
          <w:tab w:val="clear" w:pos="1788"/>
        </w:tabs>
        <w:spacing w:line="276" w:lineRule="auto"/>
        <w:ind w:left="567" w:hanging="283"/>
        <w:rPr>
          <w:rFonts w:cs="Arial"/>
        </w:rPr>
      </w:pPr>
      <w:r w:rsidRPr="00B62D23">
        <w:rPr>
          <w:rFonts w:cs="Arial"/>
        </w:rPr>
        <w:t>Ascension d’une coupole diaphragmatique et/ou</w:t>
      </w:r>
    </w:p>
    <w:p w14:paraId="0F0AD851" w14:textId="77777777" w:rsidR="005F7E87" w:rsidRPr="00B62D23" w:rsidRDefault="005F7E87">
      <w:pPr>
        <w:widowControl w:val="0"/>
        <w:numPr>
          <w:ilvl w:val="1"/>
          <w:numId w:val="10"/>
        </w:numPr>
        <w:tabs>
          <w:tab w:val="clear" w:pos="1788"/>
        </w:tabs>
        <w:spacing w:line="276" w:lineRule="auto"/>
        <w:ind w:left="567" w:hanging="283"/>
        <w:rPr>
          <w:rFonts w:cs="Arial"/>
        </w:rPr>
      </w:pPr>
      <w:r w:rsidRPr="00B62D23">
        <w:rPr>
          <w:rFonts w:cs="Arial"/>
        </w:rPr>
        <w:t>Infarctus pulmonaire (opacité alvéolaire périphérique, appuyée sur la plèvre, de petite taille) et/ou</w:t>
      </w:r>
    </w:p>
    <w:p w14:paraId="2E194876" w14:textId="77777777" w:rsidR="005F7E87" w:rsidRPr="00B62D23" w:rsidRDefault="005F7E87">
      <w:pPr>
        <w:widowControl w:val="0"/>
        <w:numPr>
          <w:ilvl w:val="1"/>
          <w:numId w:val="10"/>
        </w:numPr>
        <w:tabs>
          <w:tab w:val="clear" w:pos="1788"/>
        </w:tabs>
        <w:spacing w:line="276" w:lineRule="auto"/>
        <w:ind w:left="567" w:hanging="283"/>
        <w:rPr>
          <w:rFonts w:cs="Arial"/>
        </w:rPr>
      </w:pPr>
      <w:proofErr w:type="spellStart"/>
      <w:r w:rsidRPr="00B62D23">
        <w:rPr>
          <w:rFonts w:cs="Arial"/>
        </w:rPr>
        <w:t>Hyperclarté</w:t>
      </w:r>
      <w:proofErr w:type="spellEnd"/>
      <w:r w:rsidRPr="00B62D23">
        <w:rPr>
          <w:rFonts w:cs="Arial"/>
        </w:rPr>
        <w:t xml:space="preserve"> d’un champ pulmonaire.</w:t>
      </w:r>
    </w:p>
    <w:p w14:paraId="1AFD90B7" w14:textId="77777777" w:rsidR="005F7E87" w:rsidRPr="00B62D23" w:rsidRDefault="005F7E87">
      <w:pPr>
        <w:pStyle w:val="Paragraphedeliste"/>
        <w:numPr>
          <w:ilvl w:val="0"/>
          <w:numId w:val="11"/>
        </w:numPr>
        <w:spacing w:line="276" w:lineRule="auto"/>
        <w:ind w:left="284" w:hanging="142"/>
        <w:jc w:val="left"/>
        <w:rPr>
          <w:rFonts w:cs="Arial"/>
        </w:rPr>
      </w:pPr>
      <w:r w:rsidRPr="00B62D23">
        <w:rPr>
          <w:rFonts w:cs="Arial"/>
        </w:rPr>
        <w:t>Et surtout ÉLIMINE d’autres diagnostics différentiels (pneumonie, pneumothorax, fracture).</w:t>
      </w:r>
    </w:p>
    <w:p w14:paraId="0CA578A7" w14:textId="153EC27A" w:rsidR="005F7E87" w:rsidRPr="00062B26" w:rsidRDefault="005F7E87" w:rsidP="003720F8">
      <w:pPr>
        <w:spacing w:line="276" w:lineRule="auto"/>
        <w:rPr>
          <w:rFonts w:cs="Arial"/>
          <w:sz w:val="18"/>
          <w:szCs w:val="18"/>
        </w:rPr>
      </w:pPr>
    </w:p>
    <w:p w14:paraId="43124CAD" w14:textId="4049AF7E" w:rsidR="005F7E87" w:rsidRPr="00062B26" w:rsidRDefault="00A35784" w:rsidP="003720F8">
      <w:pPr>
        <w:pStyle w:val="lgende"/>
      </w:pPr>
      <w:r w:rsidRPr="00062B26">
        <w:rPr>
          <w:noProof/>
        </w:rPr>
        <w:lastRenderedPageBreak/>
        <w:drawing>
          <wp:anchor distT="0" distB="0" distL="114300" distR="114300" simplePos="0" relativeHeight="251785216" behindDoc="0" locked="0" layoutInCell="1" allowOverlap="1" wp14:anchorId="6D23BD62" wp14:editId="65DE3A01">
            <wp:simplePos x="0" y="0"/>
            <wp:positionH relativeFrom="margin">
              <wp:align>left</wp:align>
            </wp:positionH>
            <wp:positionV relativeFrom="paragraph">
              <wp:posOffset>159082</wp:posOffset>
            </wp:positionV>
            <wp:extent cx="5597525" cy="3730625"/>
            <wp:effectExtent l="0" t="0" r="3175" b="3175"/>
            <wp:wrapTopAndBottom/>
            <wp:docPr id="5966202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2021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97525" cy="3730625"/>
                    </a:xfrm>
                    <a:prstGeom prst="rect">
                      <a:avLst/>
                    </a:prstGeom>
                  </pic:spPr>
                </pic:pic>
              </a:graphicData>
            </a:graphic>
          </wp:anchor>
        </w:drawing>
      </w:r>
      <w:r w:rsidR="005F7E87" w:rsidRPr="00062B26">
        <w:t>Figure</w:t>
      </w:r>
      <w:r w:rsidR="005F7E87">
        <w:t> </w:t>
      </w:r>
      <w:r w:rsidR="005F7E87" w:rsidRPr="00062B26">
        <w:t>1 : Radiographies de thorax montrant différents signes pouvant faire suspecter une embolie pulmonaire</w:t>
      </w:r>
      <w:r w:rsidR="005F7E87">
        <w:t>.</w:t>
      </w:r>
    </w:p>
    <w:p w14:paraId="3014508E" w14:textId="473E68DD" w:rsidR="005F7E87" w:rsidRDefault="005F7E87" w:rsidP="003720F8">
      <w:pPr>
        <w:spacing w:line="276" w:lineRule="auto"/>
        <w:rPr>
          <w:rFonts w:cs="Arial"/>
          <w:sz w:val="18"/>
          <w:szCs w:val="18"/>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8784"/>
      </w:tblGrid>
      <w:tr w:rsidR="005F7E87" w:rsidRPr="00B62D23" w14:paraId="2C98D7F8" w14:textId="77777777" w:rsidTr="00A35784">
        <w:tc>
          <w:tcPr>
            <w:tcW w:w="8784" w:type="dxa"/>
          </w:tcPr>
          <w:p w14:paraId="7571DF85" w14:textId="095C6612" w:rsidR="005F7E87" w:rsidRPr="00B62D23" w:rsidRDefault="005F7E87" w:rsidP="003720F8">
            <w:pPr>
              <w:pStyle w:val="Paragraphedeliste"/>
              <w:spacing w:line="276" w:lineRule="auto"/>
              <w:ind w:left="1068"/>
              <w:rPr>
                <w:rFonts w:cs="Arial"/>
                <w:sz w:val="14"/>
                <w:szCs w:val="14"/>
              </w:rPr>
            </w:pPr>
            <w:r w:rsidRPr="00B62D23">
              <w:rPr>
                <w:rFonts w:cs="Arial"/>
                <w:b/>
                <w:noProof/>
                <w:color w:val="000000" w:themeColor="text1"/>
              </w:rPr>
              <w:drawing>
                <wp:anchor distT="0" distB="0" distL="114300" distR="114300" simplePos="0" relativeHeight="251787264" behindDoc="1" locked="0" layoutInCell="1" allowOverlap="1" wp14:anchorId="262E8F9F" wp14:editId="63489CA1">
                  <wp:simplePos x="0" y="0"/>
                  <wp:positionH relativeFrom="column">
                    <wp:posOffset>577850</wp:posOffset>
                  </wp:positionH>
                  <wp:positionV relativeFrom="paragraph">
                    <wp:posOffset>15240</wp:posOffset>
                  </wp:positionV>
                  <wp:extent cx="537210" cy="544195"/>
                  <wp:effectExtent l="0" t="0" r="0" b="8255"/>
                  <wp:wrapTight wrapText="bothSides">
                    <wp:wrapPolygon edited="0">
                      <wp:start x="0" y="0"/>
                      <wp:lineTo x="0" y="21172"/>
                      <wp:lineTo x="20681" y="21172"/>
                      <wp:lineTo x="20681" y="0"/>
                      <wp:lineTo x="0" y="0"/>
                    </wp:wrapPolygon>
                  </wp:wrapTight>
                  <wp:docPr id="148712318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92416" name="Image 21303924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7210" cy="544195"/>
                          </a:xfrm>
                          <a:prstGeom prst="rect">
                            <a:avLst/>
                          </a:prstGeom>
                        </pic:spPr>
                      </pic:pic>
                    </a:graphicData>
                  </a:graphic>
                  <wp14:sizeRelH relativeFrom="margin">
                    <wp14:pctWidth>0</wp14:pctWidth>
                  </wp14:sizeRelH>
                  <wp14:sizeRelV relativeFrom="margin">
                    <wp14:pctHeight>0</wp14:pctHeight>
                  </wp14:sizeRelV>
                </wp:anchor>
              </w:drawing>
            </w:r>
            <w:r w:rsidRPr="00B62D23">
              <w:rPr>
                <w:rFonts w:cs="Arial"/>
                <w:b/>
                <w:noProof/>
                <w:color w:val="000000" w:themeColor="text1"/>
              </w:rPr>
              <w:drawing>
                <wp:anchor distT="0" distB="0" distL="114300" distR="114300" simplePos="0" relativeHeight="251786240" behindDoc="1" locked="0" layoutInCell="1" allowOverlap="1" wp14:anchorId="73ADAC78" wp14:editId="68BE6B95">
                  <wp:simplePos x="0" y="0"/>
                  <wp:positionH relativeFrom="column">
                    <wp:posOffset>-20955</wp:posOffset>
                  </wp:positionH>
                  <wp:positionV relativeFrom="paragraph">
                    <wp:posOffset>24074</wp:posOffset>
                  </wp:positionV>
                  <wp:extent cx="615950" cy="591820"/>
                  <wp:effectExtent l="0" t="0" r="6350" b="5080"/>
                  <wp:wrapTight wrapText="bothSides">
                    <wp:wrapPolygon edited="0">
                      <wp:start x="0" y="0"/>
                      <wp:lineTo x="0" y="21322"/>
                      <wp:lineTo x="21377" y="21322"/>
                      <wp:lineTo x="21377" y="0"/>
                      <wp:lineTo x="0" y="0"/>
                    </wp:wrapPolygon>
                  </wp:wrapTight>
                  <wp:docPr id="93556039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82795" name="Image 150258279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5950" cy="591820"/>
                          </a:xfrm>
                          <a:prstGeom prst="rect">
                            <a:avLst/>
                          </a:prstGeom>
                        </pic:spPr>
                      </pic:pic>
                    </a:graphicData>
                  </a:graphic>
                  <wp14:sizeRelH relativeFrom="margin">
                    <wp14:pctWidth>0</wp14:pctWidth>
                  </wp14:sizeRelH>
                  <wp14:sizeRelV relativeFrom="margin">
                    <wp14:pctHeight>0</wp14:pctHeight>
                  </wp14:sizeRelV>
                </wp:anchor>
              </w:drawing>
            </w:r>
            <w:r w:rsidRPr="00B62D23">
              <w:rPr>
                <w:rFonts w:cs="Arial"/>
              </w:rPr>
              <w:t>Une situation clinique de départ de douleur thoracique ou dyspnée (ou d’hypoxémie) aiguës à radiographie normale, doit vous faire rechercher un contexte favorisant puis, en cas de présence, faire suspecter une embolie pulmonaire.</w:t>
            </w:r>
          </w:p>
        </w:tc>
      </w:tr>
    </w:tbl>
    <w:p w14:paraId="7EA2193C" w14:textId="77777777" w:rsidR="005F7E87" w:rsidRPr="00B62D23" w:rsidRDefault="005F7E87" w:rsidP="003720F8">
      <w:pPr>
        <w:spacing w:line="276" w:lineRule="auto"/>
        <w:rPr>
          <w:rFonts w:cs="Arial"/>
        </w:rPr>
      </w:pPr>
    </w:p>
    <w:p w14:paraId="2BAF1254" w14:textId="77777777" w:rsidR="005F7E87" w:rsidRPr="00B62D23" w:rsidRDefault="005F7E87" w:rsidP="003720F8">
      <w:pPr>
        <w:widowControl w:val="0"/>
        <w:tabs>
          <w:tab w:val="num" w:pos="709"/>
        </w:tabs>
        <w:spacing w:line="276" w:lineRule="auto"/>
        <w:rPr>
          <w:rFonts w:cs="Arial"/>
        </w:rPr>
      </w:pPr>
      <w:r w:rsidRPr="00B62D23">
        <w:rPr>
          <w:rFonts w:cs="Arial"/>
        </w:rPr>
        <w:t xml:space="preserve">- ECG : </w:t>
      </w:r>
    </w:p>
    <w:p w14:paraId="765ED9FC" w14:textId="77777777" w:rsidR="005F7E87" w:rsidRPr="00B62D23" w:rsidRDefault="005F7E87">
      <w:pPr>
        <w:widowControl w:val="0"/>
        <w:numPr>
          <w:ilvl w:val="0"/>
          <w:numId w:val="12"/>
        </w:numPr>
        <w:tabs>
          <w:tab w:val="clear" w:pos="1068"/>
        </w:tabs>
        <w:spacing w:line="276" w:lineRule="auto"/>
        <w:ind w:left="284" w:hanging="142"/>
        <w:rPr>
          <w:rFonts w:cs="Arial"/>
        </w:rPr>
      </w:pPr>
      <w:proofErr w:type="spellStart"/>
      <w:r w:rsidRPr="00B62D23">
        <w:rPr>
          <w:rFonts w:cs="Arial"/>
        </w:rPr>
        <w:t>Peut être</w:t>
      </w:r>
      <w:proofErr w:type="spellEnd"/>
      <w:r w:rsidRPr="00B62D23">
        <w:rPr>
          <w:rFonts w:cs="Arial"/>
        </w:rPr>
        <w:t xml:space="preserve"> normal.</w:t>
      </w:r>
    </w:p>
    <w:p w14:paraId="2FDD7E9A" w14:textId="77777777" w:rsidR="005F7E87" w:rsidRPr="00B62D23" w:rsidRDefault="005F7E87">
      <w:pPr>
        <w:widowControl w:val="0"/>
        <w:numPr>
          <w:ilvl w:val="0"/>
          <w:numId w:val="12"/>
        </w:numPr>
        <w:tabs>
          <w:tab w:val="clear" w:pos="1068"/>
        </w:tabs>
        <w:spacing w:line="276" w:lineRule="auto"/>
        <w:ind w:left="284" w:hanging="142"/>
        <w:rPr>
          <w:rFonts w:cs="Arial"/>
        </w:rPr>
      </w:pPr>
      <w:r w:rsidRPr="00B62D23">
        <w:rPr>
          <w:rFonts w:cs="Arial"/>
        </w:rPr>
        <w:t>Souvent : tachycardie.</w:t>
      </w:r>
    </w:p>
    <w:p w14:paraId="5F4E9CB4" w14:textId="77777777" w:rsidR="005F7E87" w:rsidRPr="00B62D23" w:rsidRDefault="005F7E87">
      <w:pPr>
        <w:widowControl w:val="0"/>
        <w:numPr>
          <w:ilvl w:val="0"/>
          <w:numId w:val="12"/>
        </w:numPr>
        <w:tabs>
          <w:tab w:val="clear" w:pos="1068"/>
        </w:tabs>
        <w:spacing w:line="276" w:lineRule="auto"/>
        <w:ind w:left="284" w:hanging="142"/>
        <w:rPr>
          <w:rFonts w:cs="Arial"/>
        </w:rPr>
      </w:pPr>
      <w:r w:rsidRPr="00B62D23">
        <w:rPr>
          <w:rFonts w:cs="Arial"/>
        </w:rPr>
        <w:t xml:space="preserve">Signes de sévérité (signes droits) : </w:t>
      </w:r>
    </w:p>
    <w:p w14:paraId="65DE9F86" w14:textId="08BC3124" w:rsidR="005F7E87" w:rsidRPr="00B62D23" w:rsidRDefault="005F7E87">
      <w:pPr>
        <w:widowControl w:val="0"/>
        <w:numPr>
          <w:ilvl w:val="1"/>
          <w:numId w:val="10"/>
        </w:numPr>
        <w:tabs>
          <w:tab w:val="clear" w:pos="1788"/>
        </w:tabs>
        <w:spacing w:line="276" w:lineRule="auto"/>
        <w:ind w:left="567" w:hanging="283"/>
        <w:rPr>
          <w:rFonts w:cs="Arial"/>
        </w:rPr>
      </w:pPr>
      <w:r w:rsidRPr="00B62D23">
        <w:rPr>
          <w:rFonts w:cs="Arial"/>
        </w:rPr>
        <w:t>Onde S en D1 et onde Q en D3</w:t>
      </w:r>
      <w:r w:rsidR="0026545F">
        <w:rPr>
          <w:rFonts w:cs="Arial"/>
        </w:rPr>
        <w:t xml:space="preserve">, </w:t>
      </w:r>
      <w:r w:rsidRPr="00B62D23">
        <w:rPr>
          <w:rFonts w:cs="Arial"/>
        </w:rPr>
        <w:t>aspect S1Q3</w:t>
      </w:r>
      <w:r w:rsidR="0026545F">
        <w:rPr>
          <w:rFonts w:cs="Arial"/>
        </w:rPr>
        <w:t xml:space="preserve"> (figure 2)</w:t>
      </w:r>
      <w:r w:rsidRPr="00B62D23">
        <w:rPr>
          <w:rFonts w:cs="Arial"/>
        </w:rPr>
        <w:t xml:space="preserve"> et/ou </w:t>
      </w:r>
    </w:p>
    <w:p w14:paraId="289AB45E" w14:textId="77777777" w:rsidR="005F7E87" w:rsidRPr="00B62D23" w:rsidRDefault="005F7E87">
      <w:pPr>
        <w:widowControl w:val="0"/>
        <w:numPr>
          <w:ilvl w:val="1"/>
          <w:numId w:val="10"/>
        </w:numPr>
        <w:tabs>
          <w:tab w:val="clear" w:pos="1788"/>
        </w:tabs>
        <w:spacing w:line="276" w:lineRule="auto"/>
        <w:ind w:left="567" w:hanging="283"/>
        <w:rPr>
          <w:rFonts w:cs="Arial"/>
        </w:rPr>
      </w:pPr>
      <w:r w:rsidRPr="00B62D23">
        <w:rPr>
          <w:rFonts w:cs="Arial"/>
        </w:rPr>
        <w:t xml:space="preserve">BBD et/ou </w:t>
      </w:r>
    </w:p>
    <w:p w14:paraId="52064813" w14:textId="78F4E4E0" w:rsidR="005F7E87" w:rsidRPr="00B62D23" w:rsidRDefault="005F7E87">
      <w:pPr>
        <w:widowControl w:val="0"/>
        <w:numPr>
          <w:ilvl w:val="1"/>
          <w:numId w:val="10"/>
        </w:numPr>
        <w:tabs>
          <w:tab w:val="clear" w:pos="1788"/>
        </w:tabs>
        <w:spacing w:line="276" w:lineRule="auto"/>
        <w:ind w:left="567" w:hanging="283"/>
        <w:rPr>
          <w:rFonts w:cs="Arial"/>
        </w:rPr>
      </w:pPr>
      <w:r w:rsidRPr="00B62D23">
        <w:rPr>
          <w:rFonts w:cs="Arial"/>
        </w:rPr>
        <w:t>Onde T négative de V1 à V3.</w:t>
      </w:r>
      <w:r w:rsidR="0026545F">
        <w:rPr>
          <w:rFonts w:cs="Arial"/>
        </w:rPr>
        <w:t xml:space="preserve"> </w:t>
      </w:r>
    </w:p>
    <w:p w14:paraId="5607D725" w14:textId="77777777" w:rsidR="005F7E87" w:rsidRPr="00B62D23" w:rsidRDefault="005F7E87">
      <w:pPr>
        <w:widowControl w:val="0"/>
        <w:numPr>
          <w:ilvl w:val="0"/>
          <w:numId w:val="12"/>
        </w:numPr>
        <w:tabs>
          <w:tab w:val="clear" w:pos="1068"/>
        </w:tabs>
        <w:spacing w:line="276" w:lineRule="auto"/>
        <w:ind w:left="284" w:hanging="142"/>
        <w:rPr>
          <w:rFonts w:cs="Arial"/>
        </w:rPr>
      </w:pPr>
      <w:r w:rsidRPr="00B62D23">
        <w:rPr>
          <w:rFonts w:cs="Arial"/>
        </w:rPr>
        <w:t>Et surtout ÉLIMINE d’autres diagnostics différentiels (infarctus du myocarde, péricardite aiguë).</w:t>
      </w:r>
    </w:p>
    <w:p w14:paraId="05D582E8" w14:textId="77777777" w:rsidR="005F7E87" w:rsidRPr="00062B26" w:rsidRDefault="005F7E87" w:rsidP="003720F8">
      <w:pPr>
        <w:widowControl w:val="0"/>
        <w:spacing w:line="276" w:lineRule="auto"/>
        <w:rPr>
          <w:rFonts w:cs="Arial"/>
          <w:sz w:val="18"/>
          <w:szCs w:val="18"/>
        </w:rPr>
      </w:pPr>
    </w:p>
    <w:p w14:paraId="6B0BB74D" w14:textId="77777777" w:rsidR="005F7E87" w:rsidRDefault="005F7E87" w:rsidP="003720F8">
      <w:pPr>
        <w:pStyle w:val="lgende"/>
        <w:jc w:val="center"/>
      </w:pPr>
      <w:r w:rsidRPr="00062B26">
        <w:rPr>
          <w:rFonts w:ascii="Trebuchet MS" w:hAnsi="Trebuchet MS"/>
          <w:noProof/>
        </w:rPr>
        <w:lastRenderedPageBreak/>
        <w:drawing>
          <wp:anchor distT="0" distB="0" distL="114300" distR="114300" simplePos="0" relativeHeight="251788288" behindDoc="0" locked="0" layoutInCell="1" allowOverlap="1" wp14:anchorId="6C3213DC" wp14:editId="38052EB6">
            <wp:simplePos x="0" y="0"/>
            <wp:positionH relativeFrom="margin">
              <wp:align>center</wp:align>
            </wp:positionH>
            <wp:positionV relativeFrom="paragraph">
              <wp:posOffset>208004</wp:posOffset>
            </wp:positionV>
            <wp:extent cx="2329180" cy="3206750"/>
            <wp:effectExtent l="0" t="0" r="0" b="0"/>
            <wp:wrapTopAndBottom/>
            <wp:docPr id="20014665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6656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9180" cy="3206750"/>
                    </a:xfrm>
                    <a:prstGeom prst="rect">
                      <a:avLst/>
                    </a:prstGeom>
                  </pic:spPr>
                </pic:pic>
              </a:graphicData>
            </a:graphic>
            <wp14:sizeRelH relativeFrom="margin">
              <wp14:pctWidth>0</wp14:pctWidth>
            </wp14:sizeRelH>
            <wp14:sizeRelV relativeFrom="margin">
              <wp14:pctHeight>0</wp14:pctHeight>
            </wp14:sizeRelV>
          </wp:anchor>
        </w:drawing>
      </w:r>
      <w:r w:rsidRPr="00062B26">
        <w:t>Figure</w:t>
      </w:r>
      <w:r>
        <w:t> </w:t>
      </w:r>
      <w:r w:rsidRPr="00062B26">
        <w:t xml:space="preserve">2 : </w:t>
      </w:r>
      <w:r>
        <w:t>A</w:t>
      </w:r>
      <w:r w:rsidRPr="00062B26">
        <w:t>spect S1Q3 à l’ECG</w:t>
      </w:r>
      <w:r>
        <w:t>.</w:t>
      </w:r>
    </w:p>
    <w:p w14:paraId="12B0E440" w14:textId="77777777" w:rsidR="00A35784" w:rsidRDefault="00A35784" w:rsidP="003720F8">
      <w:pPr>
        <w:pStyle w:val="Lgende1"/>
      </w:pPr>
    </w:p>
    <w:p w14:paraId="3B83E794" w14:textId="777D0836" w:rsidR="005F7E87" w:rsidRPr="00B62D23" w:rsidRDefault="005F7E87" w:rsidP="003720F8">
      <w:pPr>
        <w:pStyle w:val="Lgende1"/>
        <w:rPr>
          <w:sz w:val="20"/>
          <w:szCs w:val="20"/>
        </w:rPr>
      </w:pPr>
      <w:r w:rsidRPr="00B62D23">
        <w:rPr>
          <w:sz w:val="20"/>
          <w:szCs w:val="20"/>
        </w:rPr>
        <w:t xml:space="preserve">- </w:t>
      </w:r>
      <w:r w:rsidRPr="00B62D23">
        <w:rPr>
          <w:rFonts w:ascii="Trebuchet MS" w:hAnsi="Trebuchet MS"/>
          <w:sz w:val="20"/>
          <w:szCs w:val="20"/>
        </w:rPr>
        <w:t xml:space="preserve">Gaz du sang : </w:t>
      </w:r>
      <w:r w:rsidRPr="00B62D23">
        <w:rPr>
          <w:rFonts w:ascii="Trebuchet MS" w:hAnsi="Trebuchet MS"/>
          <w:b/>
          <w:sz w:val="20"/>
          <w:szCs w:val="20"/>
        </w:rPr>
        <w:t>non recommandés et inutiles,</w:t>
      </w:r>
      <w:r w:rsidRPr="00B62D23">
        <w:rPr>
          <w:rFonts w:ascii="Trebuchet MS" w:hAnsi="Trebuchet MS"/>
          <w:sz w:val="20"/>
          <w:szCs w:val="20"/>
        </w:rPr>
        <w:t xml:space="preserve"> car ni sensibles (parfois normaux) ni spécifiques (classiquement hypoxémie + hypocapnie) et potentiellement dangereux (si thrombolyse).</w:t>
      </w:r>
    </w:p>
    <w:p w14:paraId="0BD4CC40" w14:textId="77777777" w:rsidR="005F7E87" w:rsidRPr="00B62D23" w:rsidRDefault="005F7E87" w:rsidP="003720F8">
      <w:pPr>
        <w:spacing w:line="276" w:lineRule="auto"/>
        <w:rPr>
          <w:sz w:val="22"/>
          <w:szCs w:val="22"/>
        </w:rPr>
      </w:pPr>
    </w:p>
    <w:p w14:paraId="5E2769F9" w14:textId="48C9917B" w:rsidR="00A35784" w:rsidRPr="00B62D23" w:rsidRDefault="00A35784" w:rsidP="00B62D23">
      <w:pPr>
        <w:pStyle w:val="titredesous-partie"/>
        <w:rPr>
          <w:lang w:val="fr-FR"/>
        </w:rPr>
      </w:pPr>
      <w:r w:rsidRPr="00B62D23">
        <w:rPr>
          <w:lang w:val="fr-FR"/>
        </w:rPr>
        <w:t>ÉTAPE 2 : ÉTABLIR UNE PROBABILITE CLINIQUE (PC) D’EMBOLIE PULMONAIRE</w:t>
      </w:r>
    </w:p>
    <w:p w14:paraId="0A5A358A" w14:textId="77777777" w:rsidR="00A35784" w:rsidRPr="00B62D23" w:rsidRDefault="00A35784" w:rsidP="003720F8">
      <w:pPr>
        <w:spacing w:line="276" w:lineRule="auto"/>
        <w:rPr>
          <w:rFonts w:cs="Arial"/>
          <w:iCs/>
        </w:rPr>
      </w:pPr>
      <w:r w:rsidRPr="00B62D23">
        <w:rPr>
          <w:rFonts w:cs="Arial"/>
          <w:iCs/>
        </w:rPr>
        <w:t>En l’absence d’instabilité hémodynamique.</w:t>
      </w:r>
    </w:p>
    <w:p w14:paraId="41C49652" w14:textId="77777777" w:rsidR="00A35784" w:rsidRPr="00B62D23" w:rsidRDefault="00A35784" w:rsidP="003720F8">
      <w:pPr>
        <w:spacing w:line="276" w:lineRule="auto"/>
        <w:rPr>
          <w:rFonts w:cs="Arial"/>
          <w:i/>
          <w:u w:val="single"/>
        </w:rPr>
      </w:pPr>
    </w:p>
    <w:p w14:paraId="2DC7A18E" w14:textId="77777777" w:rsidR="00A35784" w:rsidRPr="00B62D23" w:rsidRDefault="00A35784" w:rsidP="003720F8">
      <w:pPr>
        <w:spacing w:line="276" w:lineRule="auto"/>
        <w:rPr>
          <w:rFonts w:cs="Arial"/>
        </w:rPr>
      </w:pPr>
      <w:r w:rsidRPr="00B62D23">
        <w:rPr>
          <w:rFonts w:cs="Arial"/>
          <w:b/>
        </w:rPr>
        <w:t>Étape la plus importante</w:t>
      </w:r>
      <w:r w:rsidRPr="00B62D23">
        <w:rPr>
          <w:rFonts w:cs="Arial"/>
        </w:rPr>
        <w:t xml:space="preserve"> qui conditionne la valeur diagnostique des examens paracliniques et donc la conclusion posée à l’issue de la stratégie diagnostique. </w:t>
      </w:r>
    </w:p>
    <w:p w14:paraId="5E8D8F4A" w14:textId="77777777" w:rsidR="00A35784" w:rsidRPr="00B62D23" w:rsidRDefault="00A35784" w:rsidP="003720F8">
      <w:pPr>
        <w:spacing w:line="276" w:lineRule="auto"/>
        <w:rPr>
          <w:rFonts w:cs="Arial"/>
        </w:rPr>
      </w:pPr>
    </w:p>
    <w:p w14:paraId="77BEE764" w14:textId="77777777" w:rsidR="00A35784" w:rsidRPr="00B62D23" w:rsidRDefault="00A35784" w:rsidP="003720F8">
      <w:pPr>
        <w:spacing w:line="276" w:lineRule="auto"/>
        <w:rPr>
          <w:rFonts w:cs="Arial"/>
        </w:rPr>
      </w:pPr>
      <w:r w:rsidRPr="00B62D23">
        <w:rPr>
          <w:rFonts w:cs="Arial"/>
        </w:rPr>
        <w:t xml:space="preserve">On définit </w:t>
      </w:r>
      <w:r w:rsidRPr="00B62D23">
        <w:rPr>
          <w:rFonts w:cs="Arial"/>
          <w:b/>
        </w:rPr>
        <w:t>3 classes de probabilité clinique </w:t>
      </w:r>
      <w:r w:rsidRPr="00B62D23">
        <w:rPr>
          <w:rFonts w:cs="Arial"/>
        </w:rPr>
        <w:t>:</w:t>
      </w:r>
    </w:p>
    <w:p w14:paraId="71BFDB8A" w14:textId="77777777" w:rsidR="00A35784" w:rsidRPr="00B62D23" w:rsidRDefault="00A35784" w:rsidP="003720F8">
      <w:pPr>
        <w:widowControl w:val="0"/>
        <w:spacing w:line="276" w:lineRule="auto"/>
        <w:rPr>
          <w:rFonts w:cs="Arial"/>
        </w:rPr>
      </w:pPr>
      <w:r w:rsidRPr="00B62D23">
        <w:rPr>
          <w:rFonts w:cs="Arial"/>
        </w:rPr>
        <w:t>- PC faible</w:t>
      </w:r>
      <w:r w:rsidRPr="00B62D23">
        <w:rPr>
          <w:rFonts w:cs="Arial"/>
        </w:rPr>
        <w:tab/>
      </w:r>
      <w:r w:rsidRPr="00B62D23">
        <w:rPr>
          <w:rFonts w:cs="Arial"/>
        </w:rPr>
        <w:tab/>
      </w:r>
      <w:r w:rsidRPr="00B62D23">
        <w:rPr>
          <w:rFonts w:cs="Arial"/>
        </w:rPr>
        <w:sym w:font="Wingdings" w:char="F0E8"/>
      </w:r>
      <w:r w:rsidRPr="00B62D23">
        <w:rPr>
          <w:rFonts w:cs="Arial"/>
        </w:rPr>
        <w:tab/>
        <w:t>prévalence de l’EP &lt; 10 %.</w:t>
      </w:r>
    </w:p>
    <w:p w14:paraId="685632D8" w14:textId="77777777" w:rsidR="00A35784" w:rsidRPr="00B62D23" w:rsidRDefault="00A35784" w:rsidP="003720F8">
      <w:pPr>
        <w:widowControl w:val="0"/>
        <w:spacing w:line="276" w:lineRule="auto"/>
        <w:rPr>
          <w:rFonts w:cs="Arial"/>
        </w:rPr>
      </w:pPr>
      <w:r w:rsidRPr="00B62D23">
        <w:rPr>
          <w:rFonts w:cs="Arial"/>
        </w:rPr>
        <w:t>- PC intermédiaire</w:t>
      </w:r>
      <w:r w:rsidRPr="00B62D23">
        <w:rPr>
          <w:rFonts w:cs="Arial"/>
        </w:rPr>
        <w:tab/>
      </w:r>
      <w:r w:rsidRPr="00B62D23">
        <w:rPr>
          <w:rFonts w:cs="Arial"/>
        </w:rPr>
        <w:sym w:font="Wingdings" w:char="F0E8"/>
      </w:r>
      <w:r w:rsidRPr="00B62D23">
        <w:rPr>
          <w:rFonts w:cs="Arial"/>
        </w:rPr>
        <w:tab/>
        <w:t>prévalence de l’EP 30 à 40 %.</w:t>
      </w:r>
    </w:p>
    <w:p w14:paraId="4DE97018" w14:textId="77777777" w:rsidR="00A35784" w:rsidRPr="00B62D23" w:rsidRDefault="00A35784" w:rsidP="003720F8">
      <w:pPr>
        <w:widowControl w:val="0"/>
        <w:spacing w:line="276" w:lineRule="auto"/>
        <w:rPr>
          <w:rFonts w:cs="Arial"/>
        </w:rPr>
      </w:pPr>
      <w:r w:rsidRPr="00B62D23">
        <w:rPr>
          <w:rFonts w:cs="Arial"/>
        </w:rPr>
        <w:t>- PC forte</w:t>
      </w:r>
      <w:r w:rsidRPr="00B62D23">
        <w:rPr>
          <w:rFonts w:cs="Arial"/>
        </w:rPr>
        <w:tab/>
      </w:r>
      <w:r w:rsidRPr="00B62D23">
        <w:rPr>
          <w:rFonts w:cs="Arial"/>
        </w:rPr>
        <w:tab/>
      </w:r>
      <w:r w:rsidRPr="00B62D23">
        <w:rPr>
          <w:rFonts w:cs="Arial"/>
        </w:rPr>
        <w:sym w:font="Wingdings" w:char="F0E8"/>
      </w:r>
      <w:r w:rsidRPr="00B62D23">
        <w:rPr>
          <w:rFonts w:cs="Arial"/>
        </w:rPr>
        <w:tab/>
        <w:t>prévalence de l’EP &gt; 70 %.</w:t>
      </w:r>
    </w:p>
    <w:p w14:paraId="0F7E2A94" w14:textId="77777777" w:rsidR="00A35784" w:rsidRPr="00B62D23" w:rsidRDefault="00A35784" w:rsidP="003720F8">
      <w:pPr>
        <w:spacing w:line="276" w:lineRule="auto"/>
        <w:rPr>
          <w:rFonts w:cs="Arial"/>
        </w:rPr>
      </w:pPr>
    </w:p>
    <w:p w14:paraId="76342BC8" w14:textId="77777777" w:rsidR="00A35784" w:rsidRPr="00B62D23" w:rsidRDefault="00A35784" w:rsidP="003720F8">
      <w:pPr>
        <w:spacing w:line="276" w:lineRule="auto"/>
        <w:rPr>
          <w:rFonts w:cs="Arial"/>
        </w:rPr>
      </w:pPr>
      <w:r w:rsidRPr="00B62D23">
        <w:rPr>
          <w:rFonts w:cs="Arial"/>
        </w:rPr>
        <w:t xml:space="preserve">La PC est évaluée au moyen de 2 types de scores, tous aussi performants : </w:t>
      </w:r>
    </w:p>
    <w:p w14:paraId="4A808474" w14:textId="77777777" w:rsidR="00A35784" w:rsidRPr="00B62D23" w:rsidRDefault="00A35784" w:rsidP="003720F8">
      <w:pPr>
        <w:spacing w:line="276" w:lineRule="auto"/>
        <w:rPr>
          <w:rFonts w:cs="Arial"/>
        </w:rPr>
      </w:pPr>
      <w:r w:rsidRPr="00B62D23">
        <w:rPr>
          <w:rFonts w:cs="Arial"/>
          <w:bCs/>
        </w:rPr>
        <w:t xml:space="preserve">- </w:t>
      </w:r>
      <w:r w:rsidRPr="00B62D23">
        <w:rPr>
          <w:rFonts w:cs="Arial"/>
          <w:b/>
          <w:u w:val="single"/>
        </w:rPr>
        <w:t>Score implicite</w:t>
      </w:r>
      <w:r w:rsidRPr="00B62D23">
        <w:rPr>
          <w:rFonts w:cs="Arial"/>
          <w:b/>
        </w:rPr>
        <w:t xml:space="preserve"> (probabilité empirique) </w:t>
      </w:r>
      <w:r w:rsidRPr="00B62D23">
        <w:rPr>
          <w:rFonts w:cs="Arial"/>
        </w:rPr>
        <w:t>(1 point = probabilité faible</w:t>
      </w:r>
      <w:r w:rsidRPr="00B62D23">
        <w:rPr>
          <w:rFonts w:ascii="Arial" w:hAnsi="Arial" w:cs="Arial"/>
        </w:rPr>
        <w:t> </w:t>
      </w:r>
      <w:r w:rsidRPr="00B62D23">
        <w:rPr>
          <w:rFonts w:cs="Arial"/>
        </w:rPr>
        <w:t>; 2 points = probabilité intermédiaire</w:t>
      </w:r>
      <w:r w:rsidRPr="00B62D23">
        <w:rPr>
          <w:rFonts w:ascii="Arial" w:hAnsi="Arial" w:cs="Arial"/>
        </w:rPr>
        <w:t> </w:t>
      </w:r>
      <w:r w:rsidRPr="00B62D23">
        <w:rPr>
          <w:rFonts w:cs="Arial"/>
        </w:rPr>
        <w:t>; 3 points = probabilité forte) :</w:t>
      </w:r>
    </w:p>
    <w:p w14:paraId="3F662617" w14:textId="77777777" w:rsidR="00A35784" w:rsidRPr="00B62D23" w:rsidRDefault="00A35784">
      <w:pPr>
        <w:pStyle w:val="Paragraphedeliste"/>
        <w:numPr>
          <w:ilvl w:val="0"/>
          <w:numId w:val="13"/>
        </w:numPr>
        <w:spacing w:line="276" w:lineRule="auto"/>
        <w:ind w:left="284" w:hanging="142"/>
        <w:rPr>
          <w:rFonts w:cs="Arial"/>
        </w:rPr>
      </w:pPr>
      <w:r w:rsidRPr="00B62D23">
        <w:rPr>
          <w:rFonts w:cs="Arial"/>
        </w:rPr>
        <w:t>Signes cliniques évocateurs d’EP (+ 1 point).</w:t>
      </w:r>
    </w:p>
    <w:p w14:paraId="4CD012ED" w14:textId="3E4BD57F" w:rsidR="00A35784" w:rsidRPr="00B62D23" w:rsidRDefault="00A35784">
      <w:pPr>
        <w:pStyle w:val="Paragraphedeliste"/>
        <w:numPr>
          <w:ilvl w:val="0"/>
          <w:numId w:val="13"/>
        </w:numPr>
        <w:spacing w:line="276" w:lineRule="auto"/>
        <w:ind w:left="284" w:hanging="142"/>
        <w:rPr>
          <w:rFonts w:cs="Arial"/>
        </w:rPr>
      </w:pPr>
      <w:r w:rsidRPr="00B62D23">
        <w:rPr>
          <w:rFonts w:cs="Arial"/>
        </w:rPr>
        <w:t xml:space="preserve">Un ou des facteurs de risque de </w:t>
      </w:r>
      <w:r w:rsidR="0026545F">
        <w:rPr>
          <w:rFonts w:cs="Arial"/>
        </w:rPr>
        <w:t>MTEV</w:t>
      </w:r>
      <w:r w:rsidRPr="00B62D23">
        <w:rPr>
          <w:rFonts w:cs="Arial"/>
        </w:rPr>
        <w:t xml:space="preserve"> (+ 1 point).</w:t>
      </w:r>
    </w:p>
    <w:p w14:paraId="6572EE61" w14:textId="77777777" w:rsidR="00A35784" w:rsidRPr="00B62D23" w:rsidRDefault="00A35784">
      <w:pPr>
        <w:pStyle w:val="Paragraphedeliste"/>
        <w:numPr>
          <w:ilvl w:val="0"/>
          <w:numId w:val="13"/>
        </w:numPr>
        <w:spacing w:line="276" w:lineRule="auto"/>
        <w:ind w:left="284" w:hanging="142"/>
        <w:rPr>
          <w:rFonts w:cs="Arial"/>
        </w:rPr>
      </w:pPr>
      <w:r w:rsidRPr="00B62D23">
        <w:rPr>
          <w:rFonts w:cs="Arial"/>
        </w:rPr>
        <w:t>Absence de diagnostic alternatif (+ 1 point).</w:t>
      </w:r>
    </w:p>
    <w:p w14:paraId="052FE8BE" w14:textId="77777777" w:rsidR="00A35784" w:rsidRPr="00B62D23" w:rsidRDefault="00A35784" w:rsidP="003720F8">
      <w:pPr>
        <w:spacing w:line="276" w:lineRule="auto"/>
        <w:ind w:left="708"/>
        <w:rPr>
          <w:rFonts w:cs="Arial"/>
        </w:rPr>
      </w:pPr>
    </w:p>
    <w:p w14:paraId="1A006AE9" w14:textId="3C57AC61" w:rsidR="00A35784" w:rsidRPr="00B62D23" w:rsidRDefault="00A35784" w:rsidP="003720F8">
      <w:pPr>
        <w:spacing w:line="276" w:lineRule="auto"/>
        <w:rPr>
          <w:rFonts w:cs="Arial"/>
        </w:rPr>
      </w:pPr>
      <w:r w:rsidRPr="00B62D23">
        <w:rPr>
          <w:rFonts w:cs="Arial"/>
          <w:bCs/>
        </w:rPr>
        <w:t xml:space="preserve">- </w:t>
      </w:r>
      <w:r w:rsidRPr="00B62D23">
        <w:rPr>
          <w:rFonts w:cs="Arial"/>
          <w:b/>
          <w:u w:val="single"/>
        </w:rPr>
        <w:t>Scores explicites validés</w:t>
      </w:r>
      <w:r w:rsidRPr="00B62D23">
        <w:rPr>
          <w:rFonts w:cs="Arial"/>
          <w:b/>
        </w:rPr>
        <w:t> </w:t>
      </w:r>
      <w:r w:rsidRPr="00B62D23">
        <w:rPr>
          <w:rFonts w:cs="Arial"/>
        </w:rPr>
        <w:t>: tableau 2</w:t>
      </w:r>
    </w:p>
    <w:p w14:paraId="2F7B7231" w14:textId="77777777" w:rsidR="00197D58" w:rsidRDefault="00197D58" w:rsidP="003720F8">
      <w:pPr>
        <w:spacing w:line="276" w:lineRule="auto"/>
        <w:rPr>
          <w:rFonts w:cs="Arial"/>
          <w:sz w:val="18"/>
          <w:szCs w:val="18"/>
        </w:rPr>
      </w:pPr>
    </w:p>
    <w:p w14:paraId="008147C8" w14:textId="77777777" w:rsidR="00197D58" w:rsidRDefault="00197D58" w:rsidP="003720F8">
      <w:pPr>
        <w:spacing w:line="276" w:lineRule="auto"/>
        <w:rPr>
          <w:rFonts w:cs="Arial"/>
          <w:sz w:val="18"/>
          <w:szCs w:val="18"/>
        </w:rPr>
      </w:pPr>
    </w:p>
    <w:p w14:paraId="5077632C" w14:textId="477D2FD1" w:rsidR="00A35784" w:rsidRPr="002022B2" w:rsidRDefault="00197D58" w:rsidP="00197D58">
      <w:pPr>
        <w:spacing w:after="160"/>
        <w:jc w:val="left"/>
        <w:rPr>
          <w:rFonts w:cs="Arial"/>
          <w:sz w:val="18"/>
          <w:szCs w:val="18"/>
        </w:rPr>
      </w:pPr>
      <w:r>
        <w:rPr>
          <w:rFonts w:cs="Arial"/>
          <w:sz w:val="18"/>
          <w:szCs w:val="18"/>
        </w:rPr>
        <w:lastRenderedPageBreak/>
        <w:br w:type="page"/>
      </w:r>
    </w:p>
    <w:p w14:paraId="1D1234BA" w14:textId="28A03BD8" w:rsidR="00A35784" w:rsidRPr="00FD32E7" w:rsidRDefault="00197D58" w:rsidP="003720F8">
      <w:pPr>
        <w:pStyle w:val="lgende"/>
      </w:pPr>
      <w:r w:rsidRPr="00313EF7">
        <w:rPr>
          <w:iCs/>
          <w:noProof/>
          <w:color w:val="000000" w:themeColor="text1"/>
          <w:sz w:val="28"/>
          <w:szCs w:val="28"/>
        </w:rPr>
        <w:lastRenderedPageBreak/>
        <w:drawing>
          <wp:anchor distT="0" distB="0" distL="114300" distR="114300" simplePos="0" relativeHeight="251806720" behindDoc="0" locked="0" layoutInCell="1" allowOverlap="1" wp14:anchorId="26249BEC" wp14:editId="2AFFADF0">
            <wp:simplePos x="0" y="0"/>
            <wp:positionH relativeFrom="leftMargin">
              <wp:posOffset>465667</wp:posOffset>
            </wp:positionH>
            <wp:positionV relativeFrom="paragraph">
              <wp:posOffset>7620</wp:posOffset>
            </wp:positionV>
            <wp:extent cx="153670" cy="137160"/>
            <wp:effectExtent l="0" t="0" r="0" b="0"/>
            <wp:wrapThrough wrapText="bothSides">
              <wp:wrapPolygon edited="0">
                <wp:start x="0" y="0"/>
                <wp:lineTo x="0" y="18000"/>
                <wp:lineTo x="18744" y="18000"/>
                <wp:lineTo x="18744" y="0"/>
                <wp:lineTo x="0" y="0"/>
              </wp:wrapPolygon>
            </wp:wrapThrough>
            <wp:docPr id="18084418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00A35784" w:rsidRPr="00A35784">
        <w:rPr>
          <w:color w:val="0070C0"/>
        </w:rPr>
        <w:t xml:space="preserve">Tableau 2 : Scores de probabilité clinique d’EP (= probabilité pré-test). </w:t>
      </w:r>
    </w:p>
    <w:tbl>
      <w:tblPr>
        <w:tblStyle w:val="Grille1"/>
        <w:tblW w:w="5000" w:type="pct"/>
        <w:jc w:val="center"/>
        <w:tblLayout w:type="fixed"/>
        <w:tblLook w:val="04A0" w:firstRow="1" w:lastRow="0" w:firstColumn="1" w:lastColumn="0" w:noHBand="0" w:noVBand="1"/>
      </w:tblPr>
      <w:tblGrid>
        <w:gridCol w:w="3619"/>
        <w:gridCol w:w="651"/>
        <w:gridCol w:w="395"/>
        <w:gridCol w:w="3748"/>
        <w:gridCol w:w="649"/>
      </w:tblGrid>
      <w:tr w:rsidR="00A35784" w:rsidRPr="00B62D23" w14:paraId="5816C5BF" w14:textId="77777777" w:rsidTr="00D373BC">
        <w:trPr>
          <w:jc w:val="center"/>
        </w:trPr>
        <w:tc>
          <w:tcPr>
            <w:tcW w:w="1997" w:type="pct"/>
            <w:tcBorders>
              <w:top w:val="single" w:sz="4" w:space="0" w:color="0070C0"/>
              <w:left w:val="single" w:sz="4" w:space="0" w:color="0070C0"/>
              <w:bottom w:val="single" w:sz="4" w:space="0" w:color="0070C0"/>
              <w:right w:val="single" w:sz="4" w:space="0" w:color="0070C0"/>
            </w:tcBorders>
            <w:shd w:val="clear" w:color="auto" w:fill="D1D1D1" w:themeFill="background2" w:themeFillShade="E6"/>
          </w:tcPr>
          <w:p w14:paraId="5E7D935E" w14:textId="77777777" w:rsidR="00A35784" w:rsidRPr="00B62D23" w:rsidRDefault="00A35784" w:rsidP="003720F8">
            <w:pPr>
              <w:widowControl w:val="0"/>
              <w:autoSpaceDE w:val="0"/>
              <w:autoSpaceDN w:val="0"/>
              <w:adjustRightInd w:val="0"/>
              <w:spacing w:line="276" w:lineRule="auto"/>
              <w:jc w:val="center"/>
              <w:rPr>
                <w:rFonts w:ascii="Calibri" w:hAnsi="Calibri" w:cs="Calibri"/>
                <w:b/>
                <w:bCs/>
                <w:color w:val="000000" w:themeColor="text1"/>
              </w:rPr>
            </w:pPr>
            <w:r w:rsidRPr="00B62D23">
              <w:rPr>
                <w:rFonts w:ascii="Calibri" w:hAnsi="Calibri" w:cs="Calibri"/>
                <w:b/>
                <w:bCs/>
                <w:color w:val="000000" w:themeColor="text1"/>
              </w:rPr>
              <w:t>Score de WELLS*</w:t>
            </w:r>
          </w:p>
        </w:tc>
        <w:tc>
          <w:tcPr>
            <w:tcW w:w="359" w:type="pct"/>
            <w:tcBorders>
              <w:top w:val="single" w:sz="4" w:space="0" w:color="0070C0"/>
              <w:left w:val="single" w:sz="4" w:space="0" w:color="0070C0"/>
              <w:bottom w:val="single" w:sz="4" w:space="0" w:color="0070C0"/>
              <w:right w:val="single" w:sz="4" w:space="0" w:color="0070C0"/>
            </w:tcBorders>
            <w:shd w:val="clear" w:color="auto" w:fill="D1D1D1" w:themeFill="background2" w:themeFillShade="E6"/>
          </w:tcPr>
          <w:p w14:paraId="128B6826" w14:textId="77777777" w:rsidR="00A35784" w:rsidRPr="00B62D23" w:rsidRDefault="00A35784" w:rsidP="003720F8">
            <w:pPr>
              <w:spacing w:line="276" w:lineRule="auto"/>
              <w:jc w:val="center"/>
              <w:rPr>
                <w:rFonts w:ascii="Calibri" w:eastAsia="MingLiU" w:hAnsi="Calibri" w:cs="Calibri"/>
                <w:b/>
                <w:color w:val="FFFFFF" w:themeColor="background1"/>
              </w:rPr>
            </w:pPr>
          </w:p>
        </w:tc>
        <w:tc>
          <w:tcPr>
            <w:tcW w:w="218" w:type="pct"/>
            <w:tcBorders>
              <w:top w:val="nil"/>
              <w:left w:val="single" w:sz="4" w:space="0" w:color="0070C0"/>
              <w:bottom w:val="nil"/>
              <w:right w:val="single" w:sz="4" w:space="0" w:color="0070C0"/>
            </w:tcBorders>
          </w:tcPr>
          <w:p w14:paraId="09273BF8" w14:textId="77777777" w:rsidR="00A35784" w:rsidRPr="00B62D23" w:rsidRDefault="00A35784" w:rsidP="003720F8">
            <w:pPr>
              <w:widowControl w:val="0"/>
              <w:autoSpaceDE w:val="0"/>
              <w:autoSpaceDN w:val="0"/>
              <w:adjustRightInd w:val="0"/>
              <w:spacing w:line="276" w:lineRule="auto"/>
              <w:jc w:val="center"/>
              <w:rPr>
                <w:rFonts w:ascii="Calibri" w:hAnsi="Calibri" w:cs="Calibri"/>
                <w:b/>
              </w:rPr>
            </w:pPr>
          </w:p>
        </w:tc>
        <w:tc>
          <w:tcPr>
            <w:tcW w:w="2068" w:type="pct"/>
            <w:tcBorders>
              <w:top w:val="single" w:sz="4" w:space="0" w:color="0070C0"/>
              <w:left w:val="single" w:sz="4" w:space="0" w:color="0070C0"/>
              <w:bottom w:val="single" w:sz="4" w:space="0" w:color="0070C0"/>
              <w:right w:val="single" w:sz="4" w:space="0" w:color="0070C0"/>
            </w:tcBorders>
            <w:shd w:val="clear" w:color="auto" w:fill="D1D1D1" w:themeFill="background2" w:themeFillShade="E6"/>
            <w:vAlign w:val="center"/>
          </w:tcPr>
          <w:p w14:paraId="41345B7B" w14:textId="77777777" w:rsidR="00A35784" w:rsidRPr="00B62D23" w:rsidRDefault="00A35784" w:rsidP="003720F8">
            <w:pPr>
              <w:widowControl w:val="0"/>
              <w:autoSpaceDE w:val="0"/>
              <w:autoSpaceDN w:val="0"/>
              <w:adjustRightInd w:val="0"/>
              <w:spacing w:line="276" w:lineRule="auto"/>
              <w:jc w:val="center"/>
              <w:rPr>
                <w:rFonts w:ascii="Calibri" w:hAnsi="Calibri" w:cs="Calibri"/>
                <w:b/>
                <w:color w:val="000000" w:themeColor="text1"/>
              </w:rPr>
            </w:pPr>
            <w:r w:rsidRPr="00B62D23">
              <w:rPr>
                <w:rFonts w:ascii="Calibri" w:hAnsi="Calibri" w:cs="Calibri"/>
                <w:b/>
                <w:color w:val="000000" w:themeColor="text1"/>
              </w:rPr>
              <w:t>Score modifié simplifié de GENÈVE*</w:t>
            </w:r>
          </w:p>
        </w:tc>
        <w:tc>
          <w:tcPr>
            <w:tcW w:w="358" w:type="pct"/>
            <w:tcBorders>
              <w:top w:val="single" w:sz="4" w:space="0" w:color="0070C0"/>
              <w:left w:val="single" w:sz="4" w:space="0" w:color="0070C0"/>
              <w:bottom w:val="single" w:sz="4" w:space="0" w:color="0070C0"/>
              <w:right w:val="single" w:sz="4" w:space="0" w:color="0070C0"/>
            </w:tcBorders>
            <w:shd w:val="clear" w:color="auto" w:fill="D1D1D1" w:themeFill="background2" w:themeFillShade="E6"/>
            <w:vAlign w:val="center"/>
          </w:tcPr>
          <w:p w14:paraId="10A654FA" w14:textId="77777777" w:rsidR="00A35784" w:rsidRPr="00B62D23" w:rsidRDefault="00A35784" w:rsidP="003720F8">
            <w:pPr>
              <w:widowControl w:val="0"/>
              <w:autoSpaceDE w:val="0"/>
              <w:autoSpaceDN w:val="0"/>
              <w:adjustRightInd w:val="0"/>
              <w:spacing w:line="276" w:lineRule="auto"/>
              <w:jc w:val="center"/>
              <w:rPr>
                <w:rFonts w:ascii="Calibri" w:hAnsi="Calibri" w:cs="Calibri"/>
                <w:b/>
                <w:color w:val="FFFFFF" w:themeColor="background1"/>
              </w:rPr>
            </w:pPr>
          </w:p>
        </w:tc>
      </w:tr>
      <w:tr w:rsidR="00A35784" w:rsidRPr="00B62D23" w14:paraId="541B5E6B"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7CAD22CD" w14:textId="77777777" w:rsidR="00A35784" w:rsidRPr="00B62D23" w:rsidRDefault="00A35784" w:rsidP="003720F8">
            <w:pPr>
              <w:widowControl w:val="0"/>
              <w:autoSpaceDE w:val="0"/>
              <w:autoSpaceDN w:val="0"/>
              <w:adjustRightInd w:val="0"/>
              <w:spacing w:line="276" w:lineRule="auto"/>
              <w:rPr>
                <w:rFonts w:ascii="Calibri" w:hAnsi="Calibri" w:cs="Calibri"/>
                <w:b/>
                <w:bCs/>
                <w:u w:val="single"/>
              </w:rPr>
            </w:pPr>
          </w:p>
        </w:tc>
        <w:tc>
          <w:tcPr>
            <w:tcW w:w="359" w:type="pct"/>
            <w:tcBorders>
              <w:top w:val="single" w:sz="4" w:space="0" w:color="0070C0"/>
              <w:left w:val="single" w:sz="4" w:space="0" w:color="0070C0"/>
              <w:bottom w:val="single" w:sz="4" w:space="0" w:color="0070C0"/>
              <w:right w:val="single" w:sz="4" w:space="0" w:color="0070C0"/>
            </w:tcBorders>
          </w:tcPr>
          <w:p w14:paraId="191CFA53" w14:textId="77777777" w:rsidR="00A35784" w:rsidRPr="00B62D23" w:rsidRDefault="00A35784" w:rsidP="003720F8">
            <w:pPr>
              <w:spacing w:line="276" w:lineRule="auto"/>
              <w:rPr>
                <w:rFonts w:ascii="Calibri" w:eastAsia="MingLiU" w:hAnsi="Calibri" w:cs="Calibri"/>
              </w:rPr>
            </w:pPr>
          </w:p>
        </w:tc>
        <w:tc>
          <w:tcPr>
            <w:tcW w:w="218" w:type="pct"/>
            <w:tcBorders>
              <w:top w:val="nil"/>
              <w:left w:val="single" w:sz="4" w:space="0" w:color="0070C0"/>
              <w:bottom w:val="nil"/>
              <w:right w:val="single" w:sz="4" w:space="0" w:color="0070C0"/>
            </w:tcBorders>
          </w:tcPr>
          <w:p w14:paraId="07BC12B4"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552640FB"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&gt; 65 ans</w:t>
            </w:r>
          </w:p>
        </w:tc>
        <w:tc>
          <w:tcPr>
            <w:tcW w:w="358" w:type="pct"/>
            <w:tcBorders>
              <w:top w:val="single" w:sz="4" w:space="0" w:color="0070C0"/>
              <w:left w:val="single" w:sz="4" w:space="0" w:color="0070C0"/>
              <w:bottom w:val="single" w:sz="4" w:space="0" w:color="0070C0"/>
              <w:right w:val="single" w:sz="4" w:space="0" w:color="0070C0"/>
            </w:tcBorders>
            <w:vAlign w:val="center"/>
          </w:tcPr>
          <w:p w14:paraId="3797C2DD"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0789C4C1"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3902094F"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Antécédents personnels d’EP ou TVP</w:t>
            </w:r>
          </w:p>
        </w:tc>
        <w:tc>
          <w:tcPr>
            <w:tcW w:w="359" w:type="pct"/>
            <w:tcBorders>
              <w:top w:val="single" w:sz="4" w:space="0" w:color="0070C0"/>
              <w:left w:val="single" w:sz="4" w:space="0" w:color="0070C0"/>
              <w:bottom w:val="single" w:sz="4" w:space="0" w:color="0070C0"/>
              <w:right w:val="single" w:sz="4" w:space="0" w:color="0070C0"/>
            </w:tcBorders>
          </w:tcPr>
          <w:p w14:paraId="1E2BFEC2" w14:textId="77777777" w:rsidR="00A35784" w:rsidRPr="00B62D23" w:rsidRDefault="00A35784" w:rsidP="003720F8">
            <w:pPr>
              <w:spacing w:line="276" w:lineRule="auto"/>
              <w:jc w:val="center"/>
              <w:rPr>
                <w:rFonts w:ascii="Calibri" w:eastAsia="MingLiU" w:hAnsi="Calibri" w:cs="Calibri"/>
                <w:color w:val="0070C0"/>
              </w:rPr>
            </w:pPr>
            <w:r w:rsidRPr="00B62D23">
              <w:rPr>
                <w:rFonts w:ascii="Calibri" w:hAnsi="Calibri" w:cs="Calibri"/>
                <w:bCs/>
                <w:color w:val="0070C0"/>
                <w:lang w:val="en-GB"/>
              </w:rPr>
              <w:t>+ 1,5</w:t>
            </w:r>
          </w:p>
        </w:tc>
        <w:tc>
          <w:tcPr>
            <w:tcW w:w="218" w:type="pct"/>
            <w:tcBorders>
              <w:top w:val="nil"/>
              <w:left w:val="single" w:sz="4" w:space="0" w:color="0070C0"/>
              <w:bottom w:val="nil"/>
              <w:right w:val="single" w:sz="4" w:space="0" w:color="0070C0"/>
            </w:tcBorders>
          </w:tcPr>
          <w:p w14:paraId="18D910E6"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5A6A18C7"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Antécédent personnel d’EP ou TVP</w:t>
            </w:r>
          </w:p>
        </w:tc>
        <w:tc>
          <w:tcPr>
            <w:tcW w:w="358" w:type="pct"/>
            <w:tcBorders>
              <w:top w:val="single" w:sz="4" w:space="0" w:color="0070C0"/>
              <w:left w:val="single" w:sz="4" w:space="0" w:color="0070C0"/>
              <w:bottom w:val="single" w:sz="4" w:space="0" w:color="0070C0"/>
              <w:right w:val="single" w:sz="4" w:space="0" w:color="0070C0"/>
            </w:tcBorders>
          </w:tcPr>
          <w:p w14:paraId="3345603D"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3E108E68"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4B4DC341"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Chirurgie ou immobilisation &lt;4 semaines</w:t>
            </w:r>
          </w:p>
        </w:tc>
        <w:tc>
          <w:tcPr>
            <w:tcW w:w="359" w:type="pct"/>
            <w:tcBorders>
              <w:top w:val="single" w:sz="4" w:space="0" w:color="0070C0"/>
              <w:left w:val="single" w:sz="4" w:space="0" w:color="0070C0"/>
              <w:bottom w:val="single" w:sz="4" w:space="0" w:color="0070C0"/>
              <w:right w:val="single" w:sz="4" w:space="0" w:color="0070C0"/>
            </w:tcBorders>
          </w:tcPr>
          <w:p w14:paraId="014875B9" w14:textId="77777777" w:rsidR="00A35784" w:rsidRPr="00B62D23" w:rsidRDefault="00A35784" w:rsidP="003720F8">
            <w:pPr>
              <w:spacing w:line="276" w:lineRule="auto"/>
              <w:jc w:val="center"/>
              <w:rPr>
                <w:rFonts w:ascii="Calibri" w:eastAsia="MingLiU" w:hAnsi="Calibri" w:cs="Calibri"/>
                <w:color w:val="0070C0"/>
              </w:rPr>
            </w:pPr>
            <w:r w:rsidRPr="00B62D23">
              <w:rPr>
                <w:rFonts w:ascii="Calibri" w:hAnsi="Calibri" w:cs="Calibri"/>
                <w:bCs/>
                <w:color w:val="0070C0"/>
              </w:rPr>
              <w:t>+ 1,5</w:t>
            </w:r>
          </w:p>
        </w:tc>
        <w:tc>
          <w:tcPr>
            <w:tcW w:w="218" w:type="pct"/>
            <w:tcBorders>
              <w:top w:val="nil"/>
              <w:left w:val="single" w:sz="4" w:space="0" w:color="0070C0"/>
              <w:bottom w:val="nil"/>
              <w:right w:val="single" w:sz="4" w:space="0" w:color="0070C0"/>
            </w:tcBorders>
          </w:tcPr>
          <w:p w14:paraId="53D8FD44"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46790959"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Chirurgie ou immobilisation</w:t>
            </w:r>
          </w:p>
        </w:tc>
        <w:tc>
          <w:tcPr>
            <w:tcW w:w="358" w:type="pct"/>
            <w:tcBorders>
              <w:top w:val="single" w:sz="4" w:space="0" w:color="0070C0"/>
              <w:left w:val="single" w:sz="4" w:space="0" w:color="0070C0"/>
              <w:bottom w:val="single" w:sz="4" w:space="0" w:color="0070C0"/>
              <w:right w:val="single" w:sz="4" w:space="0" w:color="0070C0"/>
            </w:tcBorders>
          </w:tcPr>
          <w:p w14:paraId="2C687300"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5BE3C73E"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1C340998"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Cancer actif</w:t>
            </w:r>
          </w:p>
        </w:tc>
        <w:tc>
          <w:tcPr>
            <w:tcW w:w="359" w:type="pct"/>
            <w:tcBorders>
              <w:top w:val="single" w:sz="4" w:space="0" w:color="0070C0"/>
              <w:left w:val="single" w:sz="4" w:space="0" w:color="0070C0"/>
              <w:bottom w:val="single" w:sz="4" w:space="0" w:color="0070C0"/>
              <w:right w:val="single" w:sz="4" w:space="0" w:color="0070C0"/>
            </w:tcBorders>
          </w:tcPr>
          <w:p w14:paraId="1360CF95" w14:textId="77777777" w:rsidR="00A35784" w:rsidRPr="00B62D23" w:rsidRDefault="00A35784" w:rsidP="003720F8">
            <w:pPr>
              <w:spacing w:line="276" w:lineRule="auto"/>
              <w:jc w:val="center"/>
              <w:rPr>
                <w:rFonts w:ascii="Calibri" w:eastAsia="MingLiU" w:hAnsi="Calibri" w:cs="Calibri"/>
                <w:color w:val="0070C0"/>
              </w:rPr>
            </w:pPr>
            <w:r w:rsidRPr="00B62D23">
              <w:rPr>
                <w:rFonts w:ascii="Calibri" w:hAnsi="Calibri" w:cs="Calibri"/>
                <w:bCs/>
                <w:color w:val="0070C0"/>
              </w:rPr>
              <w:t>+ 1</w:t>
            </w:r>
          </w:p>
        </w:tc>
        <w:tc>
          <w:tcPr>
            <w:tcW w:w="218" w:type="pct"/>
            <w:tcBorders>
              <w:top w:val="nil"/>
              <w:left w:val="single" w:sz="4" w:space="0" w:color="0070C0"/>
              <w:bottom w:val="nil"/>
              <w:right w:val="single" w:sz="4" w:space="0" w:color="0070C0"/>
            </w:tcBorders>
          </w:tcPr>
          <w:p w14:paraId="040845EC"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4C6F2A74"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Cancer actif</w:t>
            </w:r>
          </w:p>
        </w:tc>
        <w:tc>
          <w:tcPr>
            <w:tcW w:w="358" w:type="pct"/>
            <w:tcBorders>
              <w:top w:val="single" w:sz="4" w:space="0" w:color="0070C0"/>
              <w:left w:val="single" w:sz="4" w:space="0" w:color="0070C0"/>
              <w:bottom w:val="single" w:sz="4" w:space="0" w:color="0070C0"/>
              <w:right w:val="single" w:sz="4" w:space="0" w:color="0070C0"/>
            </w:tcBorders>
          </w:tcPr>
          <w:p w14:paraId="5FBC7510"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2B7D9626"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4C5F8CF5"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Hémoptysie</w:t>
            </w:r>
          </w:p>
        </w:tc>
        <w:tc>
          <w:tcPr>
            <w:tcW w:w="359" w:type="pct"/>
            <w:tcBorders>
              <w:top w:val="single" w:sz="4" w:space="0" w:color="0070C0"/>
              <w:left w:val="single" w:sz="4" w:space="0" w:color="0070C0"/>
              <w:bottom w:val="single" w:sz="4" w:space="0" w:color="0070C0"/>
              <w:right w:val="single" w:sz="4" w:space="0" w:color="0070C0"/>
            </w:tcBorders>
          </w:tcPr>
          <w:p w14:paraId="08AF8161" w14:textId="77777777" w:rsidR="00A35784" w:rsidRPr="00B62D23" w:rsidRDefault="00A35784" w:rsidP="003720F8">
            <w:pPr>
              <w:spacing w:line="276" w:lineRule="auto"/>
              <w:jc w:val="center"/>
              <w:rPr>
                <w:rFonts w:ascii="Calibri" w:eastAsia="MingLiU" w:hAnsi="Calibri" w:cs="Calibri"/>
                <w:color w:val="0070C0"/>
              </w:rPr>
            </w:pPr>
            <w:r w:rsidRPr="00B62D23">
              <w:rPr>
                <w:rFonts w:ascii="Calibri" w:eastAsia="MingLiU" w:hAnsi="Calibri" w:cs="Calibri"/>
                <w:color w:val="0070C0"/>
              </w:rPr>
              <w:t>+ 1</w:t>
            </w:r>
          </w:p>
        </w:tc>
        <w:tc>
          <w:tcPr>
            <w:tcW w:w="218" w:type="pct"/>
            <w:tcBorders>
              <w:top w:val="nil"/>
              <w:left w:val="single" w:sz="4" w:space="0" w:color="0070C0"/>
              <w:bottom w:val="nil"/>
              <w:right w:val="single" w:sz="4" w:space="0" w:color="0070C0"/>
            </w:tcBorders>
          </w:tcPr>
          <w:p w14:paraId="500308B4"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1F71D083"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Hémoptysie</w:t>
            </w:r>
          </w:p>
        </w:tc>
        <w:tc>
          <w:tcPr>
            <w:tcW w:w="358" w:type="pct"/>
            <w:tcBorders>
              <w:top w:val="single" w:sz="4" w:space="0" w:color="0070C0"/>
              <w:left w:val="single" w:sz="4" w:space="0" w:color="0070C0"/>
              <w:bottom w:val="single" w:sz="4" w:space="0" w:color="0070C0"/>
              <w:right w:val="single" w:sz="4" w:space="0" w:color="0070C0"/>
            </w:tcBorders>
          </w:tcPr>
          <w:p w14:paraId="6C58F360"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24CCC7DC"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0BF5F56B"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p>
        </w:tc>
        <w:tc>
          <w:tcPr>
            <w:tcW w:w="359" w:type="pct"/>
            <w:tcBorders>
              <w:top w:val="single" w:sz="4" w:space="0" w:color="0070C0"/>
              <w:left w:val="single" w:sz="4" w:space="0" w:color="0070C0"/>
              <w:bottom w:val="single" w:sz="4" w:space="0" w:color="0070C0"/>
              <w:right w:val="single" w:sz="4" w:space="0" w:color="0070C0"/>
            </w:tcBorders>
          </w:tcPr>
          <w:p w14:paraId="75D4B387" w14:textId="77777777" w:rsidR="00A35784" w:rsidRPr="00B62D23" w:rsidRDefault="00A35784" w:rsidP="003720F8">
            <w:pPr>
              <w:spacing w:line="276" w:lineRule="auto"/>
              <w:jc w:val="center"/>
              <w:rPr>
                <w:rFonts w:ascii="Calibri" w:hAnsi="Calibri" w:cs="Calibri"/>
                <w:color w:val="0070C0"/>
              </w:rPr>
            </w:pPr>
          </w:p>
        </w:tc>
        <w:tc>
          <w:tcPr>
            <w:tcW w:w="218" w:type="pct"/>
            <w:tcBorders>
              <w:top w:val="nil"/>
              <w:left w:val="single" w:sz="4" w:space="0" w:color="0070C0"/>
              <w:bottom w:val="nil"/>
              <w:right w:val="single" w:sz="4" w:space="0" w:color="0070C0"/>
            </w:tcBorders>
          </w:tcPr>
          <w:p w14:paraId="7BF841F1" w14:textId="77777777" w:rsidR="00A35784" w:rsidRPr="00B62D23" w:rsidRDefault="00A35784" w:rsidP="003720F8">
            <w:pPr>
              <w:widowControl w:val="0"/>
              <w:autoSpaceDE w:val="0"/>
              <w:autoSpaceDN w:val="0"/>
              <w:adjustRightInd w:val="0"/>
              <w:spacing w:line="276" w:lineRule="auto"/>
              <w:rPr>
                <w:rFonts w:ascii="Calibri" w:hAnsi="Calibri" w:cs="Calibri"/>
              </w:rPr>
            </w:pPr>
            <w:r w:rsidRPr="00B62D23">
              <w:rPr>
                <w:rFonts w:ascii="Calibri" w:hAnsi="Calibri" w:cs="Calibri"/>
              </w:rPr>
              <w:t xml:space="preserve">     </w:t>
            </w:r>
          </w:p>
        </w:tc>
        <w:tc>
          <w:tcPr>
            <w:tcW w:w="2068" w:type="pct"/>
            <w:tcBorders>
              <w:top w:val="single" w:sz="4" w:space="0" w:color="0070C0"/>
              <w:left w:val="single" w:sz="4" w:space="0" w:color="0070C0"/>
              <w:bottom w:val="single" w:sz="4" w:space="0" w:color="0070C0"/>
              <w:right w:val="single" w:sz="4" w:space="0" w:color="0070C0"/>
            </w:tcBorders>
            <w:vAlign w:val="center"/>
          </w:tcPr>
          <w:p w14:paraId="7E06BD26"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Douleur spontanée mollet</w:t>
            </w:r>
          </w:p>
        </w:tc>
        <w:tc>
          <w:tcPr>
            <w:tcW w:w="358" w:type="pct"/>
            <w:tcBorders>
              <w:top w:val="single" w:sz="4" w:space="0" w:color="0070C0"/>
              <w:left w:val="single" w:sz="4" w:space="0" w:color="0070C0"/>
              <w:bottom w:val="single" w:sz="4" w:space="0" w:color="0070C0"/>
              <w:right w:val="single" w:sz="4" w:space="0" w:color="0070C0"/>
            </w:tcBorders>
          </w:tcPr>
          <w:p w14:paraId="63934BB8"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7BB341F2"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5F1BF99E" w14:textId="77777777" w:rsidR="00A35784" w:rsidRPr="00B62D23" w:rsidRDefault="00A35784" w:rsidP="003720F8">
            <w:pPr>
              <w:spacing w:line="276" w:lineRule="auto"/>
              <w:rPr>
                <w:rFonts w:ascii="Calibri" w:hAnsi="Calibri" w:cs="Calibri"/>
                <w:color w:val="0070C0"/>
              </w:rPr>
            </w:pPr>
          </w:p>
        </w:tc>
        <w:tc>
          <w:tcPr>
            <w:tcW w:w="359" w:type="pct"/>
            <w:tcBorders>
              <w:top w:val="single" w:sz="4" w:space="0" w:color="0070C0"/>
              <w:left w:val="single" w:sz="4" w:space="0" w:color="0070C0"/>
              <w:bottom w:val="single" w:sz="4" w:space="0" w:color="0070C0"/>
              <w:right w:val="single" w:sz="4" w:space="0" w:color="0070C0"/>
            </w:tcBorders>
          </w:tcPr>
          <w:p w14:paraId="4F44132A" w14:textId="77777777" w:rsidR="00A35784" w:rsidRPr="00B62D23" w:rsidRDefault="00A35784" w:rsidP="003720F8">
            <w:pPr>
              <w:spacing w:line="276" w:lineRule="auto"/>
              <w:jc w:val="center"/>
              <w:rPr>
                <w:rFonts w:ascii="Calibri" w:hAnsi="Calibri" w:cs="Calibri"/>
                <w:color w:val="0070C0"/>
              </w:rPr>
            </w:pPr>
          </w:p>
        </w:tc>
        <w:tc>
          <w:tcPr>
            <w:tcW w:w="218" w:type="pct"/>
            <w:tcBorders>
              <w:top w:val="nil"/>
              <w:left w:val="single" w:sz="4" w:space="0" w:color="0070C0"/>
              <w:bottom w:val="nil"/>
              <w:right w:val="single" w:sz="4" w:space="0" w:color="0070C0"/>
            </w:tcBorders>
          </w:tcPr>
          <w:p w14:paraId="01A01A43"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761C344F"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FC 75-94/min</w:t>
            </w:r>
          </w:p>
        </w:tc>
        <w:tc>
          <w:tcPr>
            <w:tcW w:w="358" w:type="pct"/>
            <w:tcBorders>
              <w:top w:val="single" w:sz="4" w:space="0" w:color="0070C0"/>
              <w:left w:val="single" w:sz="4" w:space="0" w:color="0070C0"/>
              <w:bottom w:val="single" w:sz="4" w:space="0" w:color="0070C0"/>
              <w:right w:val="single" w:sz="4" w:space="0" w:color="0070C0"/>
            </w:tcBorders>
          </w:tcPr>
          <w:p w14:paraId="330FAED7"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3A4C3122"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26F5EAEF" w14:textId="77777777" w:rsidR="00A35784" w:rsidRPr="00B62D23" w:rsidRDefault="00A35784" w:rsidP="003720F8">
            <w:pPr>
              <w:spacing w:line="276" w:lineRule="auto"/>
              <w:rPr>
                <w:rFonts w:ascii="Calibri" w:hAnsi="Calibri" w:cs="Calibri"/>
                <w:color w:val="0070C0"/>
              </w:rPr>
            </w:pPr>
            <w:r w:rsidRPr="00B62D23">
              <w:rPr>
                <w:rFonts w:ascii="Calibri" w:hAnsi="Calibri" w:cs="Calibri"/>
                <w:color w:val="0070C0"/>
              </w:rPr>
              <w:t>FC</w:t>
            </w:r>
            <w:r w:rsidRPr="00B62D23">
              <w:rPr>
                <w:rFonts w:ascii="Calibri" w:hAnsi="Calibri" w:cs="Calibri"/>
                <w:i/>
                <w:iCs/>
                <w:color w:val="0070C0"/>
              </w:rPr>
              <w:t xml:space="preserve"> </w:t>
            </w:r>
            <w:r w:rsidRPr="00B62D23">
              <w:rPr>
                <w:rFonts w:ascii="Calibri" w:hAnsi="Calibri" w:cs="Calibri"/>
                <w:color w:val="0070C0"/>
              </w:rPr>
              <w:t>&gt; 100/min</w:t>
            </w:r>
          </w:p>
        </w:tc>
        <w:tc>
          <w:tcPr>
            <w:tcW w:w="359" w:type="pct"/>
            <w:tcBorders>
              <w:top w:val="single" w:sz="4" w:space="0" w:color="0070C0"/>
              <w:left w:val="single" w:sz="4" w:space="0" w:color="0070C0"/>
              <w:bottom w:val="single" w:sz="4" w:space="0" w:color="0070C0"/>
              <w:right w:val="single" w:sz="4" w:space="0" w:color="0070C0"/>
            </w:tcBorders>
          </w:tcPr>
          <w:p w14:paraId="43429CC7" w14:textId="77777777" w:rsidR="00A35784" w:rsidRPr="00B62D23" w:rsidRDefault="00A35784" w:rsidP="003720F8">
            <w:pPr>
              <w:tabs>
                <w:tab w:val="center" w:pos="4536"/>
                <w:tab w:val="right" w:pos="9072"/>
              </w:tabs>
              <w:spacing w:line="276" w:lineRule="auto"/>
              <w:jc w:val="center"/>
              <w:rPr>
                <w:rFonts w:ascii="Calibri" w:hAnsi="Calibri" w:cs="Calibri"/>
                <w:color w:val="0070C0"/>
              </w:rPr>
            </w:pPr>
            <w:r w:rsidRPr="00B62D23">
              <w:rPr>
                <w:rFonts w:ascii="Calibri" w:hAnsi="Calibri" w:cs="Calibri"/>
                <w:color w:val="0070C0"/>
              </w:rPr>
              <w:t>+ 1,5</w:t>
            </w:r>
          </w:p>
        </w:tc>
        <w:tc>
          <w:tcPr>
            <w:tcW w:w="218" w:type="pct"/>
            <w:tcBorders>
              <w:top w:val="nil"/>
              <w:left w:val="single" w:sz="4" w:space="0" w:color="0070C0"/>
              <w:bottom w:val="nil"/>
              <w:right w:val="single" w:sz="4" w:space="0" w:color="0070C0"/>
            </w:tcBorders>
          </w:tcPr>
          <w:p w14:paraId="6D8562D8"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312DEF88"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FC ≥ 95/min**</w:t>
            </w:r>
          </w:p>
        </w:tc>
        <w:tc>
          <w:tcPr>
            <w:tcW w:w="358" w:type="pct"/>
            <w:tcBorders>
              <w:top w:val="single" w:sz="4" w:space="0" w:color="0070C0"/>
              <w:left w:val="single" w:sz="4" w:space="0" w:color="0070C0"/>
              <w:bottom w:val="single" w:sz="4" w:space="0" w:color="0070C0"/>
              <w:right w:val="single" w:sz="4" w:space="0" w:color="0070C0"/>
            </w:tcBorders>
          </w:tcPr>
          <w:p w14:paraId="4A4B0002"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1C5B7230"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1805A81E" w14:textId="77777777" w:rsidR="00A35784" w:rsidRPr="00B62D23" w:rsidRDefault="00A35784" w:rsidP="003720F8">
            <w:pPr>
              <w:spacing w:line="276" w:lineRule="auto"/>
              <w:rPr>
                <w:rFonts w:ascii="Calibri" w:hAnsi="Calibri" w:cs="Calibri"/>
                <w:color w:val="0070C0"/>
              </w:rPr>
            </w:pPr>
            <w:r w:rsidRPr="00B62D23">
              <w:rPr>
                <w:rFonts w:ascii="Calibri" w:hAnsi="Calibri" w:cs="Calibri"/>
                <w:color w:val="0070C0"/>
              </w:rPr>
              <w:t>Signes de TVP</w:t>
            </w:r>
          </w:p>
        </w:tc>
        <w:tc>
          <w:tcPr>
            <w:tcW w:w="359" w:type="pct"/>
            <w:tcBorders>
              <w:top w:val="single" w:sz="4" w:space="0" w:color="0070C0"/>
              <w:left w:val="single" w:sz="4" w:space="0" w:color="0070C0"/>
              <w:bottom w:val="single" w:sz="4" w:space="0" w:color="0070C0"/>
              <w:right w:val="single" w:sz="4" w:space="0" w:color="0070C0"/>
            </w:tcBorders>
          </w:tcPr>
          <w:p w14:paraId="2C0F344E" w14:textId="77777777" w:rsidR="00A35784" w:rsidRPr="00B62D23" w:rsidRDefault="00A35784" w:rsidP="003720F8">
            <w:pPr>
              <w:spacing w:line="276" w:lineRule="auto"/>
              <w:jc w:val="center"/>
              <w:rPr>
                <w:rFonts w:ascii="Calibri" w:hAnsi="Calibri" w:cs="Calibri"/>
                <w:color w:val="0070C0"/>
              </w:rPr>
            </w:pPr>
            <w:r w:rsidRPr="00B62D23">
              <w:rPr>
                <w:rFonts w:ascii="Calibri" w:hAnsi="Calibri" w:cs="Calibri"/>
                <w:bCs/>
                <w:color w:val="0070C0"/>
              </w:rPr>
              <w:t>+ 3</w:t>
            </w:r>
          </w:p>
        </w:tc>
        <w:tc>
          <w:tcPr>
            <w:tcW w:w="218" w:type="pct"/>
            <w:tcBorders>
              <w:top w:val="nil"/>
              <w:left w:val="single" w:sz="4" w:space="0" w:color="0070C0"/>
              <w:bottom w:val="nil"/>
              <w:right w:val="single" w:sz="4" w:space="0" w:color="0070C0"/>
            </w:tcBorders>
          </w:tcPr>
          <w:p w14:paraId="5E567105"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vAlign w:val="center"/>
          </w:tcPr>
          <w:p w14:paraId="353AC11B"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color w:val="0070C0"/>
              </w:rPr>
              <w:t>Signes de TVP (</w:t>
            </w:r>
            <w:proofErr w:type="spellStart"/>
            <w:r w:rsidRPr="00B62D23">
              <w:rPr>
                <w:rFonts w:ascii="Calibri" w:hAnsi="Calibri" w:cs="Calibri"/>
                <w:color w:val="0070C0"/>
              </w:rPr>
              <w:t>œd</w:t>
            </w:r>
            <w:proofErr w:type="spellEnd"/>
            <w:r w:rsidRPr="00B62D23">
              <w:rPr>
                <w:rFonts w:ascii="Calibri" w:hAnsi="Calibri" w:cs="Calibri"/>
                <w:color w:val="0070C0"/>
              </w:rPr>
              <w:t>/douleur provoquée)</w:t>
            </w:r>
          </w:p>
        </w:tc>
        <w:tc>
          <w:tcPr>
            <w:tcW w:w="358" w:type="pct"/>
            <w:tcBorders>
              <w:top w:val="single" w:sz="4" w:space="0" w:color="0070C0"/>
              <w:left w:val="single" w:sz="4" w:space="0" w:color="0070C0"/>
              <w:bottom w:val="single" w:sz="4" w:space="0" w:color="0070C0"/>
              <w:right w:val="single" w:sz="4" w:space="0" w:color="0070C0"/>
            </w:tcBorders>
          </w:tcPr>
          <w:p w14:paraId="2A0EFF0D" w14:textId="77777777" w:rsidR="00A35784" w:rsidRPr="00B62D23" w:rsidRDefault="00A35784" w:rsidP="003720F8">
            <w:pPr>
              <w:widowControl w:val="0"/>
              <w:autoSpaceDE w:val="0"/>
              <w:autoSpaceDN w:val="0"/>
              <w:adjustRightInd w:val="0"/>
              <w:spacing w:line="276" w:lineRule="auto"/>
              <w:jc w:val="center"/>
              <w:rPr>
                <w:rFonts w:ascii="Calibri" w:hAnsi="Calibri" w:cs="Calibri"/>
                <w:color w:val="0070C0"/>
              </w:rPr>
            </w:pPr>
            <w:r w:rsidRPr="00B62D23">
              <w:rPr>
                <w:rFonts w:ascii="Calibri" w:hAnsi="Calibri" w:cs="Calibri"/>
                <w:color w:val="0070C0"/>
              </w:rPr>
              <w:t>+ 1</w:t>
            </w:r>
          </w:p>
        </w:tc>
      </w:tr>
      <w:tr w:rsidR="00A35784" w:rsidRPr="00B62D23" w14:paraId="4511F275" w14:textId="77777777" w:rsidTr="00F44AC4">
        <w:trPr>
          <w:jc w:val="center"/>
        </w:trPr>
        <w:tc>
          <w:tcPr>
            <w:tcW w:w="1997" w:type="pct"/>
            <w:tcBorders>
              <w:top w:val="single" w:sz="4" w:space="0" w:color="0070C0"/>
              <w:left w:val="single" w:sz="4" w:space="0" w:color="0070C0"/>
              <w:bottom w:val="single" w:sz="4" w:space="0" w:color="0070C0"/>
              <w:right w:val="single" w:sz="4" w:space="0" w:color="0070C0"/>
            </w:tcBorders>
          </w:tcPr>
          <w:p w14:paraId="7B385474" w14:textId="77777777" w:rsidR="00A35784" w:rsidRPr="00B62D23" w:rsidRDefault="00A35784" w:rsidP="003720F8">
            <w:pPr>
              <w:spacing w:line="276" w:lineRule="auto"/>
              <w:rPr>
                <w:rFonts w:ascii="Calibri" w:hAnsi="Calibri" w:cs="Calibri"/>
                <w:color w:val="0070C0"/>
              </w:rPr>
            </w:pPr>
            <w:r w:rsidRPr="00B62D23">
              <w:rPr>
                <w:rFonts w:ascii="Calibri" w:hAnsi="Calibri" w:cs="Calibri"/>
                <w:color w:val="0070C0"/>
              </w:rPr>
              <w:t xml:space="preserve">Diag. </w:t>
            </w:r>
            <w:proofErr w:type="gramStart"/>
            <w:r w:rsidRPr="00B62D23">
              <w:rPr>
                <w:rFonts w:ascii="Calibri" w:hAnsi="Calibri" w:cs="Calibri"/>
                <w:color w:val="0070C0"/>
              </w:rPr>
              <w:t>alternatif</w:t>
            </w:r>
            <w:proofErr w:type="gramEnd"/>
            <w:r w:rsidRPr="00B62D23">
              <w:rPr>
                <w:rFonts w:ascii="Calibri" w:hAnsi="Calibri" w:cs="Calibri"/>
                <w:color w:val="0070C0"/>
              </w:rPr>
              <w:t xml:space="preserve"> - probable que celui d’EP</w:t>
            </w:r>
          </w:p>
        </w:tc>
        <w:tc>
          <w:tcPr>
            <w:tcW w:w="359" w:type="pct"/>
            <w:tcBorders>
              <w:top w:val="single" w:sz="4" w:space="0" w:color="0070C0"/>
              <w:left w:val="single" w:sz="4" w:space="0" w:color="0070C0"/>
              <w:bottom w:val="single" w:sz="4" w:space="0" w:color="0070C0"/>
              <w:right w:val="single" w:sz="4" w:space="0" w:color="0070C0"/>
            </w:tcBorders>
          </w:tcPr>
          <w:p w14:paraId="3B0CEF1C" w14:textId="77777777" w:rsidR="00A35784" w:rsidRPr="00B62D23" w:rsidRDefault="00A35784" w:rsidP="003720F8">
            <w:pPr>
              <w:spacing w:line="276" w:lineRule="auto"/>
              <w:jc w:val="center"/>
              <w:rPr>
                <w:rFonts w:ascii="Calibri" w:hAnsi="Calibri" w:cs="Calibri"/>
                <w:color w:val="0070C0"/>
              </w:rPr>
            </w:pPr>
            <w:r w:rsidRPr="00B62D23">
              <w:rPr>
                <w:rFonts w:ascii="Calibri" w:hAnsi="Calibri" w:cs="Calibri"/>
                <w:bCs/>
                <w:color w:val="0070C0"/>
              </w:rPr>
              <w:t>+ 3</w:t>
            </w:r>
          </w:p>
        </w:tc>
        <w:tc>
          <w:tcPr>
            <w:tcW w:w="218" w:type="pct"/>
            <w:tcBorders>
              <w:top w:val="nil"/>
              <w:left w:val="single" w:sz="4" w:space="0" w:color="0070C0"/>
              <w:bottom w:val="nil"/>
              <w:right w:val="single" w:sz="4" w:space="0" w:color="0070C0"/>
            </w:tcBorders>
          </w:tcPr>
          <w:p w14:paraId="7A3DE082"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tcPr>
          <w:p w14:paraId="32DAC52D" w14:textId="77777777" w:rsidR="00A35784" w:rsidRPr="00B62D23" w:rsidRDefault="00A35784" w:rsidP="003720F8">
            <w:pPr>
              <w:widowControl w:val="0"/>
              <w:autoSpaceDE w:val="0"/>
              <w:autoSpaceDN w:val="0"/>
              <w:adjustRightInd w:val="0"/>
              <w:spacing w:line="276" w:lineRule="auto"/>
              <w:rPr>
                <w:rFonts w:ascii="Calibri" w:hAnsi="Calibri" w:cs="Calibri"/>
                <w:b/>
                <w:color w:val="0070C0"/>
              </w:rPr>
            </w:pPr>
          </w:p>
        </w:tc>
        <w:tc>
          <w:tcPr>
            <w:tcW w:w="358" w:type="pct"/>
            <w:tcBorders>
              <w:top w:val="single" w:sz="4" w:space="0" w:color="0070C0"/>
              <w:left w:val="single" w:sz="4" w:space="0" w:color="0070C0"/>
              <w:bottom w:val="single" w:sz="4" w:space="0" w:color="0070C0"/>
              <w:right w:val="single" w:sz="4" w:space="0" w:color="0070C0"/>
            </w:tcBorders>
          </w:tcPr>
          <w:p w14:paraId="0DCB2332" w14:textId="77777777" w:rsidR="00A35784" w:rsidRPr="00B62D23" w:rsidRDefault="00A35784" w:rsidP="003720F8">
            <w:pPr>
              <w:widowControl w:val="0"/>
              <w:autoSpaceDE w:val="0"/>
              <w:autoSpaceDN w:val="0"/>
              <w:adjustRightInd w:val="0"/>
              <w:spacing w:line="276" w:lineRule="auto"/>
              <w:rPr>
                <w:rFonts w:ascii="Calibri" w:hAnsi="Calibri" w:cs="Calibri"/>
                <w:bCs/>
                <w:color w:val="0070C0"/>
              </w:rPr>
            </w:pPr>
          </w:p>
        </w:tc>
      </w:tr>
      <w:tr w:rsidR="00A35784" w:rsidRPr="00B62D23" w14:paraId="6EB0BE62" w14:textId="77777777" w:rsidTr="00F44AC4">
        <w:trPr>
          <w:trHeight w:val="74"/>
          <w:jc w:val="center"/>
        </w:trPr>
        <w:tc>
          <w:tcPr>
            <w:tcW w:w="1997" w:type="pct"/>
            <w:tcBorders>
              <w:top w:val="single" w:sz="4" w:space="0" w:color="0070C0"/>
              <w:left w:val="single" w:sz="4" w:space="0" w:color="0070C0"/>
              <w:bottom w:val="single" w:sz="4" w:space="0" w:color="0070C0"/>
              <w:right w:val="single" w:sz="4" w:space="0" w:color="0070C0"/>
            </w:tcBorders>
          </w:tcPr>
          <w:p w14:paraId="5C8F3C4F" w14:textId="77777777" w:rsidR="00A35784" w:rsidRPr="00B62D23" w:rsidRDefault="00A35784" w:rsidP="003720F8">
            <w:pPr>
              <w:spacing w:line="276" w:lineRule="auto"/>
              <w:rPr>
                <w:rFonts w:ascii="Calibri" w:hAnsi="Calibri" w:cs="Calibri"/>
                <w:color w:val="0070C0"/>
              </w:rPr>
            </w:pPr>
            <w:r w:rsidRPr="00B62D23">
              <w:rPr>
                <w:rFonts w:ascii="Calibri" w:hAnsi="Calibri" w:cs="Calibri"/>
                <w:b/>
                <w:color w:val="0070C0"/>
              </w:rPr>
              <w:t>Score de Wells                                      </w:t>
            </w:r>
          </w:p>
        </w:tc>
        <w:tc>
          <w:tcPr>
            <w:tcW w:w="359" w:type="pct"/>
            <w:tcBorders>
              <w:top w:val="single" w:sz="4" w:space="0" w:color="0070C0"/>
              <w:left w:val="single" w:sz="4" w:space="0" w:color="0070C0"/>
              <w:bottom w:val="single" w:sz="4" w:space="0" w:color="0070C0"/>
              <w:right w:val="single" w:sz="4" w:space="0" w:color="0070C0"/>
            </w:tcBorders>
          </w:tcPr>
          <w:p w14:paraId="7E097950" w14:textId="77777777" w:rsidR="00A35784" w:rsidRPr="00B62D23" w:rsidRDefault="00A35784" w:rsidP="003720F8">
            <w:pPr>
              <w:spacing w:line="276" w:lineRule="auto"/>
              <w:jc w:val="center"/>
              <w:rPr>
                <w:rFonts w:ascii="Calibri" w:hAnsi="Calibri" w:cs="Calibri"/>
                <w:color w:val="0070C0"/>
              </w:rPr>
            </w:pPr>
          </w:p>
        </w:tc>
        <w:tc>
          <w:tcPr>
            <w:tcW w:w="218" w:type="pct"/>
            <w:tcBorders>
              <w:top w:val="nil"/>
              <w:left w:val="single" w:sz="4" w:space="0" w:color="0070C0"/>
              <w:bottom w:val="nil"/>
              <w:right w:val="single" w:sz="4" w:space="0" w:color="0070C0"/>
            </w:tcBorders>
          </w:tcPr>
          <w:p w14:paraId="4C7FF15E" w14:textId="77777777" w:rsidR="00A35784" w:rsidRPr="00B62D23" w:rsidRDefault="00A35784" w:rsidP="003720F8">
            <w:pPr>
              <w:widowControl w:val="0"/>
              <w:autoSpaceDE w:val="0"/>
              <w:autoSpaceDN w:val="0"/>
              <w:adjustRightInd w:val="0"/>
              <w:spacing w:line="276" w:lineRule="auto"/>
              <w:rPr>
                <w:rFonts w:ascii="Calibri" w:hAnsi="Calibri" w:cs="Calibri"/>
              </w:rPr>
            </w:pPr>
          </w:p>
        </w:tc>
        <w:tc>
          <w:tcPr>
            <w:tcW w:w="2068" w:type="pct"/>
            <w:tcBorders>
              <w:top w:val="single" w:sz="4" w:space="0" w:color="0070C0"/>
              <w:left w:val="single" w:sz="4" w:space="0" w:color="0070C0"/>
              <w:bottom w:val="single" w:sz="4" w:space="0" w:color="0070C0"/>
              <w:right w:val="single" w:sz="4" w:space="0" w:color="0070C0"/>
            </w:tcBorders>
          </w:tcPr>
          <w:p w14:paraId="635B6E00"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b/>
                <w:color w:val="0070C0"/>
              </w:rPr>
              <w:t>Score révisé de Genève</w:t>
            </w:r>
          </w:p>
        </w:tc>
        <w:tc>
          <w:tcPr>
            <w:tcW w:w="358" w:type="pct"/>
            <w:tcBorders>
              <w:top w:val="single" w:sz="4" w:space="0" w:color="0070C0"/>
              <w:left w:val="single" w:sz="4" w:space="0" w:color="0070C0"/>
              <w:bottom w:val="single" w:sz="4" w:space="0" w:color="0070C0"/>
              <w:right w:val="single" w:sz="4" w:space="0" w:color="0070C0"/>
            </w:tcBorders>
          </w:tcPr>
          <w:p w14:paraId="4597E172" w14:textId="77777777" w:rsidR="00A35784" w:rsidRPr="00B62D23" w:rsidRDefault="00A35784" w:rsidP="003720F8">
            <w:pPr>
              <w:widowControl w:val="0"/>
              <w:autoSpaceDE w:val="0"/>
              <w:autoSpaceDN w:val="0"/>
              <w:adjustRightInd w:val="0"/>
              <w:spacing w:line="276" w:lineRule="auto"/>
              <w:rPr>
                <w:rFonts w:ascii="Calibri" w:hAnsi="Calibri" w:cs="Calibri"/>
                <w:color w:val="0070C0"/>
              </w:rPr>
            </w:pPr>
            <w:r w:rsidRPr="00B62D23">
              <w:rPr>
                <w:rFonts w:ascii="Calibri" w:hAnsi="Calibri" w:cs="Calibri"/>
                <w:bCs/>
                <w:color w:val="0070C0"/>
              </w:rPr>
              <w:t xml:space="preserve"> </w:t>
            </w:r>
          </w:p>
        </w:tc>
      </w:tr>
      <w:tr w:rsidR="00A35784" w:rsidRPr="00B62D23" w14:paraId="7CF177C3" w14:textId="77777777" w:rsidTr="00F44AC4">
        <w:trPr>
          <w:trHeight w:val="74"/>
          <w:jc w:val="center"/>
        </w:trPr>
        <w:tc>
          <w:tcPr>
            <w:tcW w:w="1997" w:type="pct"/>
            <w:tcBorders>
              <w:top w:val="single" w:sz="4" w:space="0" w:color="0070C0"/>
              <w:left w:val="single" w:sz="4" w:space="0" w:color="0070C0"/>
              <w:bottom w:val="single" w:sz="4" w:space="0" w:color="0070C0"/>
              <w:right w:val="single" w:sz="4" w:space="0" w:color="0070C0"/>
            </w:tcBorders>
          </w:tcPr>
          <w:p w14:paraId="0D84ABFE"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t xml:space="preserve">Probabilité clinique :  </w:t>
            </w:r>
          </w:p>
          <w:p w14:paraId="35C6E273"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sym w:font="Wingdings" w:char="F06F"/>
            </w:r>
            <w:r w:rsidRPr="00B62D23">
              <w:rPr>
                <w:rFonts w:ascii="Calibri" w:hAnsi="Calibri" w:cs="Calibri"/>
                <w:b/>
                <w:bCs/>
                <w:i/>
                <w:color w:val="0070C0"/>
              </w:rPr>
              <w:t xml:space="preserve"> </w:t>
            </w:r>
            <w:proofErr w:type="gramStart"/>
            <w:r w:rsidRPr="00B62D23">
              <w:rPr>
                <w:rFonts w:ascii="Calibri" w:hAnsi="Calibri" w:cs="Calibri"/>
                <w:b/>
                <w:bCs/>
                <w:i/>
                <w:color w:val="0070C0"/>
              </w:rPr>
              <w:t>faible</w:t>
            </w:r>
            <w:proofErr w:type="gramEnd"/>
            <w:r w:rsidRPr="00B62D23">
              <w:rPr>
                <w:rFonts w:ascii="Calibri" w:hAnsi="Calibri" w:cs="Calibri"/>
                <w:b/>
                <w:bCs/>
                <w:i/>
                <w:color w:val="0070C0"/>
              </w:rPr>
              <w:t xml:space="preserve"> (0-1)</w:t>
            </w:r>
            <w:r w:rsidRPr="00B62D23">
              <w:rPr>
                <w:rFonts w:ascii="Calibri" w:hAnsi="Calibri" w:cs="Calibri"/>
                <w:b/>
                <w:bCs/>
                <w:i/>
                <w:color w:val="0070C0"/>
              </w:rPr>
              <w:tab/>
            </w:r>
          </w:p>
          <w:p w14:paraId="29EA31F1"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sym w:font="Wingdings" w:char="F06F"/>
            </w:r>
            <w:r w:rsidRPr="00B62D23">
              <w:rPr>
                <w:rFonts w:ascii="Calibri" w:hAnsi="Calibri" w:cs="Calibri"/>
                <w:b/>
                <w:bCs/>
                <w:i/>
                <w:color w:val="0070C0"/>
              </w:rPr>
              <w:t xml:space="preserve"> </w:t>
            </w:r>
            <w:proofErr w:type="gramStart"/>
            <w:r w:rsidRPr="00B62D23">
              <w:rPr>
                <w:rFonts w:ascii="Calibri" w:hAnsi="Calibri" w:cs="Calibri"/>
                <w:b/>
                <w:bCs/>
                <w:i/>
                <w:color w:val="0070C0"/>
              </w:rPr>
              <w:t>intermédiaire</w:t>
            </w:r>
            <w:proofErr w:type="gramEnd"/>
            <w:r w:rsidRPr="00B62D23">
              <w:rPr>
                <w:rFonts w:ascii="Calibri" w:hAnsi="Calibri" w:cs="Calibri"/>
                <w:b/>
                <w:bCs/>
                <w:i/>
                <w:color w:val="0070C0"/>
              </w:rPr>
              <w:t xml:space="preserve"> (2- 6) </w:t>
            </w:r>
            <w:r w:rsidRPr="00B62D23">
              <w:rPr>
                <w:rFonts w:ascii="Calibri" w:hAnsi="Calibri" w:cs="Calibri"/>
                <w:b/>
                <w:bCs/>
                <w:i/>
                <w:color w:val="0070C0"/>
              </w:rPr>
              <w:tab/>
            </w:r>
          </w:p>
          <w:p w14:paraId="188AAE10"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sym w:font="Wingdings" w:char="F06F"/>
            </w:r>
            <w:r w:rsidRPr="00B62D23">
              <w:rPr>
                <w:rFonts w:ascii="Calibri" w:hAnsi="Calibri" w:cs="Calibri"/>
                <w:b/>
                <w:bCs/>
                <w:i/>
                <w:color w:val="0070C0"/>
              </w:rPr>
              <w:t xml:space="preserve"> </w:t>
            </w:r>
            <w:proofErr w:type="gramStart"/>
            <w:r w:rsidRPr="00B62D23">
              <w:rPr>
                <w:rFonts w:ascii="Calibri" w:hAnsi="Calibri" w:cs="Calibri"/>
                <w:b/>
                <w:bCs/>
                <w:i/>
                <w:color w:val="0070C0"/>
              </w:rPr>
              <w:t>forte</w:t>
            </w:r>
            <w:proofErr w:type="gramEnd"/>
            <w:r w:rsidRPr="00B62D23">
              <w:rPr>
                <w:rFonts w:ascii="Calibri" w:hAnsi="Calibri" w:cs="Calibri"/>
                <w:b/>
                <w:bCs/>
                <w:i/>
                <w:color w:val="0070C0"/>
              </w:rPr>
              <w:t xml:space="preserve"> (≥ 7)</w:t>
            </w:r>
          </w:p>
        </w:tc>
        <w:tc>
          <w:tcPr>
            <w:tcW w:w="359" w:type="pct"/>
            <w:tcBorders>
              <w:top w:val="single" w:sz="4" w:space="0" w:color="0070C0"/>
              <w:left w:val="single" w:sz="4" w:space="0" w:color="0070C0"/>
              <w:bottom w:val="single" w:sz="4" w:space="0" w:color="0070C0"/>
              <w:right w:val="single" w:sz="4" w:space="0" w:color="0070C0"/>
            </w:tcBorders>
          </w:tcPr>
          <w:p w14:paraId="1B44688B" w14:textId="77777777" w:rsidR="00A35784" w:rsidRPr="00B62D23" w:rsidRDefault="00A35784" w:rsidP="003720F8">
            <w:pPr>
              <w:spacing w:line="276" w:lineRule="auto"/>
              <w:jc w:val="center"/>
              <w:rPr>
                <w:rFonts w:ascii="Calibri" w:hAnsi="Calibri" w:cs="Calibri"/>
                <w:i/>
                <w:color w:val="0070C0"/>
              </w:rPr>
            </w:pPr>
          </w:p>
        </w:tc>
        <w:tc>
          <w:tcPr>
            <w:tcW w:w="218" w:type="pct"/>
            <w:tcBorders>
              <w:top w:val="nil"/>
              <w:left w:val="single" w:sz="4" w:space="0" w:color="0070C0"/>
              <w:bottom w:val="nil"/>
              <w:right w:val="single" w:sz="4" w:space="0" w:color="0070C0"/>
            </w:tcBorders>
          </w:tcPr>
          <w:p w14:paraId="2A6B4FF9" w14:textId="77777777" w:rsidR="00A35784" w:rsidRPr="00B62D23" w:rsidRDefault="00A35784" w:rsidP="003720F8">
            <w:pPr>
              <w:widowControl w:val="0"/>
              <w:autoSpaceDE w:val="0"/>
              <w:autoSpaceDN w:val="0"/>
              <w:adjustRightInd w:val="0"/>
              <w:spacing w:line="276" w:lineRule="auto"/>
              <w:rPr>
                <w:rFonts w:ascii="Calibri" w:hAnsi="Calibri" w:cs="Calibri"/>
                <w:i/>
              </w:rPr>
            </w:pPr>
          </w:p>
        </w:tc>
        <w:tc>
          <w:tcPr>
            <w:tcW w:w="2068" w:type="pct"/>
            <w:tcBorders>
              <w:top w:val="single" w:sz="4" w:space="0" w:color="0070C0"/>
              <w:left w:val="single" w:sz="4" w:space="0" w:color="0070C0"/>
              <w:bottom w:val="single" w:sz="4" w:space="0" w:color="0070C0"/>
              <w:right w:val="single" w:sz="4" w:space="0" w:color="0070C0"/>
            </w:tcBorders>
          </w:tcPr>
          <w:p w14:paraId="71E7D520"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t xml:space="preserve">Probabilité clinique : </w:t>
            </w:r>
          </w:p>
          <w:p w14:paraId="65E82C60"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sym w:font="Wingdings" w:char="F06F"/>
            </w:r>
            <w:r w:rsidRPr="00B62D23">
              <w:rPr>
                <w:rFonts w:ascii="Calibri" w:hAnsi="Calibri" w:cs="Calibri"/>
                <w:b/>
                <w:bCs/>
                <w:i/>
                <w:color w:val="0070C0"/>
              </w:rPr>
              <w:t xml:space="preserve"> </w:t>
            </w:r>
            <w:proofErr w:type="gramStart"/>
            <w:r w:rsidRPr="00B62D23">
              <w:rPr>
                <w:rFonts w:ascii="Calibri" w:hAnsi="Calibri" w:cs="Calibri"/>
                <w:b/>
                <w:bCs/>
                <w:i/>
                <w:color w:val="0070C0"/>
              </w:rPr>
              <w:t>faible</w:t>
            </w:r>
            <w:proofErr w:type="gramEnd"/>
            <w:r w:rsidRPr="00B62D23">
              <w:rPr>
                <w:rFonts w:ascii="Calibri" w:hAnsi="Calibri" w:cs="Calibri"/>
                <w:b/>
                <w:bCs/>
                <w:i/>
                <w:color w:val="0070C0"/>
              </w:rPr>
              <w:t xml:space="preserve"> (0-1)</w:t>
            </w:r>
            <w:r w:rsidRPr="00B62D23">
              <w:rPr>
                <w:rFonts w:ascii="Calibri" w:hAnsi="Calibri" w:cs="Calibri"/>
                <w:b/>
                <w:bCs/>
                <w:i/>
                <w:color w:val="0070C0"/>
              </w:rPr>
              <w:tab/>
            </w:r>
          </w:p>
          <w:p w14:paraId="16FB538B"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sym w:font="Wingdings" w:char="F06F"/>
            </w:r>
            <w:r w:rsidRPr="00B62D23">
              <w:rPr>
                <w:rFonts w:ascii="Calibri" w:hAnsi="Calibri" w:cs="Calibri"/>
                <w:b/>
                <w:bCs/>
                <w:i/>
                <w:color w:val="0070C0"/>
              </w:rPr>
              <w:t xml:space="preserve"> </w:t>
            </w:r>
            <w:proofErr w:type="gramStart"/>
            <w:r w:rsidRPr="00B62D23">
              <w:rPr>
                <w:rFonts w:ascii="Calibri" w:hAnsi="Calibri" w:cs="Calibri"/>
                <w:b/>
                <w:bCs/>
                <w:i/>
                <w:color w:val="0070C0"/>
              </w:rPr>
              <w:t>intermédiaire</w:t>
            </w:r>
            <w:proofErr w:type="gramEnd"/>
            <w:r w:rsidRPr="00B62D23">
              <w:rPr>
                <w:rFonts w:ascii="Calibri" w:hAnsi="Calibri" w:cs="Calibri"/>
                <w:b/>
                <w:bCs/>
                <w:i/>
                <w:color w:val="0070C0"/>
              </w:rPr>
              <w:t xml:space="preserve"> (2-4)     </w:t>
            </w:r>
          </w:p>
          <w:p w14:paraId="42C0A7DB" w14:textId="77777777" w:rsidR="00A35784" w:rsidRPr="00B62D23" w:rsidRDefault="00A35784" w:rsidP="003720F8">
            <w:pPr>
              <w:widowControl w:val="0"/>
              <w:autoSpaceDE w:val="0"/>
              <w:autoSpaceDN w:val="0"/>
              <w:adjustRightInd w:val="0"/>
              <w:spacing w:line="276" w:lineRule="auto"/>
              <w:rPr>
                <w:rFonts w:ascii="Calibri" w:hAnsi="Calibri" w:cs="Calibri"/>
                <w:b/>
                <w:bCs/>
                <w:i/>
                <w:color w:val="0070C0"/>
              </w:rPr>
            </w:pPr>
            <w:r w:rsidRPr="00B62D23">
              <w:rPr>
                <w:rFonts w:ascii="Calibri" w:hAnsi="Calibri" w:cs="Calibri"/>
                <w:b/>
                <w:bCs/>
                <w:i/>
                <w:color w:val="0070C0"/>
              </w:rPr>
              <w:sym w:font="Wingdings" w:char="F06F"/>
            </w:r>
            <w:r w:rsidRPr="00B62D23">
              <w:rPr>
                <w:rFonts w:ascii="Calibri" w:hAnsi="Calibri" w:cs="Calibri"/>
                <w:b/>
                <w:bCs/>
                <w:i/>
                <w:color w:val="0070C0"/>
              </w:rPr>
              <w:t xml:space="preserve"> </w:t>
            </w:r>
            <w:proofErr w:type="gramStart"/>
            <w:r w:rsidRPr="00B62D23">
              <w:rPr>
                <w:rFonts w:ascii="Calibri" w:hAnsi="Calibri" w:cs="Calibri"/>
                <w:b/>
                <w:bCs/>
                <w:i/>
                <w:color w:val="0070C0"/>
              </w:rPr>
              <w:t>forte</w:t>
            </w:r>
            <w:proofErr w:type="gramEnd"/>
            <w:r w:rsidRPr="00B62D23">
              <w:rPr>
                <w:rFonts w:ascii="Calibri" w:hAnsi="Calibri" w:cs="Calibri"/>
                <w:b/>
                <w:bCs/>
                <w:i/>
                <w:color w:val="0070C0"/>
              </w:rPr>
              <w:t xml:space="preserve"> (≥ 5)</w:t>
            </w:r>
          </w:p>
        </w:tc>
        <w:tc>
          <w:tcPr>
            <w:tcW w:w="358" w:type="pct"/>
            <w:tcBorders>
              <w:top w:val="single" w:sz="4" w:space="0" w:color="0070C0"/>
              <w:left w:val="single" w:sz="4" w:space="0" w:color="0070C0"/>
              <w:bottom w:val="single" w:sz="4" w:space="0" w:color="0070C0"/>
              <w:right w:val="single" w:sz="4" w:space="0" w:color="0070C0"/>
            </w:tcBorders>
          </w:tcPr>
          <w:p w14:paraId="73F44469" w14:textId="77777777" w:rsidR="00A35784" w:rsidRPr="00B62D23" w:rsidRDefault="00A35784" w:rsidP="003720F8">
            <w:pPr>
              <w:widowControl w:val="0"/>
              <w:autoSpaceDE w:val="0"/>
              <w:autoSpaceDN w:val="0"/>
              <w:adjustRightInd w:val="0"/>
              <w:spacing w:line="276" w:lineRule="auto"/>
              <w:rPr>
                <w:rFonts w:ascii="Calibri" w:hAnsi="Calibri" w:cs="Calibri"/>
                <w:bCs/>
                <w:i/>
                <w:color w:val="0070C0"/>
              </w:rPr>
            </w:pPr>
          </w:p>
        </w:tc>
      </w:tr>
    </w:tbl>
    <w:p w14:paraId="568C6B59" w14:textId="77777777" w:rsidR="00A35784" w:rsidRPr="00062B26" w:rsidRDefault="00A35784" w:rsidP="003720F8">
      <w:pPr>
        <w:pStyle w:val="lgende"/>
      </w:pPr>
      <w:r w:rsidRPr="00062B26">
        <w:rPr>
          <w:noProof/>
          <w:vertAlign w:val="superscript"/>
        </w:rPr>
        <w:t>*</w:t>
      </w:r>
      <w:r>
        <w:rPr>
          <w:noProof/>
          <w:vertAlign w:val="superscript"/>
        </w:rPr>
        <w:t xml:space="preserve"> </w:t>
      </w:r>
      <w:r>
        <w:rPr>
          <w:noProof/>
        </w:rPr>
        <w:t>I</w:t>
      </w:r>
      <w:r w:rsidRPr="00062B26">
        <w:rPr>
          <w:noProof/>
        </w:rPr>
        <w:t>l n’est pas attendu de savoir calculer le score. L’important est que l’étudiant sache qu’avec des éléments cliniques simples on peut estimer la probabilité clinique</w:t>
      </w:r>
      <w:r>
        <w:rPr>
          <w:noProof/>
        </w:rPr>
        <w:t>.</w:t>
      </w:r>
    </w:p>
    <w:p w14:paraId="63FF2ABE" w14:textId="77777777" w:rsidR="00A35784" w:rsidRPr="00062B26" w:rsidRDefault="00A35784" w:rsidP="003720F8">
      <w:pPr>
        <w:pStyle w:val="lgende"/>
      </w:pPr>
      <w:r w:rsidRPr="00062B26">
        <w:rPr>
          <w:vertAlign w:val="superscript"/>
        </w:rPr>
        <w:t>**</w:t>
      </w:r>
      <w:r w:rsidRPr="00062B26">
        <w:t xml:space="preserve"> </w:t>
      </w:r>
      <w:r>
        <w:t>S</w:t>
      </w:r>
      <w:r w:rsidRPr="00062B26">
        <w:t>i la fréquence cardiaque du patient est par exemple</w:t>
      </w:r>
      <w:r>
        <w:t> </w:t>
      </w:r>
      <w:r w:rsidRPr="00062B26">
        <w:t>105 bpm, le nombre de point</w:t>
      </w:r>
      <w:r>
        <w:t>s</w:t>
      </w:r>
      <w:r w:rsidRPr="00062B26">
        <w:t xml:space="preserve"> total assigné sera de 2</w:t>
      </w:r>
      <w:r>
        <w:t> </w:t>
      </w:r>
      <w:r w:rsidRPr="00062B26">
        <w:t>points (1 point car FC ≥ 75 bpm + 1 point supplémentaire car FC ≥ 95 bpm).</w:t>
      </w:r>
    </w:p>
    <w:p w14:paraId="4F17AD10" w14:textId="628439E0" w:rsidR="00A35784" w:rsidRDefault="00A35784" w:rsidP="003720F8">
      <w:pPr>
        <w:spacing w:line="276" w:lineRule="auto"/>
        <w:rPr>
          <w:rFonts w:cs="Arial"/>
          <w:bCs/>
          <w:i/>
          <w:iCs/>
        </w:rPr>
      </w:pPr>
    </w:p>
    <w:p w14:paraId="62571A7F" w14:textId="0048ECA1" w:rsidR="00D373BC" w:rsidRPr="00D373BC" w:rsidRDefault="00D373BC" w:rsidP="003720F8">
      <w:pPr>
        <w:pStyle w:val="titredesous-partie"/>
        <w:spacing w:line="276" w:lineRule="auto"/>
        <w:rPr>
          <w:szCs w:val="20"/>
          <w:lang w:val="fr-FR"/>
        </w:rPr>
      </w:pPr>
      <w:r w:rsidRPr="00D373BC">
        <w:rPr>
          <w:lang w:val="fr-FR"/>
        </w:rPr>
        <w:t>ÉTAPE 3 : EXAMENS COMPLEMENTAIRES DE 2</w:t>
      </w:r>
      <w:r w:rsidRPr="00D373BC">
        <w:rPr>
          <w:vertAlign w:val="superscript"/>
          <w:lang w:val="fr-FR"/>
        </w:rPr>
        <w:t>E</w:t>
      </w:r>
      <w:r w:rsidRPr="00D373BC">
        <w:rPr>
          <w:lang w:val="fr-FR"/>
        </w:rPr>
        <w:t xml:space="preserve"> INTENTION</w:t>
      </w:r>
    </w:p>
    <w:p w14:paraId="0B7B49BA" w14:textId="77777777" w:rsidR="003720F8" w:rsidRPr="00062B26" w:rsidRDefault="003720F8" w:rsidP="003720F8">
      <w:pPr>
        <w:spacing w:line="276" w:lineRule="auto"/>
        <w:rPr>
          <w:rFonts w:cs="Arial"/>
          <w:b/>
          <w:bCs/>
          <w:color w:val="000000" w:themeColor="text1"/>
        </w:rPr>
      </w:pPr>
      <w:r w:rsidRPr="00062B26">
        <w:rPr>
          <w:rFonts w:cs="Arial"/>
          <w:b/>
          <w:bCs/>
          <w:color w:val="000000" w:themeColor="text1"/>
        </w:rPr>
        <w:t>(Résumés dans la figure</w:t>
      </w:r>
      <w:r>
        <w:rPr>
          <w:rFonts w:cs="Arial"/>
          <w:b/>
          <w:bCs/>
          <w:color w:val="000000" w:themeColor="text1"/>
        </w:rPr>
        <w:t> </w:t>
      </w:r>
      <w:r w:rsidRPr="00062B26">
        <w:rPr>
          <w:rFonts w:cs="Arial"/>
          <w:b/>
          <w:bCs/>
          <w:color w:val="000000" w:themeColor="text1"/>
        </w:rPr>
        <w:t>8)</w:t>
      </w:r>
    </w:p>
    <w:p w14:paraId="13C812A7" w14:textId="77777777" w:rsidR="003720F8" w:rsidRPr="00062B26" w:rsidRDefault="003720F8" w:rsidP="003720F8">
      <w:pPr>
        <w:spacing w:line="276" w:lineRule="auto"/>
        <w:rPr>
          <w:rFonts w:cs="Arial"/>
          <w:b/>
        </w:rPr>
      </w:pPr>
    </w:p>
    <w:p w14:paraId="7D805F57" w14:textId="77777777" w:rsidR="003720F8" w:rsidRPr="00062B26" w:rsidRDefault="003720F8">
      <w:pPr>
        <w:pStyle w:val="1titre"/>
        <w:numPr>
          <w:ilvl w:val="0"/>
          <w:numId w:val="19"/>
        </w:numPr>
        <w:spacing w:line="276" w:lineRule="auto"/>
      </w:pPr>
      <w:r w:rsidRPr="00062B26">
        <w:t>D-dimères</w:t>
      </w:r>
    </w:p>
    <w:p w14:paraId="40D6822B" w14:textId="77777777" w:rsidR="003720F8" w:rsidRPr="00062B26" w:rsidRDefault="003720F8" w:rsidP="003720F8">
      <w:pPr>
        <w:spacing w:line="276" w:lineRule="auto"/>
        <w:rPr>
          <w:rFonts w:cs="Arial"/>
          <w:u w:val="single"/>
        </w:rPr>
      </w:pPr>
      <w:r w:rsidRPr="00062B26">
        <w:rPr>
          <w:rFonts w:cs="Arial"/>
          <w:u w:val="single"/>
        </w:rPr>
        <w:t xml:space="preserve">Si PC non forte : </w:t>
      </w:r>
      <w:r w:rsidRPr="00062B26">
        <w:rPr>
          <w:rFonts w:cs="Arial"/>
          <w:b/>
          <w:u w:val="single"/>
        </w:rPr>
        <w:t xml:space="preserve">D-dimères </w:t>
      </w:r>
    </w:p>
    <w:p w14:paraId="004C8551" w14:textId="77777777" w:rsidR="003720F8" w:rsidRPr="00062B26" w:rsidRDefault="003720F8" w:rsidP="003720F8">
      <w:pPr>
        <w:spacing w:line="276" w:lineRule="auto"/>
        <w:rPr>
          <w:rFonts w:cs="Arial"/>
        </w:rPr>
      </w:pPr>
      <w:r>
        <w:rPr>
          <w:rFonts w:cs="Arial"/>
          <w:iCs/>
        </w:rPr>
        <w:t xml:space="preserve">- </w:t>
      </w:r>
      <w:r w:rsidRPr="00062B26">
        <w:rPr>
          <w:rFonts w:cs="Arial"/>
        </w:rPr>
        <w:t xml:space="preserve">Les D-Dimères = produits de dégradation de la fibrine. </w:t>
      </w:r>
    </w:p>
    <w:p w14:paraId="12A311CD" w14:textId="77777777" w:rsidR="003720F8" w:rsidRPr="00062B26" w:rsidRDefault="003720F8" w:rsidP="003720F8">
      <w:pPr>
        <w:spacing w:line="276" w:lineRule="auto"/>
        <w:rPr>
          <w:rFonts w:cs="Arial"/>
        </w:rPr>
      </w:pPr>
      <w:r>
        <w:rPr>
          <w:rFonts w:cs="Arial"/>
        </w:rPr>
        <w:t xml:space="preserve">- </w:t>
      </w:r>
      <w:r w:rsidRPr="00062B26">
        <w:rPr>
          <w:rFonts w:cs="Arial"/>
        </w:rPr>
        <w:t>Les 2</w:t>
      </w:r>
      <w:r>
        <w:rPr>
          <w:rFonts w:cs="Arial"/>
        </w:rPr>
        <w:t> </w:t>
      </w:r>
      <w:r w:rsidRPr="00062B26">
        <w:rPr>
          <w:rFonts w:cs="Arial"/>
        </w:rPr>
        <w:t xml:space="preserve">tests les plus utilisés : </w:t>
      </w:r>
      <w:proofErr w:type="spellStart"/>
      <w:r w:rsidRPr="00062B26">
        <w:rPr>
          <w:rFonts w:cs="Arial"/>
        </w:rPr>
        <w:t>Vidas</w:t>
      </w:r>
      <w:r w:rsidRPr="00062B26">
        <w:rPr>
          <w:rFonts w:cs="Arial"/>
          <w:vertAlign w:val="superscript"/>
        </w:rPr>
        <w:t>®</w:t>
      </w:r>
      <w:r w:rsidRPr="00062B26">
        <w:rPr>
          <w:rFonts w:cs="Arial"/>
        </w:rPr>
        <w:t>DD</w:t>
      </w:r>
      <w:proofErr w:type="spellEnd"/>
      <w:r w:rsidRPr="00062B26">
        <w:rPr>
          <w:rFonts w:cs="Arial"/>
        </w:rPr>
        <w:t xml:space="preserve"> (ELISA), </w:t>
      </w:r>
      <w:proofErr w:type="spellStart"/>
      <w:r w:rsidRPr="00062B26">
        <w:rPr>
          <w:rFonts w:cs="Arial"/>
        </w:rPr>
        <w:t>Liatest</w:t>
      </w:r>
      <w:proofErr w:type="spellEnd"/>
      <w:r w:rsidRPr="00062B26">
        <w:rPr>
          <w:rFonts w:cs="Arial"/>
          <w:vertAlign w:val="superscript"/>
        </w:rPr>
        <w:t>®</w:t>
      </w:r>
      <w:r w:rsidRPr="00062B26">
        <w:rPr>
          <w:rFonts w:cs="Arial"/>
        </w:rPr>
        <w:t xml:space="preserve"> (latex quantitatif).</w:t>
      </w:r>
    </w:p>
    <w:p w14:paraId="14EEA0BF" w14:textId="77777777" w:rsidR="003720F8" w:rsidRPr="00062B26" w:rsidRDefault="003720F8" w:rsidP="003720F8">
      <w:pPr>
        <w:spacing w:line="276" w:lineRule="auto"/>
        <w:rPr>
          <w:rFonts w:cs="Arial"/>
        </w:rPr>
      </w:pPr>
      <w:r w:rsidRPr="00FD32E7">
        <w:rPr>
          <w:rFonts w:cs="Arial"/>
          <w:bCs/>
        </w:rPr>
        <w:t xml:space="preserve">- </w:t>
      </w:r>
      <w:r w:rsidRPr="00062B26">
        <w:rPr>
          <w:rFonts w:cs="Arial"/>
          <w:b/>
        </w:rPr>
        <w:t>Très sensibles</w:t>
      </w:r>
      <w:r w:rsidRPr="00062B26">
        <w:rPr>
          <w:rFonts w:cs="Arial"/>
        </w:rPr>
        <w:t xml:space="preserve"> (≥ 96</w:t>
      </w:r>
      <w:r>
        <w:rPr>
          <w:rFonts w:cs="Arial"/>
        </w:rPr>
        <w:t> </w:t>
      </w:r>
      <w:r w:rsidRPr="00062B26">
        <w:rPr>
          <w:rFonts w:cs="Arial"/>
        </w:rPr>
        <w:t xml:space="preserve">%) : </w:t>
      </w:r>
      <w:r w:rsidRPr="00062B26">
        <w:rPr>
          <w:rFonts w:cs="Arial"/>
          <w:b/>
        </w:rPr>
        <w:t>un</w:t>
      </w:r>
      <w:r w:rsidRPr="00062B26">
        <w:rPr>
          <w:rFonts w:cs="Arial"/>
        </w:rPr>
        <w:t xml:space="preserve"> </w:t>
      </w:r>
      <w:r w:rsidRPr="00062B26">
        <w:rPr>
          <w:rFonts w:cs="Arial"/>
          <w:b/>
        </w:rPr>
        <w:t>test négatif exclut le diagnostic d’EP si la PC est non forte</w:t>
      </w:r>
      <w:r w:rsidRPr="00062B26">
        <w:rPr>
          <w:rFonts w:cs="Arial"/>
        </w:rPr>
        <w:t>.</w:t>
      </w:r>
    </w:p>
    <w:p w14:paraId="219974DE" w14:textId="77777777" w:rsidR="003720F8" w:rsidRPr="00062B26" w:rsidRDefault="003720F8" w:rsidP="003720F8">
      <w:pPr>
        <w:spacing w:line="276" w:lineRule="auto"/>
        <w:rPr>
          <w:rFonts w:cs="Arial"/>
        </w:rPr>
      </w:pPr>
      <w:r w:rsidRPr="00FD32E7">
        <w:rPr>
          <w:rFonts w:cs="Arial"/>
          <w:bCs/>
        </w:rPr>
        <w:t xml:space="preserve">- </w:t>
      </w:r>
      <w:r w:rsidRPr="00062B26">
        <w:rPr>
          <w:rFonts w:cs="Arial"/>
          <w:b/>
        </w:rPr>
        <w:t>Non spécifiques</w:t>
      </w:r>
      <w:r w:rsidRPr="00062B26">
        <w:rPr>
          <w:rFonts w:cs="Arial"/>
        </w:rPr>
        <w:t> </w:t>
      </w:r>
      <w:r w:rsidRPr="00062B26">
        <w:rPr>
          <w:rFonts w:cs="Arial"/>
          <w:b/>
        </w:rPr>
        <w:t>: un test positif n’a aucune valeur diagnostique (faux positifs).</w:t>
      </w:r>
      <w:r w:rsidRPr="00062B26">
        <w:rPr>
          <w:rFonts w:cs="Arial"/>
        </w:rPr>
        <w:t xml:space="preserve"> </w:t>
      </w:r>
    </w:p>
    <w:p w14:paraId="17253E80" w14:textId="1F7C341B" w:rsidR="003720F8" w:rsidRPr="00062B26" w:rsidRDefault="003720F8" w:rsidP="003720F8">
      <w:pPr>
        <w:spacing w:line="276" w:lineRule="auto"/>
        <w:rPr>
          <w:rFonts w:cs="Arial"/>
        </w:rPr>
      </w:pPr>
      <w:r>
        <w:rPr>
          <w:rFonts w:cs="Arial"/>
        </w:rPr>
        <w:t xml:space="preserve">- </w:t>
      </w:r>
      <w:r w:rsidRPr="00062B26">
        <w:rPr>
          <w:rFonts w:cs="Arial"/>
        </w:rPr>
        <w:t>Un test de D-dimères négatif est défini par</w:t>
      </w:r>
      <w:r>
        <w:rPr>
          <w:rFonts w:cs="Arial"/>
        </w:rPr>
        <w:t> </w:t>
      </w:r>
      <w:r w:rsidRPr="00062B26">
        <w:rPr>
          <w:rFonts w:cs="Arial"/>
        </w:rPr>
        <w:t>:</w:t>
      </w:r>
    </w:p>
    <w:p w14:paraId="0ADB75FE" w14:textId="77777777" w:rsidR="003720F8" w:rsidRPr="00062B26" w:rsidRDefault="003720F8">
      <w:pPr>
        <w:numPr>
          <w:ilvl w:val="1"/>
          <w:numId w:val="14"/>
        </w:numPr>
        <w:spacing w:line="276" w:lineRule="auto"/>
        <w:ind w:left="284" w:hanging="142"/>
        <w:rPr>
          <w:rFonts w:cs="Arial"/>
        </w:rPr>
      </w:pPr>
      <w:r w:rsidRPr="00062B26">
        <w:rPr>
          <w:rFonts w:cs="Arial"/>
        </w:rPr>
        <w:t>&lt; 50</w:t>
      </w:r>
      <w:r>
        <w:rPr>
          <w:rFonts w:cs="Arial"/>
        </w:rPr>
        <w:t> </w:t>
      </w:r>
      <w:r w:rsidRPr="00062B26">
        <w:rPr>
          <w:rFonts w:cs="Arial"/>
        </w:rPr>
        <w:t>ans :</w:t>
      </w:r>
      <w:r w:rsidRPr="00062B26">
        <w:rPr>
          <w:rFonts w:cs="Arial"/>
          <w:b/>
        </w:rPr>
        <w:t xml:space="preserve"> concentration plasmatique &lt; 500</w:t>
      </w:r>
      <w:r>
        <w:rPr>
          <w:rFonts w:cs="Arial"/>
          <w:b/>
        </w:rPr>
        <w:t> </w:t>
      </w:r>
      <w:r w:rsidRPr="00062B26">
        <w:rPr>
          <w:rFonts w:cs="Arial"/>
          <w:b/>
        </w:rPr>
        <w:t>µg/L</w:t>
      </w:r>
      <w:r>
        <w:rPr>
          <w:rFonts w:cs="Arial"/>
          <w:b/>
        </w:rPr>
        <w:t>.</w:t>
      </w:r>
    </w:p>
    <w:p w14:paraId="204A3B4F" w14:textId="77777777" w:rsidR="003720F8" w:rsidRPr="00062B26" w:rsidRDefault="003720F8">
      <w:pPr>
        <w:numPr>
          <w:ilvl w:val="1"/>
          <w:numId w:val="14"/>
        </w:numPr>
        <w:spacing w:line="276" w:lineRule="auto"/>
        <w:ind w:left="284" w:hanging="142"/>
        <w:rPr>
          <w:rFonts w:cs="Arial"/>
        </w:rPr>
      </w:pPr>
      <w:r w:rsidRPr="00062B26">
        <w:rPr>
          <w:rFonts w:cs="Arial"/>
          <w:b/>
        </w:rPr>
        <w:t>≥ 50</w:t>
      </w:r>
      <w:r>
        <w:rPr>
          <w:rFonts w:cs="Arial"/>
          <w:b/>
        </w:rPr>
        <w:t> </w:t>
      </w:r>
      <w:r w:rsidRPr="00062B26">
        <w:rPr>
          <w:rFonts w:cs="Arial"/>
          <w:b/>
        </w:rPr>
        <w:t>ans : &lt; à un seuil ajusté à l’âge (âge x 10) (ex : âge 78</w:t>
      </w:r>
      <w:r>
        <w:rPr>
          <w:rFonts w:cs="Arial"/>
          <w:b/>
        </w:rPr>
        <w:t> </w:t>
      </w:r>
      <w:r w:rsidRPr="00062B26">
        <w:rPr>
          <w:rFonts w:cs="Arial"/>
          <w:b/>
        </w:rPr>
        <w:t>ans, seuil 780</w:t>
      </w:r>
      <w:r>
        <w:rPr>
          <w:rFonts w:cs="Arial"/>
          <w:b/>
        </w:rPr>
        <w:t> </w:t>
      </w:r>
      <w:r w:rsidRPr="00062B26">
        <w:rPr>
          <w:rFonts w:cs="Arial"/>
          <w:b/>
        </w:rPr>
        <w:t>µg/L)</w:t>
      </w:r>
      <w:r w:rsidRPr="00062B26">
        <w:rPr>
          <w:rFonts w:cs="Arial"/>
        </w:rPr>
        <w:t>.</w:t>
      </w:r>
    </w:p>
    <w:p w14:paraId="5AD21BB7" w14:textId="77777777" w:rsidR="003720F8" w:rsidRPr="00062B26" w:rsidRDefault="003720F8" w:rsidP="003720F8">
      <w:pPr>
        <w:spacing w:line="276" w:lineRule="auto"/>
        <w:rPr>
          <w:rFonts w:cs="Arial"/>
          <w:b/>
          <w:bCs/>
        </w:rPr>
      </w:pPr>
      <w:r>
        <w:rPr>
          <w:rFonts w:cs="Arial"/>
        </w:rPr>
        <w:t xml:space="preserve">- </w:t>
      </w:r>
      <w:r w:rsidRPr="00062B26">
        <w:rPr>
          <w:rFonts w:cs="Arial"/>
        </w:rPr>
        <w:t xml:space="preserve">Les D-dimères sont élevés dans de nombreuses situations (cancer, infections, grossesse…). </w:t>
      </w:r>
      <w:r w:rsidRPr="00062B26">
        <w:rPr>
          <w:rFonts w:cs="Arial"/>
          <w:b/>
          <w:bCs/>
        </w:rPr>
        <w:t xml:space="preserve">Mais la sensibilité du test est toujours conservée </w:t>
      </w:r>
      <w:r w:rsidRPr="00062B26">
        <w:rPr>
          <w:rFonts w:cs="Arial"/>
        </w:rPr>
        <w:t xml:space="preserve">(= un test négatif exclut le diagnostic d’EP en cas de PC non forte avec la même sécurité). </w:t>
      </w:r>
    </w:p>
    <w:p w14:paraId="497E2966" w14:textId="77777777" w:rsidR="003720F8" w:rsidRPr="00062B26" w:rsidRDefault="003720F8" w:rsidP="003720F8">
      <w:pPr>
        <w:spacing w:line="276" w:lineRule="auto"/>
        <w:rPr>
          <w:rFonts w:cs="Arial"/>
          <w:b/>
          <w:bCs/>
        </w:rPr>
      </w:pPr>
      <w:r>
        <w:rPr>
          <w:rFonts w:cs="Arial"/>
        </w:rPr>
        <w:t xml:space="preserve">- </w:t>
      </w:r>
      <w:r w:rsidRPr="00062B26">
        <w:rPr>
          <w:rFonts w:cs="Arial"/>
        </w:rPr>
        <w:t>Non interprétables chez les patients sous anticoagulants curatifs.</w:t>
      </w:r>
    </w:p>
    <w:p w14:paraId="080719CE" w14:textId="77777777" w:rsidR="003720F8" w:rsidRPr="00062B26" w:rsidRDefault="003720F8" w:rsidP="003720F8">
      <w:pPr>
        <w:spacing w:line="276" w:lineRule="auto"/>
        <w:rPr>
          <w:rFonts w:cs="Arial"/>
          <w:bCs/>
          <w:i/>
          <w:iCs/>
        </w:rPr>
      </w:pPr>
    </w:p>
    <w:p w14:paraId="1375AEF5" w14:textId="77777777" w:rsidR="003720F8" w:rsidRPr="00FD32E7" w:rsidRDefault="003720F8" w:rsidP="003720F8">
      <w:pPr>
        <w:spacing w:line="276" w:lineRule="auto"/>
        <w:rPr>
          <w:rFonts w:cs="Arial"/>
          <w:b/>
          <w:bCs/>
          <w:iCs/>
        </w:rPr>
      </w:pPr>
      <w:r w:rsidRPr="00062B26">
        <w:rPr>
          <w:rFonts w:cs="Arial"/>
          <w:u w:val="single"/>
        </w:rPr>
        <w:t>Si PC forte ou (PC non forte+ D-dimères positifs)</w:t>
      </w:r>
      <w:r>
        <w:rPr>
          <w:rFonts w:cs="Arial"/>
          <w:u w:val="single"/>
        </w:rPr>
        <w:t> </w:t>
      </w:r>
      <w:r w:rsidRPr="00062B26">
        <w:rPr>
          <w:rFonts w:cs="Arial"/>
          <w:u w:val="single"/>
        </w:rPr>
        <w:t xml:space="preserve">: </w:t>
      </w:r>
      <w:r w:rsidRPr="00062B26">
        <w:rPr>
          <w:rFonts w:cs="Arial"/>
          <w:b/>
          <w:u w:val="single"/>
        </w:rPr>
        <w:t>examens morphologiques</w:t>
      </w:r>
      <w:r w:rsidRPr="00062B26">
        <w:rPr>
          <w:rFonts w:cs="Arial"/>
          <w:u w:val="single"/>
        </w:rPr>
        <w:t xml:space="preserve"> (figure</w:t>
      </w:r>
      <w:r>
        <w:rPr>
          <w:rFonts w:cs="Arial"/>
          <w:u w:val="single"/>
        </w:rPr>
        <w:t> </w:t>
      </w:r>
      <w:r w:rsidRPr="00062B26">
        <w:rPr>
          <w:rFonts w:cs="Arial"/>
          <w:u w:val="single"/>
        </w:rPr>
        <w:t>6</w:t>
      </w:r>
      <w:r>
        <w:rPr>
          <w:rFonts w:cs="Arial"/>
        </w:rPr>
        <w:t>).</w:t>
      </w:r>
    </w:p>
    <w:p w14:paraId="24C5AC8C" w14:textId="77777777" w:rsidR="003720F8" w:rsidRPr="00062B26" w:rsidRDefault="003720F8" w:rsidP="003720F8">
      <w:pPr>
        <w:spacing w:line="276" w:lineRule="auto"/>
        <w:rPr>
          <w:rFonts w:cs="Arial"/>
          <w:bCs/>
          <w:iCs/>
        </w:rPr>
      </w:pPr>
      <w:r w:rsidRPr="00062B26">
        <w:rPr>
          <w:rFonts w:cs="Arial"/>
          <w:b/>
          <w:bCs/>
          <w:iCs/>
        </w:rPr>
        <w:t>Si PC forte </w:t>
      </w:r>
      <w:r w:rsidRPr="00062B26">
        <w:rPr>
          <w:rFonts w:cs="Arial"/>
          <w:bCs/>
          <w:iCs/>
        </w:rPr>
        <w:t xml:space="preserve">: </w:t>
      </w:r>
      <w:r w:rsidRPr="00062B26">
        <w:rPr>
          <w:rFonts w:cs="Arial"/>
          <w:b/>
          <w:bCs/>
          <w:iCs/>
        </w:rPr>
        <w:t>pas de dosage des D-dimères</w:t>
      </w:r>
      <w:r w:rsidRPr="00062B26">
        <w:rPr>
          <w:rFonts w:cs="Arial"/>
          <w:bCs/>
          <w:iCs/>
        </w:rPr>
        <w:t xml:space="preserve"> (risque de faux négatifs).  </w:t>
      </w:r>
    </w:p>
    <w:p w14:paraId="50AF9E17" w14:textId="6F84D018" w:rsidR="003720F8" w:rsidRPr="00062B26" w:rsidRDefault="00197D58" w:rsidP="00197D58">
      <w:pPr>
        <w:spacing w:after="160"/>
        <w:jc w:val="left"/>
        <w:rPr>
          <w:rFonts w:cs="Arial"/>
          <w:iCs/>
        </w:rPr>
      </w:pPr>
      <w:r>
        <w:rPr>
          <w:rFonts w:cs="Arial"/>
          <w:iCs/>
        </w:rPr>
        <w:br w:type="page"/>
      </w:r>
    </w:p>
    <w:p w14:paraId="1987F4D9" w14:textId="77777777" w:rsidR="003720F8" w:rsidRPr="00062B26" w:rsidRDefault="003720F8" w:rsidP="003720F8">
      <w:pPr>
        <w:pStyle w:val="Titre2"/>
        <w:spacing w:line="276" w:lineRule="auto"/>
      </w:pPr>
      <w:r w:rsidRPr="00062B26">
        <w:lastRenderedPageBreak/>
        <w:t xml:space="preserve">Angioscanner spiralé thoracique </w:t>
      </w:r>
      <w:proofErr w:type="spellStart"/>
      <w:r w:rsidRPr="00062B26">
        <w:t>multibarettes</w:t>
      </w:r>
      <w:proofErr w:type="spellEnd"/>
      <w:r w:rsidRPr="00062B26">
        <w:t xml:space="preserve"> </w:t>
      </w:r>
    </w:p>
    <w:p w14:paraId="0FC8E6A7" w14:textId="77777777" w:rsidR="003720F8" w:rsidRPr="00FD32E7" w:rsidRDefault="003720F8" w:rsidP="003720F8">
      <w:pPr>
        <w:spacing w:line="276" w:lineRule="auto"/>
        <w:rPr>
          <w:rFonts w:cs="Arial"/>
        </w:rPr>
      </w:pPr>
      <w:r>
        <w:rPr>
          <w:rFonts w:cs="Arial"/>
        </w:rPr>
        <w:t xml:space="preserve">- </w:t>
      </w:r>
      <w:r w:rsidRPr="00FD32E7">
        <w:rPr>
          <w:rFonts w:cs="Arial"/>
        </w:rPr>
        <w:t>Critère diagnostique : présence de lacunes endovasculaires ou absence d’opacification d’une section artérielle pulmonaire (figure</w:t>
      </w:r>
      <w:r>
        <w:rPr>
          <w:rFonts w:cs="Arial"/>
        </w:rPr>
        <w:t> </w:t>
      </w:r>
      <w:r w:rsidRPr="00FD32E7">
        <w:rPr>
          <w:rFonts w:cs="Arial"/>
        </w:rPr>
        <w:t xml:space="preserve">3) sur une artère segmentaire ou plus proximale. </w:t>
      </w:r>
    </w:p>
    <w:p w14:paraId="29454287" w14:textId="77777777" w:rsidR="003720F8" w:rsidRPr="00FD32E7" w:rsidRDefault="003720F8" w:rsidP="003720F8">
      <w:pPr>
        <w:spacing w:line="276" w:lineRule="auto"/>
        <w:rPr>
          <w:rFonts w:cs="Arial"/>
        </w:rPr>
      </w:pPr>
      <w:r>
        <w:rPr>
          <w:rFonts w:cs="Arial"/>
        </w:rPr>
        <w:t xml:space="preserve">- </w:t>
      </w:r>
      <w:r w:rsidRPr="00FD32E7">
        <w:rPr>
          <w:rFonts w:cs="Arial"/>
        </w:rPr>
        <w:t>Inconvénients : irradiant et nécessite l’injection de produit de contraste iodé.</w:t>
      </w:r>
    </w:p>
    <w:p w14:paraId="6115EED0" w14:textId="77777777" w:rsidR="003720F8" w:rsidRPr="00FD32E7" w:rsidRDefault="003720F8" w:rsidP="003720F8">
      <w:pPr>
        <w:spacing w:line="276" w:lineRule="auto"/>
        <w:rPr>
          <w:rFonts w:cs="Arial"/>
        </w:rPr>
      </w:pPr>
      <w:r w:rsidRPr="00FD32E7">
        <w:rPr>
          <w:rFonts w:cs="Arial"/>
          <w:bCs/>
        </w:rPr>
        <w:t xml:space="preserve">- </w:t>
      </w:r>
      <w:r w:rsidRPr="00FD32E7">
        <w:rPr>
          <w:rFonts w:cs="Arial"/>
          <w:b/>
        </w:rPr>
        <w:t>Très spécifique </w:t>
      </w:r>
      <w:r w:rsidRPr="00FD32E7">
        <w:rPr>
          <w:rFonts w:cs="Arial"/>
        </w:rPr>
        <w:t>: confirme le diagnostic quelle que soit la PC.</w:t>
      </w:r>
    </w:p>
    <w:p w14:paraId="21777D21" w14:textId="77777777" w:rsidR="003720F8" w:rsidRPr="00FD32E7" w:rsidRDefault="003720F8" w:rsidP="003720F8">
      <w:pPr>
        <w:spacing w:line="276" w:lineRule="auto"/>
        <w:rPr>
          <w:rFonts w:cs="Arial"/>
        </w:rPr>
      </w:pPr>
      <w:r>
        <w:rPr>
          <w:rFonts w:cs="Arial"/>
        </w:rPr>
        <w:t xml:space="preserve">- </w:t>
      </w:r>
      <w:r w:rsidRPr="00FD32E7">
        <w:rPr>
          <w:rFonts w:cs="Arial"/>
        </w:rPr>
        <w:t>Modérément sensible</w:t>
      </w:r>
      <w:r>
        <w:rPr>
          <w:rFonts w:cs="Arial"/>
        </w:rPr>
        <w:t> </w:t>
      </w:r>
      <w:r w:rsidRPr="00FD32E7">
        <w:rPr>
          <w:rFonts w:cs="Arial"/>
        </w:rPr>
        <w:t xml:space="preserve">: </w:t>
      </w:r>
      <w:r w:rsidRPr="00FD32E7">
        <w:rPr>
          <w:rFonts w:cs="Arial"/>
          <w:b/>
        </w:rPr>
        <w:t xml:space="preserve">un angioscanner thoracique négatif exclut l’EP </w:t>
      </w:r>
      <w:r w:rsidRPr="00FD32E7">
        <w:rPr>
          <w:rFonts w:cs="Arial"/>
        </w:rPr>
        <w:t xml:space="preserve">sauf en cas de PC forte (poursuivre les explorations). </w:t>
      </w:r>
    </w:p>
    <w:p w14:paraId="00080D1F" w14:textId="77777777" w:rsidR="003720F8" w:rsidRPr="00FD32E7" w:rsidRDefault="003720F8" w:rsidP="003720F8">
      <w:pPr>
        <w:spacing w:line="276" w:lineRule="auto"/>
        <w:rPr>
          <w:rFonts w:cs="Arial"/>
        </w:rPr>
      </w:pPr>
      <w:r>
        <w:rPr>
          <w:rFonts w:cs="Arial"/>
        </w:rPr>
        <w:t xml:space="preserve">- </w:t>
      </w:r>
      <w:r w:rsidRPr="00FD32E7">
        <w:rPr>
          <w:rFonts w:cs="Arial"/>
        </w:rPr>
        <w:t>Contre-indications : allergie aux produits de contraste iodés</w:t>
      </w:r>
      <w:r>
        <w:rPr>
          <w:rFonts w:ascii="Arial" w:hAnsi="Arial" w:cs="Arial"/>
        </w:rPr>
        <w:t> </w:t>
      </w:r>
      <w:r w:rsidRPr="00FD32E7">
        <w:rPr>
          <w:rFonts w:cs="Arial"/>
        </w:rPr>
        <w:t>; insuffisance rénale sévère.</w:t>
      </w:r>
    </w:p>
    <w:p w14:paraId="747EC08A" w14:textId="77777777" w:rsidR="003720F8" w:rsidRPr="00062B26" w:rsidRDefault="003720F8" w:rsidP="003720F8">
      <w:pPr>
        <w:spacing w:line="276" w:lineRule="auto"/>
        <w:rPr>
          <w:rFonts w:cs="Arial"/>
        </w:rPr>
      </w:pPr>
    </w:p>
    <w:p w14:paraId="2BAB5147" w14:textId="1B5DF8FC" w:rsidR="003720F8" w:rsidRDefault="003720F8" w:rsidP="003720F8">
      <w:pPr>
        <w:pStyle w:val="lgende"/>
      </w:pPr>
      <w:r w:rsidRPr="00062B26">
        <w:rPr>
          <w:noProof/>
          <w:szCs w:val="20"/>
        </w:rPr>
        <w:drawing>
          <wp:anchor distT="0" distB="0" distL="114300" distR="114300" simplePos="0" relativeHeight="251794432" behindDoc="0" locked="0" layoutInCell="1" allowOverlap="1" wp14:anchorId="4F776119" wp14:editId="0AF71DC7">
            <wp:simplePos x="0" y="0"/>
            <wp:positionH relativeFrom="column">
              <wp:posOffset>3100070</wp:posOffset>
            </wp:positionH>
            <wp:positionV relativeFrom="paragraph">
              <wp:posOffset>369570</wp:posOffset>
            </wp:positionV>
            <wp:extent cx="2744470" cy="2348865"/>
            <wp:effectExtent l="0" t="0" r="0" b="0"/>
            <wp:wrapSquare wrapText="bothSides"/>
            <wp:docPr id="560669049" name="Image 560669049"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4470" cy="2348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62B26">
        <w:rPr>
          <w:noProof/>
          <w:szCs w:val="20"/>
        </w:rPr>
        <w:drawing>
          <wp:anchor distT="0" distB="0" distL="114300" distR="114300" simplePos="0" relativeHeight="251793408" behindDoc="0" locked="0" layoutInCell="1" allowOverlap="1" wp14:anchorId="6E72BD5A" wp14:editId="2F80956F">
            <wp:simplePos x="0" y="0"/>
            <wp:positionH relativeFrom="margin">
              <wp:align>left</wp:align>
            </wp:positionH>
            <wp:positionV relativeFrom="paragraph">
              <wp:posOffset>369570</wp:posOffset>
            </wp:positionV>
            <wp:extent cx="2933700" cy="2344420"/>
            <wp:effectExtent l="0" t="0" r="0" b="0"/>
            <wp:wrapSquare wrapText="bothSides"/>
            <wp:docPr id="3" name="Image 3"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33700" cy="234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62B26">
        <w:t>Figure 3</w:t>
      </w:r>
      <w:r>
        <w:t> </w:t>
      </w:r>
      <w:r w:rsidRPr="00062B26">
        <w:t>:</w:t>
      </w:r>
      <w:r>
        <w:t xml:space="preserve"> </w:t>
      </w:r>
      <w:r w:rsidRPr="00062B26">
        <w:t xml:space="preserve">Angioscanner spiralé thoracique montrant une embolie pulmonaire proximale. 1= aorte ascendante, 2 = veine cave supérieure, flèches = </w:t>
      </w:r>
      <w:proofErr w:type="spellStart"/>
      <w:r w:rsidRPr="00062B26">
        <w:t>thrombi</w:t>
      </w:r>
      <w:proofErr w:type="spellEnd"/>
      <w:r>
        <w:t>.</w:t>
      </w:r>
    </w:p>
    <w:p w14:paraId="21D602AC" w14:textId="77777777" w:rsidR="003720F8" w:rsidRPr="00062B26" w:rsidRDefault="003720F8" w:rsidP="003720F8">
      <w:pPr>
        <w:spacing w:line="276" w:lineRule="auto"/>
        <w:rPr>
          <w:rFonts w:cs="Arial"/>
          <w:iCs/>
          <w:u w:val="single"/>
        </w:rPr>
      </w:pPr>
    </w:p>
    <w:p w14:paraId="2A3150F6" w14:textId="00860BBA" w:rsidR="003720F8" w:rsidRPr="00062B26" w:rsidRDefault="003720F8" w:rsidP="003720F8">
      <w:pPr>
        <w:pStyle w:val="Titre2"/>
        <w:spacing w:line="276" w:lineRule="auto"/>
      </w:pPr>
      <w:r w:rsidRPr="00062B26">
        <w:t xml:space="preserve">Scintigraphie pulmonaire de ventilation perfusion </w:t>
      </w:r>
    </w:p>
    <w:p w14:paraId="40FBA3FD" w14:textId="6EA5D022" w:rsidR="003720F8" w:rsidRPr="00FD32E7" w:rsidRDefault="003720F8" w:rsidP="003720F8">
      <w:pPr>
        <w:spacing w:line="276" w:lineRule="auto"/>
        <w:rPr>
          <w:rFonts w:cs="Arial"/>
        </w:rPr>
      </w:pPr>
      <w:r>
        <w:rPr>
          <w:rFonts w:cs="Arial"/>
        </w:rPr>
        <w:t xml:space="preserve">- </w:t>
      </w:r>
      <w:r w:rsidRPr="00FD32E7">
        <w:rPr>
          <w:rFonts w:cs="Arial"/>
        </w:rPr>
        <w:t>Examen non invasif qui comporte une injection intraveineuse d’agrégats d’albumine marqués au technétium 99</w:t>
      </w:r>
      <w:r>
        <w:rPr>
          <w:rFonts w:cs="Arial"/>
        </w:rPr>
        <w:t> </w:t>
      </w:r>
      <w:r w:rsidRPr="00FD32E7">
        <w:rPr>
          <w:rFonts w:cs="Arial"/>
        </w:rPr>
        <w:t>m (99mTc) et inhalation de gaz radioactif, le krypton 81</w:t>
      </w:r>
      <w:r>
        <w:rPr>
          <w:rFonts w:cs="Arial"/>
        </w:rPr>
        <w:t> </w:t>
      </w:r>
      <w:r w:rsidRPr="00FD32E7">
        <w:rPr>
          <w:rFonts w:cs="Arial"/>
        </w:rPr>
        <w:t>m ou 99mTc. Réalisée en cas de contre-indication ou de difficulté à l’obtention rapide d’un l’angioscanner et en cas de forte suspicion clinique avec un angioscanner négatif.</w:t>
      </w:r>
    </w:p>
    <w:p w14:paraId="10CF0AB6" w14:textId="77777777" w:rsidR="003720F8" w:rsidRPr="00FD32E7" w:rsidRDefault="003720F8" w:rsidP="003720F8">
      <w:pPr>
        <w:spacing w:line="276" w:lineRule="auto"/>
        <w:rPr>
          <w:rFonts w:cs="Arial"/>
        </w:rPr>
      </w:pPr>
      <w:r>
        <w:rPr>
          <w:rFonts w:cs="Arial"/>
        </w:rPr>
        <w:t xml:space="preserve">- </w:t>
      </w:r>
      <w:r w:rsidRPr="00FD32E7">
        <w:rPr>
          <w:rFonts w:cs="Arial"/>
        </w:rPr>
        <w:t>2 modes d’acquisition :</w:t>
      </w:r>
    </w:p>
    <w:p w14:paraId="71DAADDF" w14:textId="77777777" w:rsidR="003720F8" w:rsidRPr="00062B26" w:rsidRDefault="003720F8">
      <w:pPr>
        <w:pStyle w:val="Paragraphedeliste"/>
        <w:numPr>
          <w:ilvl w:val="1"/>
          <w:numId w:val="15"/>
        </w:numPr>
        <w:spacing w:line="276" w:lineRule="auto"/>
        <w:ind w:left="284" w:hanging="142"/>
        <w:rPr>
          <w:rFonts w:cs="Arial"/>
        </w:rPr>
      </w:pPr>
      <w:r w:rsidRPr="00062B26">
        <w:rPr>
          <w:rFonts w:cs="Arial"/>
        </w:rPr>
        <w:t>Planaire (figure</w:t>
      </w:r>
      <w:r>
        <w:rPr>
          <w:rFonts w:cs="Arial"/>
        </w:rPr>
        <w:t> </w:t>
      </w:r>
      <w:r w:rsidRPr="00062B26">
        <w:rPr>
          <w:rFonts w:cs="Arial"/>
        </w:rPr>
        <w:t>4) :</w:t>
      </w:r>
    </w:p>
    <w:p w14:paraId="6D4D4855" w14:textId="77777777" w:rsidR="003720F8" w:rsidRPr="00062B26" w:rsidRDefault="003720F8">
      <w:pPr>
        <w:pStyle w:val="Paragraphedeliste"/>
        <w:numPr>
          <w:ilvl w:val="1"/>
          <w:numId w:val="16"/>
        </w:numPr>
        <w:spacing w:line="276" w:lineRule="auto"/>
        <w:ind w:left="709" w:hanging="283"/>
        <w:rPr>
          <w:rFonts w:cs="Arial"/>
        </w:rPr>
      </w:pPr>
      <w:r w:rsidRPr="00062B26">
        <w:rPr>
          <w:rFonts w:cs="Arial"/>
        </w:rPr>
        <w:t xml:space="preserve">Technique de référence désormais rarement réalisée. </w:t>
      </w:r>
    </w:p>
    <w:p w14:paraId="48DCDCB0" w14:textId="77777777" w:rsidR="003720F8" w:rsidRPr="00062B26" w:rsidRDefault="003720F8">
      <w:pPr>
        <w:pStyle w:val="Paragraphedeliste"/>
        <w:numPr>
          <w:ilvl w:val="1"/>
          <w:numId w:val="16"/>
        </w:numPr>
        <w:spacing w:line="276" w:lineRule="auto"/>
        <w:ind w:left="709" w:hanging="283"/>
        <w:rPr>
          <w:rFonts w:cs="Arial"/>
        </w:rPr>
      </w:pPr>
      <w:r w:rsidRPr="00062B26">
        <w:rPr>
          <w:rFonts w:cs="Arial"/>
          <w:b/>
        </w:rPr>
        <w:t>Critères diagnostiques complexes</w:t>
      </w:r>
      <w:r>
        <w:rPr>
          <w:rFonts w:cs="Arial"/>
          <w:b/>
        </w:rPr>
        <w:t>,</w:t>
      </w:r>
      <w:r w:rsidRPr="00062B26">
        <w:rPr>
          <w:rFonts w:cs="Arial"/>
          <w:b/>
        </w:rPr>
        <w:t xml:space="preserve"> mais validés </w:t>
      </w:r>
      <w:r w:rsidRPr="00062B26">
        <w:rPr>
          <w:rFonts w:cs="Arial"/>
        </w:rPr>
        <w:t>: classification PIOPED </w:t>
      </w:r>
    </w:p>
    <w:p w14:paraId="5C0B36DC" w14:textId="77777777" w:rsidR="003720F8" w:rsidRPr="00062B26" w:rsidRDefault="003720F8">
      <w:pPr>
        <w:pStyle w:val="Paragraphedeliste"/>
        <w:numPr>
          <w:ilvl w:val="2"/>
          <w:numId w:val="17"/>
        </w:numPr>
        <w:spacing w:line="276" w:lineRule="auto"/>
        <w:ind w:left="993" w:hanging="284"/>
        <w:rPr>
          <w:rFonts w:cs="Arial"/>
        </w:rPr>
      </w:pPr>
      <w:r w:rsidRPr="00062B26">
        <w:rPr>
          <w:rFonts w:cs="Arial"/>
          <w:b/>
        </w:rPr>
        <w:t>Normale </w:t>
      </w:r>
      <w:r w:rsidRPr="00062B26">
        <w:rPr>
          <w:rFonts w:cs="Arial"/>
        </w:rPr>
        <w:t>: pas de défect en perfusion</w:t>
      </w:r>
      <w:r>
        <w:rPr>
          <w:rFonts w:cs="Arial"/>
        </w:rPr>
        <w:t> </w:t>
      </w:r>
      <w:r w:rsidRPr="00062B26">
        <w:rPr>
          <w:rFonts w:cs="Arial"/>
        </w:rPr>
        <w:t xml:space="preserve">: EP exclue quelle que soit la PC </w:t>
      </w:r>
      <w:r w:rsidRPr="00062B26">
        <w:rPr>
          <w:rFonts w:cs="Arial"/>
          <w:b/>
        </w:rPr>
        <w:t>(sensibilité 100</w:t>
      </w:r>
      <w:r>
        <w:rPr>
          <w:rFonts w:cs="Arial"/>
          <w:b/>
        </w:rPr>
        <w:t> </w:t>
      </w:r>
      <w:r w:rsidRPr="00062B26">
        <w:rPr>
          <w:rFonts w:cs="Arial"/>
          <w:b/>
        </w:rPr>
        <w:t>%).</w:t>
      </w:r>
    </w:p>
    <w:p w14:paraId="3544777B" w14:textId="77777777" w:rsidR="003720F8" w:rsidRPr="00062B26" w:rsidRDefault="003720F8">
      <w:pPr>
        <w:pStyle w:val="Paragraphedeliste"/>
        <w:numPr>
          <w:ilvl w:val="2"/>
          <w:numId w:val="17"/>
        </w:numPr>
        <w:spacing w:line="276" w:lineRule="auto"/>
        <w:ind w:left="993" w:hanging="284"/>
        <w:rPr>
          <w:rFonts w:cs="Arial"/>
        </w:rPr>
      </w:pPr>
      <w:r w:rsidRPr="00062B26">
        <w:rPr>
          <w:rFonts w:cs="Arial"/>
          <w:b/>
        </w:rPr>
        <w:t>Haute probabilité PIOPED</w:t>
      </w:r>
      <w:r>
        <w:rPr>
          <w:rFonts w:cs="Arial"/>
          <w:b/>
        </w:rPr>
        <w:t> </w:t>
      </w:r>
      <w:r w:rsidRPr="00062B26">
        <w:rPr>
          <w:rFonts w:cs="Arial"/>
        </w:rPr>
        <w:t>: ≥ 2 défects segmentaires de perfusion sans défect ventilatoire en regard (ou «</w:t>
      </w:r>
      <w:r>
        <w:rPr>
          <w:rFonts w:ascii="Arial" w:hAnsi="Arial" w:cs="Arial"/>
        </w:rPr>
        <w:t> </w:t>
      </w:r>
      <w:proofErr w:type="spellStart"/>
      <w:r w:rsidRPr="00062B26">
        <w:rPr>
          <w:rFonts w:cs="Arial"/>
        </w:rPr>
        <w:t>mismatch</w:t>
      </w:r>
      <w:proofErr w:type="spellEnd"/>
      <w:r>
        <w:rPr>
          <w:rFonts w:ascii="Arial" w:hAnsi="Arial" w:cs="Arial"/>
        </w:rPr>
        <w:t> </w:t>
      </w:r>
      <w:r w:rsidRPr="00062B26">
        <w:rPr>
          <w:rFonts w:cs="Arial"/>
        </w:rPr>
        <w:t>»).</w:t>
      </w:r>
    </w:p>
    <w:p w14:paraId="1EA87032" w14:textId="77777777" w:rsidR="003720F8" w:rsidRPr="00062B26" w:rsidRDefault="003720F8">
      <w:pPr>
        <w:pStyle w:val="Paragraphedeliste"/>
        <w:numPr>
          <w:ilvl w:val="2"/>
          <w:numId w:val="17"/>
        </w:numPr>
        <w:spacing w:line="276" w:lineRule="auto"/>
        <w:ind w:left="993" w:hanging="284"/>
        <w:rPr>
          <w:rFonts w:cs="Arial"/>
        </w:rPr>
      </w:pPr>
      <w:r w:rsidRPr="00062B26">
        <w:rPr>
          <w:rFonts w:cs="Arial"/>
          <w:b/>
        </w:rPr>
        <w:t>Si PC forte ou intermédiaire : confirme le diagnostic d’EP.</w:t>
      </w:r>
    </w:p>
    <w:p w14:paraId="3EE4DEB8" w14:textId="77777777" w:rsidR="003720F8" w:rsidRPr="00062B26" w:rsidRDefault="003720F8">
      <w:pPr>
        <w:pStyle w:val="Paragraphedeliste"/>
        <w:numPr>
          <w:ilvl w:val="2"/>
          <w:numId w:val="17"/>
        </w:numPr>
        <w:spacing w:line="276" w:lineRule="auto"/>
        <w:ind w:left="993" w:hanging="284"/>
        <w:rPr>
          <w:sz w:val="18"/>
        </w:rPr>
      </w:pPr>
      <w:r w:rsidRPr="00062B26">
        <w:rPr>
          <w:rFonts w:cs="Arial"/>
        </w:rPr>
        <w:t>Si PC faible : non conclusif.</w:t>
      </w:r>
    </w:p>
    <w:p w14:paraId="6D41074B" w14:textId="77777777" w:rsidR="003720F8" w:rsidRPr="00062B26" w:rsidRDefault="003720F8">
      <w:pPr>
        <w:pStyle w:val="Paragraphedeliste"/>
        <w:numPr>
          <w:ilvl w:val="2"/>
          <w:numId w:val="17"/>
        </w:numPr>
        <w:spacing w:line="276" w:lineRule="auto"/>
        <w:ind w:left="993" w:hanging="284"/>
        <w:rPr>
          <w:sz w:val="18"/>
        </w:rPr>
      </w:pPr>
      <w:r w:rsidRPr="00062B26">
        <w:rPr>
          <w:rFonts w:cs="Arial"/>
        </w:rPr>
        <w:t>Probabilité PIOPED non haute : non conclusif.</w:t>
      </w:r>
    </w:p>
    <w:p w14:paraId="72C1A8E7" w14:textId="77777777" w:rsidR="003720F8" w:rsidRPr="00062B26" w:rsidRDefault="003720F8">
      <w:pPr>
        <w:pStyle w:val="Paragraphedeliste"/>
        <w:numPr>
          <w:ilvl w:val="1"/>
          <w:numId w:val="15"/>
        </w:numPr>
        <w:spacing w:line="276" w:lineRule="auto"/>
        <w:ind w:left="284" w:hanging="142"/>
        <w:rPr>
          <w:rFonts w:cs="Arial"/>
        </w:rPr>
      </w:pPr>
      <w:r w:rsidRPr="00062B26">
        <w:rPr>
          <w:rFonts w:cs="Arial"/>
        </w:rPr>
        <w:t>Tomoscintigraphie (SPECT)</w:t>
      </w:r>
      <w:r>
        <w:rPr>
          <w:rFonts w:cs="Arial"/>
        </w:rPr>
        <w:t xml:space="preserve"> </w:t>
      </w:r>
      <w:r w:rsidRPr="00062B26">
        <w:rPr>
          <w:rFonts w:cs="Arial"/>
        </w:rPr>
        <w:t>(figure</w:t>
      </w:r>
      <w:r>
        <w:rPr>
          <w:rFonts w:cs="Arial"/>
        </w:rPr>
        <w:t> </w:t>
      </w:r>
      <w:r w:rsidRPr="00062B26">
        <w:rPr>
          <w:rFonts w:cs="Arial"/>
        </w:rPr>
        <w:t xml:space="preserve">5) : </w:t>
      </w:r>
    </w:p>
    <w:p w14:paraId="0A798C0D" w14:textId="77777777" w:rsidR="003720F8" w:rsidRPr="00062B26" w:rsidRDefault="003720F8">
      <w:pPr>
        <w:widowControl w:val="0"/>
        <w:numPr>
          <w:ilvl w:val="0"/>
          <w:numId w:val="16"/>
        </w:numPr>
        <w:spacing w:line="276" w:lineRule="auto"/>
        <w:ind w:left="709" w:hanging="283"/>
        <w:rPr>
          <w:rFonts w:cs="Arial"/>
        </w:rPr>
      </w:pPr>
      <w:r w:rsidRPr="00062B26">
        <w:rPr>
          <w:rFonts w:cs="Arial"/>
        </w:rPr>
        <w:t>Technique + récente : représentation en 3</w:t>
      </w:r>
      <w:r>
        <w:rPr>
          <w:rFonts w:cs="Arial"/>
        </w:rPr>
        <w:t> </w:t>
      </w:r>
      <w:r w:rsidRPr="00062B26">
        <w:rPr>
          <w:rFonts w:cs="Arial"/>
        </w:rPr>
        <w:t xml:space="preserve">dimensions d’où une meilleure caractérisation des défects. </w:t>
      </w:r>
    </w:p>
    <w:p w14:paraId="73FE7203" w14:textId="77777777" w:rsidR="003720F8" w:rsidRPr="00062B26" w:rsidRDefault="003720F8">
      <w:pPr>
        <w:widowControl w:val="0"/>
        <w:numPr>
          <w:ilvl w:val="0"/>
          <w:numId w:val="16"/>
        </w:numPr>
        <w:spacing w:line="276" w:lineRule="auto"/>
        <w:ind w:left="709" w:hanging="283"/>
        <w:rPr>
          <w:rFonts w:cs="Arial"/>
          <w:b/>
          <w:bCs/>
        </w:rPr>
      </w:pPr>
      <w:r w:rsidRPr="00062B26">
        <w:rPr>
          <w:rFonts w:cs="Arial"/>
          <w:b/>
          <w:bCs/>
        </w:rPr>
        <w:lastRenderedPageBreak/>
        <w:t>Critères diagnostiques + simples</w:t>
      </w:r>
      <w:r>
        <w:rPr>
          <w:rFonts w:cs="Arial"/>
          <w:b/>
          <w:bCs/>
        </w:rPr>
        <w:t>,</w:t>
      </w:r>
      <w:r w:rsidRPr="00062B26">
        <w:rPr>
          <w:rFonts w:cs="Arial"/>
          <w:b/>
          <w:bCs/>
        </w:rPr>
        <w:t> mais moins bien validés</w:t>
      </w:r>
      <w:r>
        <w:rPr>
          <w:rFonts w:cs="Arial"/>
          <w:b/>
          <w:bCs/>
        </w:rPr>
        <w:t> </w:t>
      </w:r>
      <w:r w:rsidRPr="00062B26">
        <w:rPr>
          <w:rFonts w:cs="Arial"/>
          <w:b/>
          <w:bCs/>
        </w:rPr>
        <w:t>:</w:t>
      </w:r>
    </w:p>
    <w:p w14:paraId="0368CC23" w14:textId="77777777" w:rsidR="003720F8" w:rsidRPr="00062B26" w:rsidRDefault="003720F8">
      <w:pPr>
        <w:widowControl w:val="0"/>
        <w:numPr>
          <w:ilvl w:val="1"/>
          <w:numId w:val="18"/>
        </w:numPr>
        <w:spacing w:line="276" w:lineRule="auto"/>
        <w:ind w:left="993" w:hanging="284"/>
        <w:rPr>
          <w:rFonts w:cs="Arial"/>
        </w:rPr>
      </w:pPr>
      <w:r w:rsidRPr="00062B26">
        <w:rPr>
          <w:rFonts w:cs="Arial"/>
        </w:rPr>
        <w:t>Négative : pas de défect en perfusion : EP exclue.</w:t>
      </w:r>
    </w:p>
    <w:p w14:paraId="666C15AE" w14:textId="77777777" w:rsidR="003720F8" w:rsidRPr="00062B26" w:rsidRDefault="003720F8">
      <w:pPr>
        <w:widowControl w:val="0"/>
        <w:numPr>
          <w:ilvl w:val="1"/>
          <w:numId w:val="18"/>
        </w:numPr>
        <w:spacing w:line="276" w:lineRule="auto"/>
        <w:ind w:left="993" w:hanging="284"/>
        <w:rPr>
          <w:rFonts w:cs="Arial"/>
        </w:rPr>
      </w:pPr>
      <w:r w:rsidRPr="00062B26">
        <w:rPr>
          <w:rFonts w:cs="Arial"/>
        </w:rPr>
        <w:t>Positive : 1 défect segmentaire ou 2 défects sous segmentaires sans défect ventilatoire dans les mêmes territoires : confirme l’EP.</w:t>
      </w:r>
    </w:p>
    <w:p w14:paraId="5B88B28A" w14:textId="77777777" w:rsidR="003720F8" w:rsidRDefault="003720F8" w:rsidP="003720F8">
      <w:pPr>
        <w:spacing w:line="276" w:lineRule="auto"/>
        <w:rPr>
          <w:rFonts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97D58" w14:paraId="2CB35B5D" w14:textId="77777777" w:rsidTr="00197D58">
        <w:tc>
          <w:tcPr>
            <w:tcW w:w="9062" w:type="dxa"/>
          </w:tcPr>
          <w:p w14:paraId="457A069F" w14:textId="23E08040" w:rsidR="00197D58" w:rsidRPr="00FD32E7" w:rsidRDefault="00197D58" w:rsidP="00197D58">
            <w:pPr>
              <w:pStyle w:val="lgende"/>
            </w:pPr>
            <w:r w:rsidRPr="00062B26">
              <w:rPr>
                <w:noProof/>
                <w:szCs w:val="20"/>
              </w:rPr>
              <w:drawing>
                <wp:anchor distT="0" distB="0" distL="114300" distR="114300" simplePos="0" relativeHeight="251807744" behindDoc="0" locked="0" layoutInCell="1" allowOverlap="1" wp14:anchorId="57DDDE20" wp14:editId="21FB0E8F">
                  <wp:simplePos x="0" y="0"/>
                  <wp:positionH relativeFrom="column">
                    <wp:posOffset>2219130</wp:posOffset>
                  </wp:positionH>
                  <wp:positionV relativeFrom="paragraph">
                    <wp:posOffset>10644</wp:posOffset>
                  </wp:positionV>
                  <wp:extent cx="3467478" cy="3424064"/>
                  <wp:effectExtent l="0" t="0" r="0" b="5080"/>
                  <wp:wrapSquare wrapText="bothSides"/>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67478" cy="3424064"/>
                          </a:xfrm>
                          <a:prstGeom prst="rect">
                            <a:avLst/>
                          </a:prstGeom>
                          <a:noFill/>
                          <a:ln>
                            <a:noFill/>
                          </a:ln>
                        </pic:spPr>
                      </pic:pic>
                    </a:graphicData>
                  </a:graphic>
                </wp:anchor>
              </w:drawing>
            </w:r>
            <w:r w:rsidRPr="00062B26">
              <w:t>Figure 4</w:t>
            </w:r>
            <w:r>
              <w:t> </w:t>
            </w:r>
            <w:r w:rsidRPr="00062B26">
              <w:t>:</w:t>
            </w:r>
            <w:r>
              <w:t xml:space="preserve"> </w:t>
            </w:r>
            <w:r w:rsidRPr="00062B26">
              <w:t xml:space="preserve">Scintigraphie ventilation et de perfusion planaire de haute probabilité montrant de multiples défauts de perfusion sans anomalie ventilatoire. </w:t>
            </w:r>
          </w:p>
          <w:p w14:paraId="755CDEE5" w14:textId="5AA916E7" w:rsidR="00197D58" w:rsidRDefault="00197D58" w:rsidP="00197D58">
            <w:pPr>
              <w:spacing w:line="276" w:lineRule="auto"/>
              <w:jc w:val="center"/>
              <w:rPr>
                <w:rFonts w:cs="Arial"/>
                <w:i/>
                <w:u w:val="single"/>
              </w:rPr>
            </w:pPr>
          </w:p>
          <w:p w14:paraId="2C4124E3" w14:textId="77777777" w:rsidR="00197D58" w:rsidRDefault="00197D58" w:rsidP="00197D58">
            <w:pPr>
              <w:spacing w:line="276" w:lineRule="auto"/>
              <w:jc w:val="center"/>
              <w:rPr>
                <w:rFonts w:cs="Arial"/>
                <w:i/>
                <w:u w:val="single"/>
              </w:rPr>
            </w:pPr>
          </w:p>
          <w:p w14:paraId="292A98FC" w14:textId="77777777" w:rsidR="00197D58" w:rsidRDefault="00197D58" w:rsidP="00197D58">
            <w:pPr>
              <w:spacing w:line="276" w:lineRule="auto"/>
              <w:jc w:val="center"/>
              <w:rPr>
                <w:rFonts w:cs="Arial"/>
                <w:i/>
                <w:u w:val="single"/>
              </w:rPr>
            </w:pPr>
          </w:p>
          <w:p w14:paraId="2876B6AE" w14:textId="77777777" w:rsidR="00197D58" w:rsidRDefault="00197D58" w:rsidP="00197D58">
            <w:pPr>
              <w:spacing w:line="276" w:lineRule="auto"/>
              <w:jc w:val="center"/>
              <w:rPr>
                <w:rFonts w:cs="Arial"/>
                <w:i/>
                <w:u w:val="single"/>
              </w:rPr>
            </w:pPr>
          </w:p>
          <w:p w14:paraId="6E873659" w14:textId="77777777" w:rsidR="00197D58" w:rsidRDefault="00197D58" w:rsidP="00197D58">
            <w:pPr>
              <w:spacing w:line="276" w:lineRule="auto"/>
              <w:jc w:val="center"/>
              <w:rPr>
                <w:rFonts w:cs="Arial"/>
                <w:i/>
                <w:u w:val="single"/>
              </w:rPr>
            </w:pPr>
          </w:p>
          <w:p w14:paraId="3D8A2B0A" w14:textId="77777777" w:rsidR="00197D58" w:rsidRDefault="00197D58" w:rsidP="00197D58">
            <w:pPr>
              <w:spacing w:line="276" w:lineRule="auto"/>
              <w:jc w:val="center"/>
              <w:rPr>
                <w:rFonts w:cs="Arial"/>
                <w:i/>
                <w:u w:val="single"/>
              </w:rPr>
            </w:pPr>
          </w:p>
          <w:p w14:paraId="78AC2CCA" w14:textId="77777777" w:rsidR="00197D58" w:rsidRDefault="00197D58" w:rsidP="00197D58">
            <w:pPr>
              <w:spacing w:line="276" w:lineRule="auto"/>
              <w:jc w:val="center"/>
              <w:rPr>
                <w:rFonts w:cs="Arial"/>
                <w:i/>
                <w:u w:val="single"/>
              </w:rPr>
            </w:pPr>
          </w:p>
          <w:p w14:paraId="1584AC16" w14:textId="77777777" w:rsidR="00197D58" w:rsidRDefault="00197D58" w:rsidP="00197D58">
            <w:pPr>
              <w:spacing w:line="276" w:lineRule="auto"/>
              <w:jc w:val="center"/>
              <w:rPr>
                <w:rFonts w:cs="Arial"/>
                <w:i/>
                <w:u w:val="single"/>
              </w:rPr>
            </w:pPr>
          </w:p>
          <w:p w14:paraId="7F004753" w14:textId="77777777" w:rsidR="00197D58" w:rsidRDefault="00197D58" w:rsidP="00197D58">
            <w:pPr>
              <w:spacing w:line="276" w:lineRule="auto"/>
              <w:jc w:val="center"/>
              <w:rPr>
                <w:rFonts w:cs="Arial"/>
                <w:i/>
                <w:u w:val="single"/>
              </w:rPr>
            </w:pPr>
          </w:p>
          <w:p w14:paraId="1D1F74E1" w14:textId="77777777" w:rsidR="00197D58" w:rsidRDefault="00197D58" w:rsidP="00197D58">
            <w:pPr>
              <w:spacing w:line="276" w:lineRule="auto"/>
              <w:jc w:val="center"/>
              <w:rPr>
                <w:rFonts w:cs="Arial"/>
                <w:i/>
                <w:u w:val="single"/>
              </w:rPr>
            </w:pPr>
          </w:p>
          <w:p w14:paraId="032C8B82" w14:textId="77777777" w:rsidR="00197D58" w:rsidRPr="00062B26" w:rsidRDefault="00197D58" w:rsidP="00197D58">
            <w:pPr>
              <w:spacing w:line="276" w:lineRule="auto"/>
              <w:jc w:val="center"/>
              <w:rPr>
                <w:rFonts w:cs="Arial"/>
                <w:i/>
                <w:u w:val="single"/>
              </w:rPr>
            </w:pPr>
          </w:p>
          <w:p w14:paraId="422BFDC6" w14:textId="7DF06570" w:rsidR="00197D58" w:rsidRPr="00197D58" w:rsidRDefault="00197D58" w:rsidP="00197D58">
            <w:pPr>
              <w:pStyle w:val="lgende"/>
              <w:rPr>
                <w:sz w:val="16"/>
                <w:szCs w:val="16"/>
                <w:u w:val="single"/>
              </w:rPr>
            </w:pPr>
            <w:r w:rsidRPr="003720F8">
              <w:rPr>
                <w:sz w:val="16"/>
                <w:szCs w:val="16"/>
              </w:rPr>
              <w:t>FA : face antérieure ; PD : profil droit ; OPD : oblique postérieur droit ; OAD : oblique antérieur droit ; FP : face postérieure ; PG : profil gauche ; OPG : oblique postérieur gauche ; OAG : oblique antérieur gauche</w:t>
            </w:r>
          </w:p>
        </w:tc>
      </w:tr>
      <w:tr w:rsidR="00197D58" w14:paraId="7F1A3F3A" w14:textId="77777777" w:rsidTr="00197D58">
        <w:tc>
          <w:tcPr>
            <w:tcW w:w="9062" w:type="dxa"/>
          </w:tcPr>
          <w:p w14:paraId="08A8E248" w14:textId="3B4D30F9" w:rsidR="00197D58" w:rsidRPr="00062B26" w:rsidRDefault="00197D58" w:rsidP="00197D58">
            <w:pPr>
              <w:pStyle w:val="lgende"/>
            </w:pPr>
            <w:r w:rsidRPr="00062B26">
              <w:t>Figure 5</w:t>
            </w:r>
            <w:r>
              <w:t> </w:t>
            </w:r>
            <w:r w:rsidRPr="00062B26">
              <w:t xml:space="preserve">: Tomoscintigraphie SPECT positive montrant de multiples défauts de perfusion sans anomalie ventilatoire. </w:t>
            </w:r>
          </w:p>
          <w:p w14:paraId="51FD9070" w14:textId="1322DB8B" w:rsidR="00197D58" w:rsidRPr="00062B26" w:rsidRDefault="00197D58" w:rsidP="00197D58">
            <w:pPr>
              <w:spacing w:line="276" w:lineRule="auto"/>
              <w:jc w:val="center"/>
            </w:pPr>
            <w:r w:rsidRPr="00017483">
              <w:rPr>
                <w:noProof/>
              </w:rPr>
              <w:drawing>
                <wp:inline distT="0" distB="0" distL="0" distR="0" wp14:anchorId="60597F90" wp14:editId="49820C29">
                  <wp:extent cx="4780230" cy="3058771"/>
                  <wp:effectExtent l="0" t="0" r="1905" b="889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43" t="-1" r="14941" b="3734"/>
                          <a:stretch>
                            <a:fillRect/>
                          </a:stretch>
                        </pic:blipFill>
                        <pic:spPr bwMode="auto">
                          <a:xfrm>
                            <a:off x="0" y="0"/>
                            <a:ext cx="4780230" cy="3058771"/>
                          </a:xfrm>
                          <a:prstGeom prst="rect">
                            <a:avLst/>
                          </a:prstGeom>
                          <a:ln>
                            <a:noFill/>
                          </a:ln>
                          <a:extLst>
                            <a:ext uri="{53640926-AAD7-44D8-BBD7-CCE9431645EC}">
                              <a14:shadowObscured xmlns:a14="http://schemas.microsoft.com/office/drawing/2010/main"/>
                            </a:ext>
                          </a:extLst>
                        </pic:spPr>
                      </pic:pic>
                    </a:graphicData>
                  </a:graphic>
                </wp:inline>
              </w:drawing>
            </w:r>
          </w:p>
          <w:p w14:paraId="18292FC4" w14:textId="114E8489" w:rsidR="00197D58" w:rsidRPr="00197D58" w:rsidRDefault="00197D58" w:rsidP="00197D58">
            <w:pPr>
              <w:pStyle w:val="lgende"/>
              <w:rPr>
                <w:sz w:val="16"/>
                <w:szCs w:val="16"/>
              </w:rPr>
            </w:pPr>
            <w:r w:rsidRPr="003720F8">
              <w:rPr>
                <w:sz w:val="16"/>
                <w:szCs w:val="16"/>
              </w:rPr>
              <w:lastRenderedPageBreak/>
              <w:t>D, droit ; A, antérieur</w:t>
            </w:r>
          </w:p>
        </w:tc>
      </w:tr>
    </w:tbl>
    <w:p w14:paraId="05053A26" w14:textId="2BC78D3A" w:rsidR="00197D58" w:rsidRDefault="00197D58" w:rsidP="003720F8">
      <w:pPr>
        <w:spacing w:line="276" w:lineRule="auto"/>
        <w:rPr>
          <w:rFonts w:cs="Arial"/>
          <w:iCs/>
          <w:u w:val="single"/>
        </w:rPr>
      </w:pPr>
    </w:p>
    <w:p w14:paraId="6E64CADE" w14:textId="085CE94E" w:rsidR="003720F8" w:rsidRPr="00062B26" w:rsidRDefault="00197D58" w:rsidP="00197D58">
      <w:pPr>
        <w:spacing w:after="160"/>
        <w:jc w:val="left"/>
        <w:rPr>
          <w:rFonts w:cs="Arial"/>
          <w:iCs/>
          <w:u w:val="single"/>
        </w:rPr>
      </w:pPr>
      <w:r>
        <w:rPr>
          <w:rFonts w:cs="Arial"/>
          <w:iCs/>
          <w:u w:val="single"/>
        </w:rPr>
        <w:br w:type="page"/>
      </w:r>
    </w:p>
    <w:p w14:paraId="3494648D" w14:textId="77777777" w:rsidR="003720F8" w:rsidRPr="00062B26" w:rsidRDefault="003720F8" w:rsidP="003720F8">
      <w:pPr>
        <w:pStyle w:val="Titre2"/>
        <w:spacing w:line="276" w:lineRule="auto"/>
      </w:pPr>
      <w:r w:rsidRPr="00062B26">
        <w:lastRenderedPageBreak/>
        <w:t>Echo-Doppler veineux des membres inférieurs</w:t>
      </w:r>
    </w:p>
    <w:p w14:paraId="3BE23729" w14:textId="6B5D310B" w:rsidR="003720F8" w:rsidRPr="00A53B05" w:rsidRDefault="003720F8" w:rsidP="003720F8">
      <w:pPr>
        <w:spacing w:line="276" w:lineRule="auto"/>
        <w:rPr>
          <w:rFonts w:cs="Arial"/>
        </w:rPr>
      </w:pPr>
      <w:r>
        <w:rPr>
          <w:rFonts w:cs="Arial"/>
        </w:rPr>
        <w:t xml:space="preserve">- </w:t>
      </w:r>
      <w:r w:rsidRPr="00A53B05">
        <w:rPr>
          <w:rFonts w:cs="Arial"/>
        </w:rPr>
        <w:t>Critère diagnostique de TVP : absence de compressi</w:t>
      </w:r>
      <w:r w:rsidR="0026545F">
        <w:rPr>
          <w:rFonts w:cs="Arial"/>
        </w:rPr>
        <w:t>bilité</w:t>
      </w:r>
      <w:r w:rsidRPr="00A53B05">
        <w:rPr>
          <w:rFonts w:cs="Arial"/>
        </w:rPr>
        <w:t xml:space="preserve"> d’une veine profonde. </w:t>
      </w:r>
    </w:p>
    <w:p w14:paraId="706AF3BD" w14:textId="77777777" w:rsidR="003720F8" w:rsidRPr="00A53B05" w:rsidRDefault="003720F8" w:rsidP="003720F8">
      <w:pPr>
        <w:spacing w:line="276" w:lineRule="auto"/>
        <w:rPr>
          <w:sz w:val="18"/>
        </w:rPr>
      </w:pPr>
      <w:r>
        <w:rPr>
          <w:rFonts w:cs="Arial"/>
          <w:b/>
        </w:rPr>
        <w:t xml:space="preserve">- </w:t>
      </w:r>
      <w:r w:rsidRPr="00A53B05">
        <w:rPr>
          <w:rFonts w:cs="Arial"/>
          <w:b/>
        </w:rPr>
        <w:t>Très spécifique</w:t>
      </w:r>
      <w:r w:rsidRPr="00A53B05">
        <w:rPr>
          <w:rFonts w:cs="Arial"/>
        </w:rPr>
        <w:t xml:space="preserve"> </w:t>
      </w:r>
      <w:r w:rsidRPr="00A53B05">
        <w:rPr>
          <w:rFonts w:cs="Arial"/>
          <w:b/>
        </w:rPr>
        <w:t>pour les veines proximales</w:t>
      </w:r>
      <w:r w:rsidRPr="00A53B05">
        <w:rPr>
          <w:rFonts w:cs="Arial"/>
        </w:rPr>
        <w:t> : en cas de suspicion d’EP (quelle que soit la PC), la présence d’une TVP proximale (poplitée ou plus proximale) confirme le diagnostic d’EP (pas besoin d’imagerie complémentaire).</w:t>
      </w:r>
    </w:p>
    <w:p w14:paraId="52157D50" w14:textId="77777777" w:rsidR="003720F8" w:rsidRPr="00A53B05" w:rsidRDefault="003720F8" w:rsidP="003720F8">
      <w:pPr>
        <w:spacing w:line="276" w:lineRule="auto"/>
        <w:rPr>
          <w:rFonts w:cs="Arial"/>
        </w:rPr>
      </w:pPr>
      <w:r>
        <w:rPr>
          <w:rFonts w:cs="Arial"/>
          <w:b/>
        </w:rPr>
        <w:t xml:space="preserve">- </w:t>
      </w:r>
      <w:r w:rsidRPr="00A53B05">
        <w:rPr>
          <w:rFonts w:cs="Arial"/>
          <w:b/>
        </w:rPr>
        <w:t xml:space="preserve">Peu spécifique </w:t>
      </w:r>
      <w:r w:rsidRPr="00A53B05">
        <w:rPr>
          <w:rFonts w:cs="Arial"/>
        </w:rPr>
        <w:t xml:space="preserve">pour les veines distales : la présence d’une TVP distale en cas de suspicion d’EP </w:t>
      </w:r>
      <w:r w:rsidRPr="00A53B05">
        <w:rPr>
          <w:rFonts w:cs="Arial"/>
          <w:u w:val="single"/>
        </w:rPr>
        <w:t>ne suffit pas</w:t>
      </w:r>
      <w:r w:rsidRPr="00A53B05">
        <w:rPr>
          <w:rFonts w:cs="Arial"/>
        </w:rPr>
        <w:t xml:space="preserve"> à confirmer le diagnostic d’EP (faire d’autres tests).</w:t>
      </w:r>
    </w:p>
    <w:p w14:paraId="1D755662" w14:textId="77777777" w:rsidR="003720F8" w:rsidRPr="00A53B05" w:rsidRDefault="003720F8" w:rsidP="003720F8">
      <w:pPr>
        <w:spacing w:line="276" w:lineRule="auto"/>
        <w:rPr>
          <w:rFonts w:cs="Arial"/>
        </w:rPr>
      </w:pPr>
      <w:r>
        <w:rPr>
          <w:rFonts w:cs="Arial"/>
          <w:b/>
          <w:bCs/>
        </w:rPr>
        <w:t xml:space="preserve">- </w:t>
      </w:r>
      <w:r w:rsidRPr="00A53B05">
        <w:rPr>
          <w:rFonts w:cs="Arial"/>
          <w:b/>
          <w:bCs/>
        </w:rPr>
        <w:t>Non sensible</w:t>
      </w:r>
      <w:r w:rsidRPr="00A53B05">
        <w:rPr>
          <w:rFonts w:cs="Arial"/>
        </w:rPr>
        <w:t xml:space="preserve"> : un </w:t>
      </w:r>
      <w:proofErr w:type="spellStart"/>
      <w:r w:rsidRPr="00A53B05">
        <w:rPr>
          <w:rFonts w:cs="Arial"/>
        </w:rPr>
        <w:t>écho-Doppler</w:t>
      </w:r>
      <w:proofErr w:type="spellEnd"/>
      <w:r w:rsidRPr="00A53B05">
        <w:rPr>
          <w:rFonts w:cs="Arial"/>
        </w:rPr>
        <w:t xml:space="preserve"> veineux</w:t>
      </w:r>
      <w:r w:rsidRPr="00A53B05">
        <w:rPr>
          <w:rFonts w:cs="Arial"/>
          <w:b/>
        </w:rPr>
        <w:t xml:space="preserve"> normal n’exclut pas le diagnostic d’EP</w:t>
      </w:r>
      <w:r w:rsidRPr="00A53B05">
        <w:rPr>
          <w:rFonts w:cs="Arial"/>
        </w:rPr>
        <w:t xml:space="preserve">. </w:t>
      </w:r>
    </w:p>
    <w:p w14:paraId="397FABCB" w14:textId="77777777" w:rsidR="003720F8" w:rsidRPr="00062B26" w:rsidRDefault="003720F8" w:rsidP="003720F8">
      <w:pPr>
        <w:spacing w:line="276" w:lineRule="auto"/>
        <w:rPr>
          <w:rFonts w:cs="Arial"/>
        </w:rPr>
      </w:pPr>
    </w:p>
    <w:p w14:paraId="71EE5B71" w14:textId="24365045" w:rsidR="003720F8" w:rsidRPr="00062B26" w:rsidRDefault="003720F8" w:rsidP="003720F8">
      <w:pPr>
        <w:pStyle w:val="lgende"/>
      </w:pPr>
      <w:r w:rsidRPr="00062B26">
        <w:t>Figure</w:t>
      </w:r>
      <w:r>
        <w:t> </w:t>
      </w:r>
      <w:r w:rsidR="0026545F">
        <w:t>6</w:t>
      </w:r>
      <w:r w:rsidRPr="00062B26">
        <w:t> :</w:t>
      </w:r>
      <w:r>
        <w:t xml:space="preserve"> </w:t>
      </w:r>
      <w:r w:rsidRPr="00062B26">
        <w:t xml:space="preserve">Échographie veineuse de compression des membres inférieurs. Persistance de la veine fémorale lors de la compression (image de droite). </w:t>
      </w:r>
    </w:p>
    <w:p w14:paraId="6036EFF1" w14:textId="77777777" w:rsidR="003720F8" w:rsidRPr="00062B26" w:rsidRDefault="003720F8" w:rsidP="003720F8">
      <w:pPr>
        <w:spacing w:line="276" w:lineRule="auto"/>
        <w:jc w:val="center"/>
        <w:rPr>
          <w:rFonts w:cs="Arial"/>
        </w:rPr>
      </w:pPr>
      <w:r w:rsidRPr="00062B26">
        <w:rPr>
          <w:noProof/>
          <w:sz w:val="18"/>
        </w:rPr>
        <w:drawing>
          <wp:inline distT="0" distB="0" distL="0" distR="0" wp14:anchorId="07FE5E80" wp14:editId="447C0BA6">
            <wp:extent cx="3807560" cy="2196045"/>
            <wp:effectExtent l="0" t="0" r="254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828500" cy="2208122"/>
                    </a:xfrm>
                    <a:prstGeom prst="rect">
                      <a:avLst/>
                    </a:prstGeom>
                  </pic:spPr>
                </pic:pic>
              </a:graphicData>
            </a:graphic>
          </wp:inline>
        </w:drawing>
      </w:r>
    </w:p>
    <w:p w14:paraId="369FCDFD" w14:textId="77777777" w:rsidR="003720F8" w:rsidRPr="00062B26" w:rsidRDefault="003720F8" w:rsidP="003720F8">
      <w:pPr>
        <w:spacing w:line="276" w:lineRule="auto"/>
        <w:rPr>
          <w:rFonts w:cs="Arial"/>
          <w:iCs/>
          <w:u w:val="single"/>
        </w:rPr>
      </w:pPr>
    </w:p>
    <w:p w14:paraId="2BAE29CB" w14:textId="44353F58" w:rsidR="003720F8" w:rsidRPr="00062B26" w:rsidRDefault="003720F8" w:rsidP="003720F8">
      <w:pPr>
        <w:pStyle w:val="lgende"/>
      </w:pPr>
      <w:r w:rsidRPr="00313EF7">
        <w:rPr>
          <w:iCs/>
          <w:noProof/>
          <w:sz w:val="28"/>
          <w:szCs w:val="28"/>
        </w:rPr>
        <w:drawing>
          <wp:anchor distT="0" distB="0" distL="114300" distR="114300" simplePos="0" relativeHeight="251792384" behindDoc="0" locked="0" layoutInCell="1" allowOverlap="1" wp14:anchorId="65D7AD27" wp14:editId="1E1AA6CF">
            <wp:simplePos x="0" y="0"/>
            <wp:positionH relativeFrom="leftMargin">
              <wp:posOffset>472136</wp:posOffset>
            </wp:positionH>
            <wp:positionV relativeFrom="paragraph">
              <wp:posOffset>161290</wp:posOffset>
            </wp:positionV>
            <wp:extent cx="153670" cy="137160"/>
            <wp:effectExtent l="0" t="0" r="0" b="0"/>
            <wp:wrapThrough wrapText="bothSides">
              <wp:wrapPolygon edited="0">
                <wp:start x="0" y="0"/>
                <wp:lineTo x="0" y="18000"/>
                <wp:lineTo x="18744" y="18000"/>
                <wp:lineTo x="18744" y="0"/>
                <wp:lineTo x="0" y="0"/>
              </wp:wrapPolygon>
            </wp:wrapThrough>
            <wp:docPr id="8770947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062B26">
        <w:t>Figure</w:t>
      </w:r>
      <w:r>
        <w:t> </w:t>
      </w:r>
      <w:r w:rsidR="0026545F">
        <w:t>7</w:t>
      </w:r>
      <w:r w:rsidRPr="00062B26">
        <w:t> :</w:t>
      </w:r>
      <w:r>
        <w:t xml:space="preserve"> </w:t>
      </w:r>
      <w:r w:rsidRPr="00062B26">
        <w:t>Algorithme diagnostique devant une suspicion d’EP sans état de choc</w:t>
      </w:r>
      <w:r>
        <w:t>.</w:t>
      </w:r>
    </w:p>
    <w:p w14:paraId="53862424" w14:textId="77777777" w:rsidR="003720F8" w:rsidRPr="00A53B05" w:rsidRDefault="003720F8" w:rsidP="003720F8">
      <w:pPr>
        <w:spacing w:line="276" w:lineRule="auto"/>
        <w:rPr>
          <w:rFonts w:cs="Arial"/>
          <w:b/>
          <w:iCs/>
          <w:color w:val="0070C0"/>
        </w:rPr>
      </w:pPr>
      <w:r w:rsidRPr="00062B26">
        <w:rPr>
          <w:rFonts w:cs="Arial"/>
          <w:iCs/>
          <w:color w:val="0070C0"/>
        </w:rPr>
        <w:t xml:space="preserve">En cas de contre-indication à la réalisation d’un angioscanner, un </w:t>
      </w:r>
      <w:proofErr w:type="spellStart"/>
      <w:r w:rsidRPr="00062B26">
        <w:rPr>
          <w:rFonts w:cs="Arial"/>
          <w:iCs/>
          <w:color w:val="0070C0"/>
        </w:rPr>
        <w:t>écho-Doppler</w:t>
      </w:r>
      <w:proofErr w:type="spellEnd"/>
      <w:r w:rsidRPr="00062B26">
        <w:rPr>
          <w:rFonts w:cs="Arial"/>
          <w:iCs/>
          <w:color w:val="0070C0"/>
        </w:rPr>
        <w:t xml:space="preserve"> veineux et/ou une scintigraphie de ventilation perfusion pulmonaire peuvent être proposés.</w:t>
      </w:r>
    </w:p>
    <w:p w14:paraId="5C255949" w14:textId="77777777" w:rsidR="003720F8" w:rsidRPr="00062B26" w:rsidRDefault="003720F8" w:rsidP="003720F8">
      <w:pPr>
        <w:spacing w:line="276" w:lineRule="auto"/>
        <w:jc w:val="center"/>
        <w:rPr>
          <w:rFonts w:cs="Arial"/>
          <w:iCs/>
          <w:u w:val="single"/>
        </w:rPr>
      </w:pPr>
      <w:r w:rsidRPr="00062B26">
        <w:rPr>
          <w:rFonts w:cs="Arial"/>
          <w:b/>
          <w:noProof/>
        </w:rPr>
        <w:lastRenderedPageBreak/>
        <w:drawing>
          <wp:inline distT="0" distB="0" distL="0" distR="0" wp14:anchorId="7F7E0D6A" wp14:editId="14E0FF44">
            <wp:extent cx="4321521" cy="3241141"/>
            <wp:effectExtent l="0" t="0" r="3175" b="0"/>
            <wp:docPr id="1390877005" name="Image 1390877005" descr="C:\Users\User\Documents\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figure 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1521" cy="3241141"/>
                    </a:xfrm>
                    <a:prstGeom prst="rect">
                      <a:avLst/>
                    </a:prstGeom>
                    <a:noFill/>
                    <a:ln>
                      <a:noFill/>
                    </a:ln>
                  </pic:spPr>
                </pic:pic>
              </a:graphicData>
            </a:graphic>
          </wp:inline>
        </w:drawing>
      </w:r>
    </w:p>
    <w:p w14:paraId="1FDF280D" w14:textId="77777777" w:rsidR="003720F8" w:rsidRPr="00062B26" w:rsidRDefault="003720F8" w:rsidP="003720F8">
      <w:pPr>
        <w:spacing w:line="276" w:lineRule="auto"/>
        <w:rPr>
          <w:rFonts w:cs="Arial"/>
          <w:iCs/>
          <w:u w:val="single"/>
        </w:rPr>
      </w:pPr>
    </w:p>
    <w:p w14:paraId="4F104F17" w14:textId="77777777" w:rsidR="003720F8" w:rsidRPr="00062B26" w:rsidRDefault="003720F8" w:rsidP="003720F8">
      <w:pPr>
        <w:spacing w:line="276" w:lineRule="auto"/>
        <w:rPr>
          <w:rFonts w:cs="Arial"/>
        </w:rPr>
      </w:pPr>
      <w:r w:rsidRPr="00062B26">
        <w:rPr>
          <w:rFonts w:cs="Arial"/>
          <w:b/>
        </w:rPr>
        <w:t xml:space="preserve">Examens de diagnostic de TVP </w:t>
      </w:r>
      <w:r w:rsidRPr="00062B26">
        <w:rPr>
          <w:rFonts w:cs="Arial"/>
        </w:rPr>
        <w:t>(Figure</w:t>
      </w:r>
      <w:r>
        <w:rPr>
          <w:rFonts w:cs="Arial"/>
        </w:rPr>
        <w:t> </w:t>
      </w:r>
      <w:r w:rsidRPr="00062B26">
        <w:rPr>
          <w:rFonts w:cs="Arial"/>
        </w:rPr>
        <w:t>9, tableau</w:t>
      </w:r>
      <w:r>
        <w:rPr>
          <w:rFonts w:cs="Arial"/>
        </w:rPr>
        <w:t> </w:t>
      </w:r>
      <w:r w:rsidRPr="00062B26">
        <w:rPr>
          <w:rFonts w:cs="Arial"/>
        </w:rPr>
        <w:t>3)</w:t>
      </w:r>
    </w:p>
    <w:p w14:paraId="3FB7136D" w14:textId="77777777" w:rsidR="003720F8" w:rsidRPr="00062B26" w:rsidRDefault="003720F8" w:rsidP="003720F8">
      <w:pPr>
        <w:spacing w:line="276" w:lineRule="auto"/>
        <w:rPr>
          <w:rFonts w:cs="Arial"/>
        </w:rPr>
      </w:pPr>
      <w:r w:rsidRPr="00062B26">
        <w:rPr>
          <w:rFonts w:cs="Arial"/>
        </w:rPr>
        <w:t>Les principes du diagnostic sont identiques à ceux des EP (PC puis D-Dimères et échographie veineuse des membres inférieurs).</w:t>
      </w:r>
    </w:p>
    <w:p w14:paraId="6D710FEA" w14:textId="77777777" w:rsidR="003720F8" w:rsidRPr="00062B26" w:rsidRDefault="003720F8" w:rsidP="003720F8">
      <w:pPr>
        <w:spacing w:line="276" w:lineRule="auto"/>
        <w:rPr>
          <w:rFonts w:cs="Arial"/>
        </w:rPr>
      </w:pPr>
    </w:p>
    <w:p w14:paraId="257C839D" w14:textId="2EA79A1D" w:rsidR="003720F8" w:rsidRPr="00062B26" w:rsidRDefault="003720F8" w:rsidP="003720F8">
      <w:pPr>
        <w:pStyle w:val="lgende"/>
      </w:pPr>
      <w:r w:rsidRPr="00062B26">
        <w:t>Figure </w:t>
      </w:r>
      <w:r w:rsidR="0026545F">
        <w:t>8</w:t>
      </w:r>
      <w:r>
        <w:t> </w:t>
      </w:r>
      <w:r w:rsidRPr="00062B26">
        <w:t>:</w:t>
      </w:r>
      <w:r>
        <w:t xml:space="preserve"> </w:t>
      </w:r>
      <w:r w:rsidRPr="00062B26">
        <w:t>Algorithme diagnostique des TVP</w:t>
      </w:r>
      <w:r>
        <w:t>.</w:t>
      </w:r>
    </w:p>
    <w:p w14:paraId="34D1DE66" w14:textId="77777777" w:rsidR="003720F8" w:rsidRPr="00062B26" w:rsidRDefault="003720F8" w:rsidP="003720F8">
      <w:pPr>
        <w:spacing w:line="276" w:lineRule="auto"/>
        <w:jc w:val="center"/>
        <w:rPr>
          <w:rFonts w:cs="Arial"/>
        </w:rPr>
      </w:pPr>
      <w:r w:rsidRPr="00062B26">
        <w:rPr>
          <w:rFonts w:cs="Arial"/>
          <w:noProof/>
        </w:rPr>
        <w:drawing>
          <wp:inline distT="0" distB="0" distL="0" distR="0" wp14:anchorId="1B89BDDE" wp14:editId="0E45B73B">
            <wp:extent cx="4985468" cy="2750920"/>
            <wp:effectExtent l="0" t="0" r="5715" b="0"/>
            <wp:docPr id="468310362" name="Image 468310362"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98809" cy="2758281"/>
                    </a:xfrm>
                    <a:prstGeom prst="rect">
                      <a:avLst/>
                    </a:prstGeom>
                    <a:noFill/>
                    <a:ln>
                      <a:noFill/>
                    </a:ln>
                  </pic:spPr>
                </pic:pic>
              </a:graphicData>
            </a:graphic>
          </wp:inline>
        </w:drawing>
      </w:r>
    </w:p>
    <w:p w14:paraId="724DCA04" w14:textId="77777777" w:rsidR="003720F8" w:rsidRPr="00062B26" w:rsidRDefault="003720F8" w:rsidP="003720F8">
      <w:pPr>
        <w:spacing w:line="276" w:lineRule="auto"/>
        <w:rPr>
          <w:rFonts w:cs="Arial"/>
        </w:rPr>
      </w:pPr>
    </w:p>
    <w:p w14:paraId="2D4BE8ED" w14:textId="77777777" w:rsidR="003720F8" w:rsidRPr="00062B26" w:rsidRDefault="003720F8" w:rsidP="003720F8">
      <w:pPr>
        <w:spacing w:line="276" w:lineRule="auto"/>
        <w:rPr>
          <w:rFonts w:cs="Arial"/>
        </w:rPr>
      </w:pPr>
    </w:p>
    <w:p w14:paraId="54338E1C" w14:textId="77777777" w:rsidR="003720F8" w:rsidRPr="00062B26" w:rsidRDefault="003720F8" w:rsidP="003720F8">
      <w:pPr>
        <w:pStyle w:val="lgende"/>
        <w:rPr>
          <w:noProof/>
          <w:sz w:val="16"/>
        </w:rPr>
      </w:pPr>
      <w:r w:rsidRPr="00062B26">
        <w:t>Tableau 3</w:t>
      </w:r>
      <w:r>
        <w:t> </w:t>
      </w:r>
      <w:r w:rsidRPr="00062B26">
        <w:t>:</w:t>
      </w:r>
      <w:r>
        <w:t xml:space="preserve"> S</w:t>
      </w:r>
      <w:r w:rsidRPr="00062B26">
        <w:t>core de probabilité clinique de TVP</w:t>
      </w:r>
      <w:r>
        <w:t>.</w:t>
      </w:r>
    </w:p>
    <w:tbl>
      <w:tblPr>
        <w:tblW w:w="8997" w:type="dxa"/>
        <w:tblInd w:w="7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000" w:firstRow="0" w:lastRow="0" w:firstColumn="0" w:lastColumn="0" w:noHBand="0" w:noVBand="0"/>
      </w:tblPr>
      <w:tblGrid>
        <w:gridCol w:w="8147"/>
        <w:gridCol w:w="850"/>
      </w:tblGrid>
      <w:tr w:rsidR="003720F8" w:rsidRPr="00A53B05" w14:paraId="40D758CF" w14:textId="77777777" w:rsidTr="003720F8">
        <w:trPr>
          <w:trHeight w:hRule="exact" w:val="284"/>
        </w:trPr>
        <w:tc>
          <w:tcPr>
            <w:tcW w:w="8147" w:type="dxa"/>
            <w:noWrap/>
          </w:tcPr>
          <w:p w14:paraId="58DFA2FC" w14:textId="77777777" w:rsidR="003720F8" w:rsidRPr="00A53B05" w:rsidRDefault="003720F8" w:rsidP="003720F8">
            <w:pPr>
              <w:spacing w:line="276" w:lineRule="auto"/>
              <w:rPr>
                <w:rFonts w:cs="Arial"/>
              </w:rPr>
            </w:pPr>
            <w:r w:rsidRPr="00A53B05">
              <w:rPr>
                <w:rFonts w:cs="Arial"/>
              </w:rPr>
              <w:t>Cancer actif (dernier traitement ≤ 6</w:t>
            </w:r>
            <w:r>
              <w:rPr>
                <w:rFonts w:cs="Arial"/>
              </w:rPr>
              <w:t> </w:t>
            </w:r>
            <w:r w:rsidRPr="00A53B05">
              <w:rPr>
                <w:rFonts w:cs="Arial"/>
              </w:rPr>
              <w:t>mois, ou palliatif)</w:t>
            </w:r>
          </w:p>
        </w:tc>
        <w:tc>
          <w:tcPr>
            <w:tcW w:w="850" w:type="dxa"/>
            <w:vAlign w:val="center"/>
          </w:tcPr>
          <w:p w14:paraId="167C7D15"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6D9A8B90" w14:textId="77777777" w:rsidTr="003720F8">
        <w:trPr>
          <w:trHeight w:hRule="exact" w:val="284"/>
        </w:trPr>
        <w:tc>
          <w:tcPr>
            <w:tcW w:w="8147" w:type="dxa"/>
            <w:noWrap/>
          </w:tcPr>
          <w:p w14:paraId="2076D04C" w14:textId="77777777" w:rsidR="003720F8" w:rsidRPr="00A53B05" w:rsidRDefault="003720F8" w:rsidP="003720F8">
            <w:pPr>
              <w:spacing w:line="276" w:lineRule="auto"/>
              <w:rPr>
                <w:rFonts w:cs="Arial"/>
              </w:rPr>
            </w:pPr>
            <w:r w:rsidRPr="00A53B05">
              <w:rPr>
                <w:rFonts w:cs="Arial"/>
              </w:rPr>
              <w:lastRenderedPageBreak/>
              <w:t>Paralysie, parésie ou plâtre d’un membre inférieur</w:t>
            </w:r>
          </w:p>
        </w:tc>
        <w:tc>
          <w:tcPr>
            <w:tcW w:w="850" w:type="dxa"/>
            <w:vAlign w:val="center"/>
          </w:tcPr>
          <w:p w14:paraId="0921B7F3"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702A9B6C" w14:textId="77777777" w:rsidTr="003720F8">
        <w:trPr>
          <w:trHeight w:hRule="exact" w:val="284"/>
        </w:trPr>
        <w:tc>
          <w:tcPr>
            <w:tcW w:w="8147" w:type="dxa"/>
            <w:noWrap/>
          </w:tcPr>
          <w:p w14:paraId="5CE90C8C" w14:textId="77777777" w:rsidR="003720F8" w:rsidRPr="00A53B05" w:rsidRDefault="003720F8" w:rsidP="003720F8">
            <w:pPr>
              <w:spacing w:line="276" w:lineRule="auto"/>
              <w:rPr>
                <w:rFonts w:cs="Arial"/>
              </w:rPr>
            </w:pPr>
            <w:r w:rsidRPr="00A53B05">
              <w:rPr>
                <w:rFonts w:cs="Arial"/>
              </w:rPr>
              <w:t>Alitement de plus de 3</w:t>
            </w:r>
            <w:r>
              <w:rPr>
                <w:rFonts w:cs="Arial"/>
              </w:rPr>
              <w:t> </w:t>
            </w:r>
            <w:r w:rsidRPr="00A53B05">
              <w:rPr>
                <w:rFonts w:cs="Arial"/>
              </w:rPr>
              <w:t>jours ou chirurgie majeure de moins de 4</w:t>
            </w:r>
            <w:r>
              <w:rPr>
                <w:rFonts w:cs="Arial"/>
              </w:rPr>
              <w:t> </w:t>
            </w:r>
            <w:r w:rsidRPr="00A53B05">
              <w:rPr>
                <w:rFonts w:cs="Arial"/>
              </w:rPr>
              <w:t>semaines</w:t>
            </w:r>
          </w:p>
        </w:tc>
        <w:tc>
          <w:tcPr>
            <w:tcW w:w="850" w:type="dxa"/>
            <w:vAlign w:val="center"/>
          </w:tcPr>
          <w:p w14:paraId="73932CCD"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6FDB0A4C" w14:textId="77777777" w:rsidTr="003720F8">
        <w:trPr>
          <w:trHeight w:hRule="exact" w:val="284"/>
        </w:trPr>
        <w:tc>
          <w:tcPr>
            <w:tcW w:w="8147" w:type="dxa"/>
            <w:noWrap/>
          </w:tcPr>
          <w:p w14:paraId="2D996E41" w14:textId="77777777" w:rsidR="003720F8" w:rsidRPr="00A53B05" w:rsidRDefault="003720F8" w:rsidP="003720F8">
            <w:pPr>
              <w:spacing w:line="276" w:lineRule="auto"/>
              <w:rPr>
                <w:rFonts w:cs="Arial"/>
              </w:rPr>
            </w:pPr>
            <w:r w:rsidRPr="00A53B05">
              <w:rPr>
                <w:rFonts w:cs="Arial"/>
              </w:rPr>
              <w:t>Douleur sur un trajet veineux</w:t>
            </w:r>
          </w:p>
        </w:tc>
        <w:tc>
          <w:tcPr>
            <w:tcW w:w="850" w:type="dxa"/>
            <w:vAlign w:val="center"/>
          </w:tcPr>
          <w:p w14:paraId="72277C5E"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7A5859EB" w14:textId="77777777" w:rsidTr="003720F8">
        <w:trPr>
          <w:trHeight w:hRule="exact" w:val="284"/>
        </w:trPr>
        <w:tc>
          <w:tcPr>
            <w:tcW w:w="8147" w:type="dxa"/>
            <w:noWrap/>
          </w:tcPr>
          <w:p w14:paraId="4126F208" w14:textId="77777777" w:rsidR="003720F8" w:rsidRPr="00A53B05" w:rsidRDefault="003720F8" w:rsidP="003720F8">
            <w:pPr>
              <w:spacing w:line="276" w:lineRule="auto"/>
              <w:rPr>
                <w:rFonts w:cs="Arial"/>
              </w:rPr>
            </w:pPr>
            <w:r w:rsidRPr="00A53B05">
              <w:rPr>
                <w:rFonts w:cs="Arial"/>
              </w:rPr>
              <w:t>Œdème de tout le membre inférieur</w:t>
            </w:r>
          </w:p>
        </w:tc>
        <w:tc>
          <w:tcPr>
            <w:tcW w:w="850" w:type="dxa"/>
            <w:vAlign w:val="center"/>
          </w:tcPr>
          <w:p w14:paraId="0E1FF074"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774FCE81" w14:textId="77777777" w:rsidTr="003720F8">
        <w:trPr>
          <w:trHeight w:hRule="exact" w:val="545"/>
        </w:trPr>
        <w:tc>
          <w:tcPr>
            <w:tcW w:w="8147" w:type="dxa"/>
            <w:noWrap/>
          </w:tcPr>
          <w:p w14:paraId="2A7E8D06" w14:textId="77777777" w:rsidR="003720F8" w:rsidRPr="00A53B05" w:rsidRDefault="003720F8" w:rsidP="003720F8">
            <w:pPr>
              <w:spacing w:line="276" w:lineRule="auto"/>
              <w:rPr>
                <w:rFonts w:cs="Arial"/>
              </w:rPr>
            </w:pPr>
            <w:r w:rsidRPr="00A53B05">
              <w:rPr>
                <w:rFonts w:cs="Arial"/>
              </w:rPr>
              <w:t>Circonférence du mollet atteint &gt;3</w:t>
            </w:r>
            <w:r>
              <w:rPr>
                <w:rFonts w:cs="Arial"/>
              </w:rPr>
              <w:t> </w:t>
            </w:r>
            <w:r w:rsidRPr="00A53B05">
              <w:rPr>
                <w:rFonts w:cs="Arial"/>
              </w:rPr>
              <w:t>cm par rapport au mollet controlatéral (mesuré 10</w:t>
            </w:r>
            <w:r>
              <w:rPr>
                <w:rFonts w:cs="Arial"/>
              </w:rPr>
              <w:t> </w:t>
            </w:r>
            <w:r w:rsidRPr="00A53B05">
              <w:rPr>
                <w:rFonts w:cs="Arial"/>
              </w:rPr>
              <w:t>cm sous la tubérosité tibiale antérieure)</w:t>
            </w:r>
          </w:p>
        </w:tc>
        <w:tc>
          <w:tcPr>
            <w:tcW w:w="850" w:type="dxa"/>
            <w:vAlign w:val="center"/>
          </w:tcPr>
          <w:p w14:paraId="53F4F45F"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3BB355C6" w14:textId="77777777" w:rsidTr="003720F8">
        <w:trPr>
          <w:trHeight w:hRule="exact" w:val="284"/>
        </w:trPr>
        <w:tc>
          <w:tcPr>
            <w:tcW w:w="8147" w:type="dxa"/>
            <w:noWrap/>
          </w:tcPr>
          <w:p w14:paraId="4BB21D94" w14:textId="77777777" w:rsidR="003720F8" w:rsidRPr="00A53B05" w:rsidRDefault="003720F8" w:rsidP="003720F8">
            <w:pPr>
              <w:spacing w:line="276" w:lineRule="auto"/>
              <w:rPr>
                <w:rFonts w:cs="Arial"/>
              </w:rPr>
            </w:pPr>
            <w:r w:rsidRPr="00A53B05">
              <w:rPr>
                <w:rFonts w:cs="Arial"/>
              </w:rPr>
              <w:t>Œdème prenant le godet du côté symptomatique</w:t>
            </w:r>
          </w:p>
        </w:tc>
        <w:tc>
          <w:tcPr>
            <w:tcW w:w="850" w:type="dxa"/>
            <w:vAlign w:val="center"/>
          </w:tcPr>
          <w:p w14:paraId="0B259434"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7E361BF3" w14:textId="77777777" w:rsidTr="003720F8">
        <w:trPr>
          <w:trHeight w:hRule="exact" w:val="284"/>
        </w:trPr>
        <w:tc>
          <w:tcPr>
            <w:tcW w:w="8147" w:type="dxa"/>
            <w:noWrap/>
          </w:tcPr>
          <w:p w14:paraId="69EE6053" w14:textId="77777777" w:rsidR="003720F8" w:rsidRPr="00A53B05" w:rsidRDefault="003720F8" w:rsidP="003720F8">
            <w:pPr>
              <w:spacing w:line="276" w:lineRule="auto"/>
              <w:rPr>
                <w:rFonts w:cs="Arial"/>
              </w:rPr>
            </w:pPr>
            <w:r w:rsidRPr="00A53B05">
              <w:rPr>
                <w:rFonts w:cs="Arial"/>
              </w:rPr>
              <w:t>Circulation veineuse collatérale superficielle (veines non variqueuses)</w:t>
            </w:r>
          </w:p>
        </w:tc>
        <w:tc>
          <w:tcPr>
            <w:tcW w:w="850" w:type="dxa"/>
            <w:vAlign w:val="center"/>
          </w:tcPr>
          <w:p w14:paraId="78F2305B" w14:textId="77777777" w:rsidR="003720F8" w:rsidRPr="00A53B05" w:rsidRDefault="003720F8" w:rsidP="003720F8">
            <w:pPr>
              <w:spacing w:line="276" w:lineRule="auto"/>
              <w:ind w:right="-70"/>
              <w:jc w:val="center"/>
              <w:rPr>
                <w:rFonts w:cs="Arial"/>
              </w:rPr>
            </w:pPr>
            <w:r w:rsidRPr="00A53B05">
              <w:rPr>
                <w:rFonts w:cs="Arial"/>
              </w:rPr>
              <w:t>+ 1</w:t>
            </w:r>
          </w:p>
        </w:tc>
      </w:tr>
      <w:tr w:rsidR="003720F8" w:rsidRPr="00A53B05" w14:paraId="7D5E9543" w14:textId="77777777" w:rsidTr="003720F8">
        <w:trPr>
          <w:trHeight w:hRule="exact" w:val="284"/>
        </w:trPr>
        <w:tc>
          <w:tcPr>
            <w:tcW w:w="8147" w:type="dxa"/>
            <w:noWrap/>
          </w:tcPr>
          <w:p w14:paraId="7CDB3415" w14:textId="77777777" w:rsidR="003720F8" w:rsidRPr="00A53B05" w:rsidRDefault="003720F8" w:rsidP="003720F8">
            <w:pPr>
              <w:spacing w:line="276" w:lineRule="auto"/>
              <w:rPr>
                <w:rFonts w:cs="Arial"/>
              </w:rPr>
            </w:pPr>
            <w:r w:rsidRPr="00A53B05">
              <w:rPr>
                <w:rFonts w:cs="Arial"/>
              </w:rPr>
              <w:t>Diagnostic alternatif au moins aussi probable que le diagnostic de TVP</w:t>
            </w:r>
          </w:p>
        </w:tc>
        <w:tc>
          <w:tcPr>
            <w:tcW w:w="850" w:type="dxa"/>
            <w:vAlign w:val="center"/>
          </w:tcPr>
          <w:p w14:paraId="0069FEBF" w14:textId="77777777" w:rsidR="003720F8" w:rsidRPr="00A53B05" w:rsidRDefault="003720F8" w:rsidP="003720F8">
            <w:pPr>
              <w:spacing w:line="276" w:lineRule="auto"/>
              <w:ind w:right="-70"/>
              <w:jc w:val="center"/>
              <w:rPr>
                <w:rFonts w:cs="Arial"/>
              </w:rPr>
            </w:pPr>
            <w:r w:rsidRPr="00A53B05">
              <w:rPr>
                <w:rFonts w:cs="Arial"/>
              </w:rPr>
              <w:t>-2</w:t>
            </w:r>
          </w:p>
        </w:tc>
      </w:tr>
      <w:tr w:rsidR="003720F8" w:rsidRPr="00A53B05" w14:paraId="4CA4EF07" w14:textId="77777777" w:rsidTr="003720F8">
        <w:trPr>
          <w:trHeight w:hRule="exact" w:val="309"/>
        </w:trPr>
        <w:tc>
          <w:tcPr>
            <w:tcW w:w="8997" w:type="dxa"/>
            <w:gridSpan w:val="2"/>
            <w:shd w:val="clear" w:color="auto" w:fill="D1D1D1" w:themeFill="background2" w:themeFillShade="E6"/>
            <w:noWrap/>
          </w:tcPr>
          <w:p w14:paraId="30912E2B" w14:textId="77777777" w:rsidR="003720F8" w:rsidRPr="003720F8" w:rsidRDefault="003720F8" w:rsidP="003720F8">
            <w:pPr>
              <w:spacing w:line="276" w:lineRule="auto"/>
              <w:ind w:right="-70"/>
              <w:jc w:val="center"/>
              <w:rPr>
                <w:rFonts w:cs="Arial"/>
                <w:b/>
                <w:bCs/>
                <w:color w:val="000000" w:themeColor="text1"/>
              </w:rPr>
            </w:pPr>
            <w:r w:rsidRPr="003720F8">
              <w:rPr>
                <w:rFonts w:cs="Arial"/>
                <w:b/>
                <w:bCs/>
                <w:color w:val="000000" w:themeColor="text1"/>
              </w:rPr>
              <w:t>Score &lt; 2 : probabilité faible     score ≥ 2 : probable</w:t>
            </w:r>
          </w:p>
        </w:tc>
      </w:tr>
    </w:tbl>
    <w:p w14:paraId="4D73AC38" w14:textId="77777777" w:rsidR="00A35784" w:rsidRDefault="00A35784" w:rsidP="003720F8">
      <w:pPr>
        <w:spacing w:line="276" w:lineRule="auto"/>
      </w:pPr>
    </w:p>
    <w:p w14:paraId="25712453" w14:textId="0A01E8AE" w:rsidR="00D373BC" w:rsidRDefault="003720F8" w:rsidP="003720F8">
      <w:pPr>
        <w:pStyle w:val="titredepartie"/>
        <w:spacing w:line="276" w:lineRule="auto"/>
      </w:pPr>
      <w:r w:rsidRPr="003720F8">
        <w:t>CONNAISSANCE + : TERRAINS PARTICULIERS</w:t>
      </w:r>
    </w:p>
    <w:p w14:paraId="39712F63" w14:textId="393F9B9D" w:rsidR="003720F8" w:rsidRPr="00062B26" w:rsidRDefault="003720F8">
      <w:pPr>
        <w:pStyle w:val="titredesous-partie"/>
        <w:numPr>
          <w:ilvl w:val="0"/>
          <w:numId w:val="21"/>
        </w:numPr>
        <w:spacing w:line="276" w:lineRule="auto"/>
      </w:pPr>
      <w:r w:rsidRPr="00062B26">
        <w:t>Grossesse</w:t>
      </w:r>
    </w:p>
    <w:p w14:paraId="4633C6DA" w14:textId="77777777" w:rsidR="003720F8" w:rsidRPr="00062B26" w:rsidRDefault="003720F8" w:rsidP="003720F8">
      <w:pPr>
        <w:spacing w:line="276" w:lineRule="auto"/>
        <w:rPr>
          <w:rFonts w:cs="Arial"/>
        </w:rPr>
      </w:pPr>
      <w:r w:rsidRPr="00062B26">
        <w:rPr>
          <w:rFonts w:cs="Arial"/>
          <w:b/>
        </w:rPr>
        <w:t>Le score de probabilité clinique de Genève est validé et doit être utilisé.</w:t>
      </w:r>
      <w:r w:rsidRPr="00062B26">
        <w:rPr>
          <w:rFonts w:cs="Arial"/>
        </w:rPr>
        <w:t xml:space="preserve"> La </w:t>
      </w:r>
      <w:r w:rsidRPr="00062B26">
        <w:rPr>
          <w:rFonts w:cs="Arial"/>
          <w:b/>
          <w:bCs/>
        </w:rPr>
        <w:t>sensibilité des D-dimères est inchangée et ils doivent être réalisés en cas de PC non forte.</w:t>
      </w:r>
      <w:r w:rsidRPr="00062B26">
        <w:rPr>
          <w:rFonts w:cs="Arial"/>
        </w:rPr>
        <w:t xml:space="preserve"> S’ils sont positifs ou si la PC est forte, il faut réaliser un </w:t>
      </w:r>
      <w:proofErr w:type="spellStart"/>
      <w:r w:rsidRPr="00062B26">
        <w:rPr>
          <w:rFonts w:cs="Arial"/>
        </w:rPr>
        <w:t>écho-Doppler</w:t>
      </w:r>
      <w:proofErr w:type="spellEnd"/>
      <w:r w:rsidRPr="00062B26">
        <w:rPr>
          <w:rFonts w:cs="Arial"/>
        </w:rPr>
        <w:t xml:space="preserve"> veineux</w:t>
      </w:r>
      <w:r>
        <w:rPr>
          <w:rFonts w:ascii="Arial" w:hAnsi="Arial" w:cs="Arial"/>
        </w:rPr>
        <w:t> </w:t>
      </w:r>
      <w:r w:rsidRPr="00062B26">
        <w:rPr>
          <w:rFonts w:cs="Arial"/>
        </w:rPr>
        <w:t xml:space="preserve">; si ce dernier est négatif, on réalise </w:t>
      </w:r>
      <w:r w:rsidRPr="00062B26">
        <w:rPr>
          <w:rFonts w:cs="Arial"/>
          <w:b/>
        </w:rPr>
        <w:t xml:space="preserve">une scintigraphie pulmonaire de perfusion en première intention (si disponible) ou un angioscanner thoracique. </w:t>
      </w:r>
      <w:r w:rsidRPr="00062B26">
        <w:rPr>
          <w:rFonts w:cs="Arial"/>
        </w:rPr>
        <w:t xml:space="preserve">L’irradiation fœtale est très nettement inférieure au seuil </w:t>
      </w:r>
      <w:proofErr w:type="spellStart"/>
      <w:r w:rsidRPr="00062B26">
        <w:rPr>
          <w:rFonts w:cs="Arial"/>
        </w:rPr>
        <w:t>fœto</w:t>
      </w:r>
      <w:proofErr w:type="spellEnd"/>
      <w:r w:rsidRPr="00062B26">
        <w:rPr>
          <w:rFonts w:cs="Arial"/>
        </w:rPr>
        <w:t>-toxique. Si un scanner est réalisé, faire un dosage des hormones thyroïdiennes à la naissance (risque de surcharge thyroïdienne fœtale, exceptionnel). Le traitement repose sur les HBPM tout au long de la grossesse.</w:t>
      </w:r>
    </w:p>
    <w:p w14:paraId="4B606386" w14:textId="77777777" w:rsidR="003720F8" w:rsidRPr="00062B26" w:rsidRDefault="003720F8" w:rsidP="003720F8">
      <w:pPr>
        <w:spacing w:line="276" w:lineRule="auto"/>
        <w:rPr>
          <w:rFonts w:cs="Arial"/>
          <w:i/>
          <w:u w:val="single"/>
        </w:rPr>
      </w:pPr>
    </w:p>
    <w:p w14:paraId="4BD6ECB6" w14:textId="41AF981C" w:rsidR="003720F8" w:rsidRPr="00062B26" w:rsidRDefault="003720F8">
      <w:pPr>
        <w:pStyle w:val="titredesous-partie"/>
        <w:numPr>
          <w:ilvl w:val="0"/>
          <w:numId w:val="21"/>
        </w:numPr>
        <w:spacing w:line="276" w:lineRule="auto"/>
      </w:pPr>
      <w:r w:rsidRPr="00062B26">
        <w:t>Sujets âgés</w:t>
      </w:r>
    </w:p>
    <w:p w14:paraId="0F43E494" w14:textId="77777777" w:rsidR="003720F8" w:rsidRPr="00062B26" w:rsidRDefault="003720F8" w:rsidP="003720F8">
      <w:pPr>
        <w:spacing w:line="276" w:lineRule="auto"/>
        <w:rPr>
          <w:rFonts w:cs="Arial"/>
        </w:rPr>
      </w:pPr>
      <w:r w:rsidRPr="00062B26">
        <w:rPr>
          <w:rFonts w:cs="Arial"/>
        </w:rPr>
        <w:t xml:space="preserve">La </w:t>
      </w:r>
      <w:r w:rsidRPr="00062B26">
        <w:rPr>
          <w:rFonts w:cs="Arial"/>
          <w:b/>
          <w:bCs/>
        </w:rPr>
        <w:t xml:space="preserve">sensibilité des D-dimères est inchangée et ils doivent être dosés en cas de PC non forte. </w:t>
      </w:r>
    </w:p>
    <w:p w14:paraId="3AA4A8CE" w14:textId="77777777" w:rsidR="003720F8" w:rsidRPr="00062B26" w:rsidRDefault="003720F8" w:rsidP="003720F8">
      <w:pPr>
        <w:spacing w:line="276" w:lineRule="auto"/>
        <w:rPr>
          <w:rFonts w:cs="Arial"/>
          <w:iCs/>
          <w:u w:val="single"/>
        </w:rPr>
      </w:pPr>
    </w:p>
    <w:p w14:paraId="59ECB2AA" w14:textId="4079BEA1" w:rsidR="003720F8" w:rsidRPr="00062B26" w:rsidRDefault="003720F8">
      <w:pPr>
        <w:pStyle w:val="titredesous-partie"/>
        <w:numPr>
          <w:ilvl w:val="0"/>
          <w:numId w:val="21"/>
        </w:numPr>
        <w:spacing w:line="276" w:lineRule="auto"/>
      </w:pPr>
      <w:r w:rsidRPr="00062B26">
        <w:t>EP à haut risque de décès (état de choc)</w:t>
      </w:r>
    </w:p>
    <w:p w14:paraId="688EF6B4" w14:textId="77777777" w:rsidR="003720F8" w:rsidRPr="00062B26" w:rsidRDefault="003720F8" w:rsidP="003720F8">
      <w:pPr>
        <w:spacing w:line="276" w:lineRule="auto"/>
        <w:rPr>
          <w:rFonts w:cs="Arial"/>
          <w:iCs/>
          <w:u w:val="single"/>
        </w:rPr>
      </w:pPr>
      <w:r w:rsidRPr="00062B26">
        <w:rPr>
          <w:rFonts w:cs="Arial"/>
          <w:iCs/>
          <w:u w:val="single"/>
        </w:rPr>
        <w:t>Échographie cardiaque transthoracique (ETT</w:t>
      </w:r>
      <w:r w:rsidRPr="00A53B05">
        <w:rPr>
          <w:rFonts w:cs="Arial"/>
          <w:iCs/>
        </w:rPr>
        <w:t>)</w:t>
      </w:r>
      <w:r>
        <w:rPr>
          <w:rFonts w:cs="Arial"/>
          <w:iCs/>
        </w:rPr>
        <w:t> :</w:t>
      </w:r>
    </w:p>
    <w:p w14:paraId="4F9B3427" w14:textId="77777777" w:rsidR="003720F8" w:rsidRPr="00A53B05" w:rsidRDefault="003720F8" w:rsidP="003720F8">
      <w:pPr>
        <w:spacing w:line="276" w:lineRule="auto"/>
        <w:rPr>
          <w:rFonts w:cs="Arial"/>
        </w:rPr>
      </w:pPr>
      <w:r>
        <w:rPr>
          <w:rFonts w:cs="Arial"/>
          <w:b/>
        </w:rPr>
        <w:t xml:space="preserve">- </w:t>
      </w:r>
      <w:r w:rsidRPr="00A53B05">
        <w:rPr>
          <w:rFonts w:cs="Arial"/>
          <w:b/>
        </w:rPr>
        <w:t xml:space="preserve">Indiquée en première intention seulement en cas de suspicion d’EP grave (état de choc) </w:t>
      </w:r>
      <w:r w:rsidRPr="00A53B05">
        <w:rPr>
          <w:rFonts w:cs="Arial"/>
        </w:rPr>
        <w:t xml:space="preserve">(quand le scanner n’est pas accessible ou si le patient est intransportable). </w:t>
      </w:r>
    </w:p>
    <w:p w14:paraId="102C9111" w14:textId="77777777" w:rsidR="003720F8" w:rsidRPr="00A53B05" w:rsidRDefault="003720F8" w:rsidP="003720F8">
      <w:pPr>
        <w:spacing w:line="276" w:lineRule="auto"/>
        <w:rPr>
          <w:rFonts w:cs="Arial"/>
        </w:rPr>
      </w:pPr>
      <w:r>
        <w:rPr>
          <w:rFonts w:cs="Arial"/>
        </w:rPr>
        <w:t xml:space="preserve">- </w:t>
      </w:r>
      <w:r w:rsidRPr="00A53B05">
        <w:rPr>
          <w:rFonts w:cs="Arial"/>
        </w:rPr>
        <w:t xml:space="preserve">Élimine des diagnostics alternatifs : tamponnade, dissection aortique, infarctus du VD. </w:t>
      </w:r>
    </w:p>
    <w:p w14:paraId="18C5E4F0" w14:textId="77777777" w:rsidR="003720F8" w:rsidRPr="00A53B05" w:rsidRDefault="003720F8" w:rsidP="003720F8">
      <w:pPr>
        <w:spacing w:line="276" w:lineRule="auto"/>
        <w:rPr>
          <w:rFonts w:cs="Arial"/>
        </w:rPr>
      </w:pPr>
      <w:r>
        <w:rPr>
          <w:rFonts w:cs="Arial"/>
        </w:rPr>
        <w:t xml:space="preserve">- </w:t>
      </w:r>
      <w:r w:rsidRPr="00A53B05">
        <w:rPr>
          <w:rFonts w:cs="Arial"/>
        </w:rPr>
        <w:t xml:space="preserve">Confirme le diagnostic d’EP si : </w:t>
      </w:r>
    </w:p>
    <w:p w14:paraId="7AEC81A8" w14:textId="77777777" w:rsidR="003720F8" w:rsidRPr="00062B26" w:rsidRDefault="003720F8">
      <w:pPr>
        <w:widowControl w:val="0"/>
        <w:numPr>
          <w:ilvl w:val="1"/>
          <w:numId w:val="20"/>
        </w:numPr>
        <w:spacing w:line="276" w:lineRule="auto"/>
        <w:ind w:left="284" w:hanging="142"/>
        <w:rPr>
          <w:rFonts w:cs="Arial"/>
        </w:rPr>
      </w:pPr>
      <w:r w:rsidRPr="00062B26">
        <w:rPr>
          <w:rFonts w:cs="Arial"/>
        </w:rPr>
        <w:t>Signes directs : thrombus dans les cavités cardiaques droites ou dans le tronc de l’artère pulmonaire (exceptionnellement visualisés en ETT).</w:t>
      </w:r>
    </w:p>
    <w:p w14:paraId="5E370C41" w14:textId="77777777" w:rsidR="003720F8" w:rsidRPr="00062B26" w:rsidRDefault="003720F8">
      <w:pPr>
        <w:widowControl w:val="0"/>
        <w:numPr>
          <w:ilvl w:val="1"/>
          <w:numId w:val="20"/>
        </w:numPr>
        <w:spacing w:line="276" w:lineRule="auto"/>
        <w:ind w:left="284" w:hanging="142"/>
        <w:rPr>
          <w:rFonts w:cs="Arial"/>
        </w:rPr>
      </w:pPr>
      <w:r w:rsidRPr="00062B26">
        <w:rPr>
          <w:rFonts w:cs="Arial"/>
        </w:rPr>
        <w:t>Signes indirects : dilatation du VD, septum paradoxal, chez un malade suspect d’EP (PC forte) grave non transportable.</w:t>
      </w:r>
    </w:p>
    <w:p w14:paraId="00DE0E22" w14:textId="77777777" w:rsidR="003720F8" w:rsidRPr="00062B26" w:rsidRDefault="003720F8" w:rsidP="003720F8">
      <w:pPr>
        <w:widowControl w:val="0"/>
        <w:spacing w:line="276" w:lineRule="auto"/>
        <w:rPr>
          <w:rFonts w:cs="Arial"/>
          <w:u w:val="single"/>
        </w:rPr>
      </w:pPr>
    </w:p>
    <w:p w14:paraId="61D0CCC5" w14:textId="77777777" w:rsidR="003720F8" w:rsidRPr="00062B26" w:rsidRDefault="003720F8" w:rsidP="003720F8">
      <w:pPr>
        <w:widowControl w:val="0"/>
        <w:spacing w:line="276" w:lineRule="auto"/>
        <w:rPr>
          <w:rFonts w:cs="Arial"/>
        </w:rPr>
      </w:pPr>
      <w:r w:rsidRPr="00062B26">
        <w:rPr>
          <w:rFonts w:cs="Arial"/>
          <w:u w:val="single"/>
        </w:rPr>
        <w:t>Angioscanner thoracique</w:t>
      </w:r>
      <w:r w:rsidRPr="00062B26">
        <w:rPr>
          <w:rFonts w:cs="Arial"/>
        </w:rPr>
        <w:t xml:space="preserve"> : uniquement si immédiatement disponible et patient stabilisé.  </w:t>
      </w:r>
    </w:p>
    <w:p w14:paraId="224C9808" w14:textId="77777777" w:rsidR="003720F8" w:rsidRPr="00062B26" w:rsidRDefault="003720F8" w:rsidP="003720F8">
      <w:pPr>
        <w:spacing w:line="276" w:lineRule="auto"/>
        <w:ind w:left="1134" w:hanging="1134"/>
        <w:rPr>
          <w:snapToGrid w:val="0"/>
          <w:w w:val="0"/>
          <w:sz w:val="2"/>
          <w:szCs w:val="2"/>
          <w:u w:color="000000"/>
          <w:bdr w:val="none" w:sz="0" w:space="0" w:color="000000"/>
          <w:shd w:val="clear" w:color="000000" w:fill="000000"/>
          <w:lang w:val="x-none" w:eastAsia="x-none" w:bidi="x-none"/>
        </w:rPr>
      </w:pPr>
    </w:p>
    <w:p w14:paraId="6F713083" w14:textId="77777777" w:rsidR="003720F8" w:rsidRPr="00062B26" w:rsidRDefault="003720F8" w:rsidP="003720F8">
      <w:pPr>
        <w:spacing w:line="276" w:lineRule="auto"/>
        <w:ind w:left="993" w:hanging="993"/>
        <w:rPr>
          <w:rFonts w:cs="Arial"/>
        </w:rPr>
      </w:pPr>
    </w:p>
    <w:p w14:paraId="645F07FA" w14:textId="20264FD0" w:rsidR="003720F8" w:rsidRPr="00062B26" w:rsidRDefault="003720F8" w:rsidP="003720F8">
      <w:pPr>
        <w:pStyle w:val="lgende"/>
      </w:pPr>
      <w:r w:rsidRPr="00062B26">
        <w:t>Figure </w:t>
      </w:r>
      <w:r w:rsidR="0026545F">
        <w:t>9</w:t>
      </w:r>
      <w:r>
        <w:t> </w:t>
      </w:r>
      <w:r w:rsidRPr="00062B26">
        <w:t>:</w:t>
      </w:r>
      <w:r>
        <w:t xml:space="preserve"> </w:t>
      </w:r>
      <w:r w:rsidRPr="00062B26">
        <w:t xml:space="preserve">Algorithme diagnostique en cas de suspicion d’EP à </w:t>
      </w:r>
      <w:r w:rsidRPr="00062B26">
        <w:rPr>
          <w:b/>
        </w:rPr>
        <w:t>risque élevé</w:t>
      </w:r>
      <w:r w:rsidRPr="00062B26">
        <w:t xml:space="preserve"> de mortalité (= grave)</w:t>
      </w:r>
      <w:r>
        <w:t>.</w:t>
      </w:r>
    </w:p>
    <w:p w14:paraId="2CC1DB5C" w14:textId="77777777" w:rsidR="003720F8" w:rsidRPr="00062B26" w:rsidRDefault="003720F8" w:rsidP="003720F8">
      <w:pPr>
        <w:spacing w:line="276" w:lineRule="auto"/>
        <w:jc w:val="center"/>
        <w:rPr>
          <w:rFonts w:cs="Arial"/>
          <w:b/>
        </w:rPr>
      </w:pPr>
      <w:r w:rsidRPr="00062B26">
        <w:rPr>
          <w:rFonts w:cs="Arial"/>
          <w:b/>
          <w:noProof/>
        </w:rPr>
        <w:lastRenderedPageBreak/>
        <w:drawing>
          <wp:inline distT="0" distB="0" distL="0" distR="0" wp14:anchorId="24093496" wp14:editId="10332201">
            <wp:extent cx="5239909" cy="3929932"/>
            <wp:effectExtent l="0" t="0" r="0" b="0"/>
            <wp:docPr id="6" name="Image 6" descr="C:\Users\User\Documents\fig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figure 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49200" cy="3936900"/>
                    </a:xfrm>
                    <a:prstGeom prst="rect">
                      <a:avLst/>
                    </a:prstGeom>
                    <a:noFill/>
                    <a:ln>
                      <a:noFill/>
                    </a:ln>
                  </pic:spPr>
                </pic:pic>
              </a:graphicData>
            </a:graphic>
          </wp:inline>
        </w:drawing>
      </w:r>
    </w:p>
    <w:p w14:paraId="0233FFB3" w14:textId="77777777" w:rsidR="00A35784" w:rsidRDefault="00A35784" w:rsidP="003720F8">
      <w:pPr>
        <w:spacing w:line="276" w:lineRule="auto"/>
      </w:pPr>
    </w:p>
    <w:p w14:paraId="12CE6B59" w14:textId="77777777" w:rsidR="00C8767D" w:rsidRDefault="00C8767D" w:rsidP="003720F8">
      <w:pPr>
        <w:spacing w:line="276" w:lineRule="auto"/>
      </w:pPr>
    </w:p>
    <w:p w14:paraId="5AE62959" w14:textId="1C7999DE" w:rsidR="003720F8" w:rsidRDefault="003720F8" w:rsidP="003720F8">
      <w:pPr>
        <w:pStyle w:val="titredepartie"/>
        <w:spacing w:line="276" w:lineRule="auto"/>
      </w:pPr>
      <w:r w:rsidRPr="003720F8">
        <w:t>TRAITEMENTS ET PRISE EN CHARGE</w:t>
      </w:r>
    </w:p>
    <w:p w14:paraId="4D363506" w14:textId="5F6E8F7A" w:rsidR="003720F8" w:rsidRPr="00062B26" w:rsidRDefault="003720F8">
      <w:pPr>
        <w:pStyle w:val="titredesous-partie"/>
        <w:numPr>
          <w:ilvl w:val="0"/>
          <w:numId w:val="33"/>
        </w:numPr>
        <w:spacing w:line="276" w:lineRule="auto"/>
      </w:pPr>
      <w:r w:rsidRPr="00062B26">
        <w:t>PRONOSTIC</w:t>
      </w:r>
    </w:p>
    <w:p w14:paraId="339CF794" w14:textId="020C6197" w:rsidR="003720F8" w:rsidRPr="00062B26" w:rsidRDefault="003720F8" w:rsidP="003720F8">
      <w:pPr>
        <w:spacing w:line="276" w:lineRule="auto"/>
        <w:rPr>
          <w:rFonts w:cs="Arial"/>
        </w:rPr>
      </w:pPr>
      <w:r w:rsidRPr="00062B26">
        <w:rPr>
          <w:rFonts w:cs="Arial"/>
        </w:rPr>
        <w:t xml:space="preserve">Les complications de la </w:t>
      </w:r>
      <w:r w:rsidR="0026545F">
        <w:rPr>
          <w:rFonts w:cs="Arial"/>
        </w:rPr>
        <w:t>MTEV</w:t>
      </w:r>
      <w:r w:rsidRPr="00062B26">
        <w:rPr>
          <w:rFonts w:cs="Arial"/>
        </w:rPr>
        <w:t xml:space="preserve"> sont</w:t>
      </w:r>
      <w:r>
        <w:rPr>
          <w:rFonts w:cs="Arial"/>
        </w:rPr>
        <w:t> </w:t>
      </w:r>
      <w:r w:rsidRPr="00062B26">
        <w:rPr>
          <w:rFonts w:cs="Arial"/>
        </w:rPr>
        <w:t>:</w:t>
      </w:r>
    </w:p>
    <w:p w14:paraId="27D2BEC9" w14:textId="77777777" w:rsidR="003720F8" w:rsidRDefault="003720F8" w:rsidP="003720F8">
      <w:pPr>
        <w:spacing w:line="276" w:lineRule="auto"/>
        <w:rPr>
          <w:rFonts w:cs="Arial"/>
        </w:rPr>
      </w:pPr>
      <w:r>
        <w:rPr>
          <w:rFonts w:cs="Arial"/>
        </w:rPr>
        <w:t xml:space="preserve">- </w:t>
      </w:r>
      <w:r w:rsidRPr="00A53B05">
        <w:rPr>
          <w:rFonts w:cs="Arial"/>
        </w:rPr>
        <w:t>Le décès (pour l’EP</w:t>
      </w:r>
      <w:r>
        <w:rPr>
          <w:rFonts w:cs="Arial"/>
        </w:rPr>
        <w:t>).</w:t>
      </w:r>
    </w:p>
    <w:p w14:paraId="5AEDEC93" w14:textId="77777777" w:rsidR="003720F8" w:rsidRDefault="003720F8" w:rsidP="003720F8">
      <w:pPr>
        <w:spacing w:line="276" w:lineRule="auto"/>
        <w:rPr>
          <w:rFonts w:cs="Arial"/>
        </w:rPr>
      </w:pPr>
      <w:r>
        <w:rPr>
          <w:rFonts w:cs="Arial"/>
        </w:rPr>
        <w:t xml:space="preserve">- </w:t>
      </w:r>
      <w:r w:rsidRPr="00A53B05">
        <w:rPr>
          <w:rFonts w:cs="Arial"/>
        </w:rPr>
        <w:t>La récidive thrombo-embolique veineuse</w:t>
      </w:r>
      <w:r>
        <w:rPr>
          <w:rFonts w:cs="Arial"/>
        </w:rPr>
        <w:t>.</w:t>
      </w:r>
    </w:p>
    <w:p w14:paraId="7499AF25" w14:textId="77777777" w:rsidR="003720F8" w:rsidRDefault="003720F8" w:rsidP="003720F8">
      <w:pPr>
        <w:spacing w:line="276" w:lineRule="auto"/>
        <w:rPr>
          <w:rFonts w:cs="Arial"/>
        </w:rPr>
      </w:pPr>
      <w:r>
        <w:rPr>
          <w:rFonts w:cs="Arial"/>
        </w:rPr>
        <w:t xml:space="preserve">- </w:t>
      </w:r>
      <w:r w:rsidRPr="00A53B05">
        <w:rPr>
          <w:rFonts w:cs="Arial"/>
        </w:rPr>
        <w:t>Les séquelles : syndrome post-thrombotique pour les TVP et maladie thrombo-embolique chronique avec ou sans hypertension pulmonaire (HTP-TEC) pour l’EP.</w:t>
      </w:r>
    </w:p>
    <w:p w14:paraId="46E12649" w14:textId="77777777" w:rsidR="003720F8" w:rsidRPr="00C446D0" w:rsidRDefault="003720F8" w:rsidP="003720F8">
      <w:pPr>
        <w:spacing w:line="276" w:lineRule="auto"/>
        <w:rPr>
          <w:rFonts w:cs="Arial"/>
        </w:rPr>
      </w:pPr>
    </w:p>
    <w:p w14:paraId="4686A47F" w14:textId="32E4AF61" w:rsidR="003720F8" w:rsidRPr="00C446D0" w:rsidRDefault="003720F8" w:rsidP="003720F8">
      <w:pPr>
        <w:pStyle w:val="Titre3"/>
        <w:spacing w:line="276" w:lineRule="auto"/>
      </w:pPr>
      <w:r w:rsidRPr="00C446D0">
        <w:t>Risque de décès</w:t>
      </w:r>
    </w:p>
    <w:p w14:paraId="36617E25" w14:textId="77777777" w:rsidR="003720F8" w:rsidRPr="00062B26" w:rsidRDefault="003720F8" w:rsidP="003720F8">
      <w:pPr>
        <w:spacing w:line="276" w:lineRule="auto"/>
      </w:pPr>
      <w:r w:rsidRPr="00062B26">
        <w:t>L’évaluation du pronostic de l’EP repose sur des paramètres</w:t>
      </w:r>
      <w:r>
        <w:t> </w:t>
      </w:r>
      <w:r w:rsidRPr="00062B26">
        <w:t>:</w:t>
      </w:r>
    </w:p>
    <w:p w14:paraId="55311B65" w14:textId="77777777" w:rsidR="003720F8" w:rsidRPr="00A53B05" w:rsidRDefault="003720F8" w:rsidP="003720F8">
      <w:pPr>
        <w:spacing w:line="276" w:lineRule="auto"/>
      </w:pPr>
      <w:r>
        <w:t>- C</w:t>
      </w:r>
      <w:r w:rsidRPr="00A53B05">
        <w:t>liniques</w:t>
      </w:r>
      <w:r>
        <w:t> </w:t>
      </w:r>
      <w:r w:rsidRPr="00A53B05">
        <w:t xml:space="preserve">: </w:t>
      </w:r>
    </w:p>
    <w:p w14:paraId="57F4D63E" w14:textId="77777777" w:rsidR="003720F8" w:rsidRPr="00062B26" w:rsidRDefault="003720F8">
      <w:pPr>
        <w:pStyle w:val="Paragraphedeliste"/>
        <w:numPr>
          <w:ilvl w:val="0"/>
          <w:numId w:val="36"/>
        </w:numPr>
        <w:ind w:left="284" w:hanging="142"/>
      </w:pPr>
      <w:r w:rsidRPr="0059232D">
        <w:rPr>
          <w:b/>
          <w:u w:val="single"/>
        </w:rPr>
        <w:t>Pression artérielle</w:t>
      </w:r>
      <w:r w:rsidRPr="0059232D">
        <w:rPr>
          <w:b/>
        </w:rPr>
        <w:t> </w:t>
      </w:r>
      <w:r w:rsidRPr="00062B26">
        <w:t>: état de choc (PAS &lt; 90</w:t>
      </w:r>
      <w:r>
        <w:t> </w:t>
      </w:r>
      <w:proofErr w:type="spellStart"/>
      <w:r w:rsidRPr="00062B26">
        <w:t>mmHg</w:t>
      </w:r>
      <w:proofErr w:type="spellEnd"/>
      <w:r w:rsidRPr="00062B26">
        <w:t xml:space="preserve"> ou chute de la PAS &gt; 40</w:t>
      </w:r>
      <w:r>
        <w:t> </w:t>
      </w:r>
      <w:proofErr w:type="spellStart"/>
      <w:r w:rsidRPr="00062B26">
        <w:t>mmHg</w:t>
      </w:r>
      <w:proofErr w:type="spellEnd"/>
      <w:r w:rsidRPr="00062B26">
        <w:t xml:space="preserve"> par rapport à l’état de base pendant au moins 15</w:t>
      </w:r>
      <w:r>
        <w:t> </w:t>
      </w:r>
      <w:r w:rsidRPr="00062B26">
        <w:t>minutes)</w:t>
      </w:r>
      <w:r>
        <w:t>.</w:t>
      </w:r>
    </w:p>
    <w:p w14:paraId="66CBFF95" w14:textId="17BD929B" w:rsidR="003720F8" w:rsidRPr="00062B26" w:rsidRDefault="003720F8">
      <w:pPr>
        <w:pStyle w:val="Paragraphedeliste"/>
        <w:numPr>
          <w:ilvl w:val="0"/>
          <w:numId w:val="34"/>
        </w:numPr>
        <w:spacing w:line="276" w:lineRule="auto"/>
        <w:ind w:left="284" w:hanging="142"/>
      </w:pPr>
      <w:r w:rsidRPr="003720F8">
        <w:rPr>
          <w:b/>
          <w:u w:val="single"/>
        </w:rPr>
        <w:t>Index de sévérité de l’EP simplifié (</w:t>
      </w:r>
      <w:proofErr w:type="spellStart"/>
      <w:r w:rsidRPr="003720F8">
        <w:rPr>
          <w:b/>
          <w:u w:val="single"/>
        </w:rPr>
        <w:t>sPESI</w:t>
      </w:r>
      <w:proofErr w:type="spellEnd"/>
      <w:r w:rsidRPr="003720F8">
        <w:rPr>
          <w:b/>
        </w:rPr>
        <w:t>) </w:t>
      </w:r>
      <w:r w:rsidRPr="00A53B05">
        <w:t>:</w:t>
      </w:r>
      <w:r w:rsidRPr="00062B26">
        <w:t xml:space="preserve"> classe les patients en 2</w:t>
      </w:r>
      <w:r>
        <w:t> </w:t>
      </w:r>
      <w:r w:rsidRPr="00062B26">
        <w:t>catégories de risque de décès à 30</w:t>
      </w:r>
      <w:r>
        <w:t> </w:t>
      </w:r>
      <w:r w:rsidRPr="00062B26">
        <w:t>jours (tableau</w:t>
      </w:r>
      <w:r>
        <w:t> </w:t>
      </w:r>
      <w:r w:rsidR="0026545F">
        <w:t>4</w:t>
      </w:r>
      <w:r w:rsidRPr="00062B26">
        <w:t>),</w:t>
      </w:r>
    </w:p>
    <w:p w14:paraId="3B18E905" w14:textId="77777777" w:rsidR="003720F8" w:rsidRPr="00A53B05" w:rsidRDefault="003720F8" w:rsidP="003720F8">
      <w:pPr>
        <w:spacing w:line="276" w:lineRule="auto"/>
      </w:pPr>
      <w:r>
        <w:t>- P</w:t>
      </w:r>
      <w:r w:rsidRPr="00A53B05">
        <w:t>aracliniques :</w:t>
      </w:r>
    </w:p>
    <w:p w14:paraId="45B04241" w14:textId="77777777" w:rsidR="003720F8" w:rsidRPr="003720F8" w:rsidRDefault="003720F8">
      <w:pPr>
        <w:pStyle w:val="Paragraphedeliste"/>
        <w:numPr>
          <w:ilvl w:val="0"/>
          <w:numId w:val="35"/>
        </w:numPr>
        <w:spacing w:line="276" w:lineRule="auto"/>
        <w:ind w:left="284" w:hanging="142"/>
        <w:rPr>
          <w:bCs/>
        </w:rPr>
      </w:pPr>
      <w:r w:rsidRPr="003720F8">
        <w:rPr>
          <w:b/>
          <w:u w:val="single"/>
        </w:rPr>
        <w:t>Dysfonction ventriculaire droite (VD</w:t>
      </w:r>
      <w:r w:rsidRPr="003720F8">
        <w:rPr>
          <w:b/>
        </w:rPr>
        <w:t>) </w:t>
      </w:r>
      <w:r w:rsidRPr="003720F8">
        <w:rPr>
          <w:bCs/>
        </w:rPr>
        <w:t>: rapport VD/VG &gt; 0,9, hypokinésie du VD.</w:t>
      </w:r>
    </w:p>
    <w:p w14:paraId="15EA7E80" w14:textId="77777777" w:rsidR="003720F8" w:rsidRPr="003720F8" w:rsidRDefault="003720F8">
      <w:pPr>
        <w:pStyle w:val="Paragraphedeliste"/>
        <w:numPr>
          <w:ilvl w:val="0"/>
          <w:numId w:val="35"/>
        </w:numPr>
        <w:spacing w:line="276" w:lineRule="auto"/>
        <w:ind w:left="284" w:hanging="142"/>
        <w:rPr>
          <w:b/>
          <w:u w:val="single"/>
        </w:rPr>
      </w:pPr>
      <w:r w:rsidRPr="003720F8">
        <w:rPr>
          <w:b/>
          <w:u w:val="single"/>
        </w:rPr>
        <w:lastRenderedPageBreak/>
        <w:t>Élévation des biomarqueurs</w:t>
      </w:r>
      <w:r w:rsidRPr="003720F8">
        <w:rPr>
          <w:b/>
        </w:rPr>
        <w:t> </w:t>
      </w:r>
      <w:r w:rsidRPr="003720F8">
        <w:rPr>
          <w:bCs/>
        </w:rPr>
        <w:t>: Troponine I ou T</w:t>
      </w:r>
      <w:r w:rsidRPr="00062B26">
        <w:t>.</w:t>
      </w:r>
    </w:p>
    <w:p w14:paraId="6003A188" w14:textId="77777777" w:rsidR="003720F8" w:rsidRPr="00062B26" w:rsidRDefault="003720F8" w:rsidP="003720F8">
      <w:pPr>
        <w:spacing w:line="276" w:lineRule="auto"/>
        <w:rPr>
          <w:rFonts w:cs="Arial"/>
        </w:rPr>
      </w:pPr>
      <w:r w:rsidRPr="00313EF7">
        <w:rPr>
          <w:rFonts w:ascii="Arial" w:hAnsi="Arial" w:cs="Arial"/>
          <w:iCs/>
          <w:noProof/>
          <w:color w:val="000000" w:themeColor="text1"/>
          <w:sz w:val="28"/>
          <w:szCs w:val="28"/>
        </w:rPr>
        <w:drawing>
          <wp:anchor distT="0" distB="0" distL="114300" distR="114300" simplePos="0" relativeHeight="251797504" behindDoc="0" locked="0" layoutInCell="1" allowOverlap="1" wp14:anchorId="46527BF2" wp14:editId="6569C017">
            <wp:simplePos x="0" y="0"/>
            <wp:positionH relativeFrom="leftMargin">
              <wp:posOffset>472744</wp:posOffset>
            </wp:positionH>
            <wp:positionV relativeFrom="paragraph">
              <wp:posOffset>181610</wp:posOffset>
            </wp:positionV>
            <wp:extent cx="153670" cy="137160"/>
            <wp:effectExtent l="0" t="0" r="0" b="0"/>
            <wp:wrapThrough wrapText="bothSides">
              <wp:wrapPolygon edited="0">
                <wp:start x="0" y="0"/>
                <wp:lineTo x="0" y="18000"/>
                <wp:lineTo x="18744" y="18000"/>
                <wp:lineTo x="18744" y="0"/>
                <wp:lineTo x="0" y="0"/>
              </wp:wrapPolygon>
            </wp:wrapThrough>
            <wp:docPr id="10852865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062B26">
        <w:rPr>
          <w:rFonts w:cs="Arial"/>
        </w:rPr>
        <w:tab/>
      </w:r>
    </w:p>
    <w:p w14:paraId="0658BE9E" w14:textId="28240F18" w:rsidR="003720F8" w:rsidRPr="00062B26" w:rsidRDefault="003720F8" w:rsidP="003720F8">
      <w:pPr>
        <w:spacing w:line="276" w:lineRule="auto"/>
        <w:rPr>
          <w:rFonts w:cs="Arial"/>
          <w:iCs/>
          <w:color w:val="0070C0"/>
        </w:rPr>
      </w:pPr>
      <w:r w:rsidRPr="00062B26">
        <w:rPr>
          <w:rFonts w:cs="Arial"/>
          <w:iCs/>
          <w:color w:val="0070C0"/>
        </w:rPr>
        <w:t xml:space="preserve">On distingue ainsi </w:t>
      </w:r>
      <w:r w:rsidRPr="00062B26">
        <w:rPr>
          <w:rFonts w:cs="Arial"/>
          <w:b/>
          <w:iCs/>
          <w:color w:val="0070C0"/>
        </w:rPr>
        <w:t>4</w:t>
      </w:r>
      <w:r>
        <w:rPr>
          <w:rFonts w:cs="Arial"/>
          <w:b/>
          <w:iCs/>
          <w:color w:val="0070C0"/>
        </w:rPr>
        <w:t> </w:t>
      </w:r>
      <w:r w:rsidRPr="00062B26">
        <w:rPr>
          <w:rFonts w:cs="Arial"/>
          <w:b/>
          <w:iCs/>
          <w:color w:val="0070C0"/>
        </w:rPr>
        <w:t>stades de sévérité</w:t>
      </w:r>
      <w:r w:rsidR="00AA6667">
        <w:rPr>
          <w:rFonts w:cs="Arial"/>
          <w:b/>
          <w:iCs/>
          <w:color w:val="0070C0"/>
        </w:rPr>
        <w:t xml:space="preserve"> </w:t>
      </w:r>
      <w:r w:rsidRPr="00062B26">
        <w:rPr>
          <w:rFonts w:cs="Arial"/>
          <w:iCs/>
          <w:color w:val="0070C0"/>
        </w:rPr>
        <w:t xml:space="preserve">: </w:t>
      </w:r>
    </w:p>
    <w:p w14:paraId="15956F92" w14:textId="77777777" w:rsidR="003720F8" w:rsidRPr="00062B26" w:rsidRDefault="003720F8" w:rsidP="003720F8">
      <w:pPr>
        <w:spacing w:line="276" w:lineRule="auto"/>
        <w:rPr>
          <w:rFonts w:cs="Arial"/>
          <w:iCs/>
          <w:color w:val="0070C0"/>
        </w:rPr>
      </w:pPr>
      <w:r w:rsidRPr="00062B26">
        <w:rPr>
          <w:rFonts w:cs="Arial"/>
          <w:iCs/>
          <w:color w:val="0070C0"/>
        </w:rPr>
        <w:t xml:space="preserve">- </w:t>
      </w:r>
      <w:r>
        <w:rPr>
          <w:rFonts w:cs="Arial"/>
          <w:b/>
          <w:iCs/>
          <w:color w:val="0070C0"/>
        </w:rPr>
        <w:t>R</w:t>
      </w:r>
      <w:r w:rsidRPr="00062B26">
        <w:rPr>
          <w:rFonts w:cs="Arial"/>
          <w:b/>
          <w:iCs/>
          <w:color w:val="0070C0"/>
        </w:rPr>
        <w:t>isque faible</w:t>
      </w:r>
      <w:r w:rsidRPr="00062B26">
        <w:rPr>
          <w:rFonts w:cs="Arial"/>
          <w:iCs/>
          <w:color w:val="0070C0"/>
        </w:rPr>
        <w:t xml:space="preserve"> de mortalité si </w:t>
      </w:r>
      <w:proofErr w:type="spellStart"/>
      <w:r w:rsidRPr="00062B26">
        <w:rPr>
          <w:rFonts w:cs="Arial"/>
          <w:iCs/>
          <w:color w:val="0070C0"/>
        </w:rPr>
        <w:t>sPESI</w:t>
      </w:r>
      <w:proofErr w:type="spellEnd"/>
      <w:r w:rsidRPr="00062B26">
        <w:rPr>
          <w:rFonts w:cs="Arial"/>
          <w:iCs/>
          <w:color w:val="0070C0"/>
        </w:rPr>
        <w:t>=0 (mortalité 1</w:t>
      </w:r>
      <w:r>
        <w:rPr>
          <w:rFonts w:cs="Arial"/>
          <w:iCs/>
          <w:color w:val="0070C0"/>
        </w:rPr>
        <w:t> </w:t>
      </w:r>
      <w:r w:rsidRPr="00062B26">
        <w:rPr>
          <w:rFonts w:cs="Arial"/>
          <w:iCs/>
          <w:color w:val="0070C0"/>
        </w:rPr>
        <w:t>%)</w:t>
      </w:r>
      <w:r>
        <w:rPr>
          <w:rFonts w:cs="Arial"/>
          <w:iCs/>
          <w:color w:val="0070C0"/>
        </w:rPr>
        <w:t>.</w:t>
      </w:r>
    </w:p>
    <w:p w14:paraId="20E5E20C" w14:textId="77777777" w:rsidR="003720F8" w:rsidRPr="00062B26" w:rsidRDefault="003720F8" w:rsidP="003720F8">
      <w:pPr>
        <w:spacing w:line="276" w:lineRule="auto"/>
        <w:rPr>
          <w:rFonts w:cs="Arial"/>
          <w:iCs/>
          <w:color w:val="0070C0"/>
        </w:rPr>
      </w:pPr>
      <w:r>
        <w:rPr>
          <w:rFonts w:cs="Arial"/>
          <w:iCs/>
          <w:color w:val="0070C0"/>
        </w:rPr>
        <w:t xml:space="preserve">- </w:t>
      </w:r>
      <w:r>
        <w:rPr>
          <w:rFonts w:cs="Arial"/>
          <w:b/>
          <w:iCs/>
          <w:color w:val="0070C0"/>
        </w:rPr>
        <w:t>R</w:t>
      </w:r>
      <w:r w:rsidRPr="00062B26">
        <w:rPr>
          <w:rFonts w:cs="Arial"/>
          <w:b/>
          <w:iCs/>
          <w:color w:val="0070C0"/>
        </w:rPr>
        <w:t>isque intermédiaire</w:t>
      </w:r>
      <w:r w:rsidRPr="00062B26">
        <w:rPr>
          <w:rFonts w:cs="Arial"/>
          <w:iCs/>
          <w:color w:val="0070C0"/>
        </w:rPr>
        <w:t xml:space="preserve"> de mortalité si </w:t>
      </w:r>
      <w:proofErr w:type="spellStart"/>
      <w:r w:rsidRPr="00062B26">
        <w:rPr>
          <w:rFonts w:cs="Arial"/>
          <w:iCs/>
          <w:color w:val="0070C0"/>
        </w:rPr>
        <w:t>sPESI</w:t>
      </w:r>
      <w:proofErr w:type="spellEnd"/>
      <w:r w:rsidRPr="00062B26">
        <w:rPr>
          <w:rFonts w:cs="Arial"/>
          <w:iCs/>
          <w:color w:val="0070C0"/>
        </w:rPr>
        <w:t xml:space="preserve"> ≥</w:t>
      </w:r>
      <w:r>
        <w:rPr>
          <w:rFonts w:cs="Arial"/>
          <w:iCs/>
          <w:color w:val="0070C0"/>
        </w:rPr>
        <w:t> </w:t>
      </w:r>
      <w:r w:rsidRPr="00062B26">
        <w:rPr>
          <w:rFonts w:cs="Arial"/>
          <w:iCs/>
          <w:color w:val="0070C0"/>
        </w:rPr>
        <w:t>1 (mortalité</w:t>
      </w:r>
      <w:r>
        <w:rPr>
          <w:rFonts w:cs="Arial"/>
          <w:iCs/>
          <w:color w:val="0070C0"/>
        </w:rPr>
        <w:t> </w:t>
      </w:r>
      <w:r w:rsidRPr="00062B26">
        <w:rPr>
          <w:rFonts w:cs="Arial"/>
          <w:iCs/>
          <w:color w:val="0070C0"/>
        </w:rPr>
        <w:t>3 à 25</w:t>
      </w:r>
      <w:r>
        <w:rPr>
          <w:rFonts w:cs="Arial"/>
          <w:iCs/>
          <w:color w:val="0070C0"/>
        </w:rPr>
        <w:t> </w:t>
      </w:r>
      <w:r w:rsidRPr="00062B26">
        <w:rPr>
          <w:rFonts w:cs="Arial"/>
          <w:iCs/>
          <w:color w:val="0070C0"/>
        </w:rPr>
        <w:t>%), subdivisé en risques</w:t>
      </w:r>
      <w:r>
        <w:rPr>
          <w:rFonts w:cs="Arial"/>
          <w:iCs/>
          <w:color w:val="0070C0"/>
        </w:rPr>
        <w:t> </w:t>
      </w:r>
      <w:r w:rsidRPr="00062B26">
        <w:rPr>
          <w:rFonts w:cs="Arial"/>
          <w:iCs/>
          <w:color w:val="0070C0"/>
        </w:rPr>
        <w:t xml:space="preserve">: </w:t>
      </w:r>
    </w:p>
    <w:p w14:paraId="2E1DAE11" w14:textId="77777777" w:rsidR="003720F8" w:rsidRPr="00F22426" w:rsidRDefault="003720F8">
      <w:pPr>
        <w:pStyle w:val="Paragraphedeliste"/>
        <w:numPr>
          <w:ilvl w:val="0"/>
          <w:numId w:val="22"/>
        </w:numPr>
        <w:spacing w:line="276" w:lineRule="auto"/>
        <w:ind w:left="284" w:hanging="142"/>
        <w:rPr>
          <w:rFonts w:cs="Arial"/>
          <w:iCs/>
          <w:color w:val="0070C0"/>
        </w:rPr>
      </w:pPr>
      <w:r>
        <w:rPr>
          <w:rFonts w:cs="Arial"/>
          <w:iCs/>
          <w:color w:val="0070C0"/>
        </w:rPr>
        <w:t>I</w:t>
      </w:r>
      <w:r w:rsidRPr="00F22426">
        <w:rPr>
          <w:rFonts w:cs="Arial"/>
          <w:iCs/>
          <w:color w:val="0070C0"/>
        </w:rPr>
        <w:t>ntermédiaire-faible</w:t>
      </w:r>
      <w:r>
        <w:rPr>
          <w:rFonts w:cs="Arial"/>
          <w:iCs/>
          <w:color w:val="0070C0"/>
        </w:rPr>
        <w:t> </w:t>
      </w:r>
      <w:r w:rsidRPr="00F22426">
        <w:rPr>
          <w:rFonts w:cs="Arial"/>
          <w:iCs/>
          <w:color w:val="0070C0"/>
        </w:rPr>
        <w:t>: dysfonction VD ou élévation biomarqueurs ou aucun des deux</w:t>
      </w:r>
      <w:r>
        <w:rPr>
          <w:rFonts w:cs="Arial"/>
          <w:iCs/>
          <w:color w:val="0070C0"/>
        </w:rPr>
        <w:t>.</w:t>
      </w:r>
    </w:p>
    <w:p w14:paraId="43AB957F" w14:textId="77777777" w:rsidR="003720F8" w:rsidRPr="00F22426" w:rsidRDefault="003720F8">
      <w:pPr>
        <w:pStyle w:val="Paragraphedeliste"/>
        <w:numPr>
          <w:ilvl w:val="0"/>
          <w:numId w:val="22"/>
        </w:numPr>
        <w:spacing w:line="276" w:lineRule="auto"/>
        <w:ind w:left="284" w:hanging="142"/>
        <w:rPr>
          <w:rFonts w:cs="Arial"/>
          <w:iCs/>
          <w:color w:val="0070C0"/>
        </w:rPr>
      </w:pPr>
      <w:r>
        <w:rPr>
          <w:rFonts w:cs="Arial"/>
          <w:iCs/>
          <w:color w:val="0070C0"/>
        </w:rPr>
        <w:t>E</w:t>
      </w:r>
      <w:r w:rsidRPr="00F22426">
        <w:rPr>
          <w:rFonts w:cs="Arial"/>
          <w:iCs/>
          <w:color w:val="0070C0"/>
        </w:rPr>
        <w:t>t intermédiaire élevé</w:t>
      </w:r>
      <w:r>
        <w:rPr>
          <w:rFonts w:cs="Arial"/>
          <w:iCs/>
          <w:color w:val="0070C0"/>
        </w:rPr>
        <w:t> </w:t>
      </w:r>
      <w:r w:rsidRPr="00F22426">
        <w:rPr>
          <w:rFonts w:cs="Arial"/>
          <w:iCs/>
          <w:color w:val="0070C0"/>
        </w:rPr>
        <w:t xml:space="preserve">: dysfonction VD </w:t>
      </w:r>
      <w:r w:rsidRPr="00F22426">
        <w:rPr>
          <w:rFonts w:cs="Arial"/>
          <w:b/>
          <w:iCs/>
          <w:color w:val="0070C0"/>
        </w:rPr>
        <w:t>et</w:t>
      </w:r>
      <w:r w:rsidRPr="00F22426">
        <w:rPr>
          <w:rFonts w:cs="Arial"/>
          <w:iCs/>
          <w:color w:val="0070C0"/>
        </w:rPr>
        <w:t xml:space="preserve"> élévation des biomarqueurs.</w:t>
      </w:r>
    </w:p>
    <w:p w14:paraId="28930261" w14:textId="77777777" w:rsidR="003720F8" w:rsidRPr="00062B26" w:rsidRDefault="003720F8" w:rsidP="003720F8">
      <w:pPr>
        <w:spacing w:line="276" w:lineRule="auto"/>
        <w:rPr>
          <w:rFonts w:cs="Arial"/>
          <w:iCs/>
          <w:color w:val="0070C0"/>
        </w:rPr>
      </w:pPr>
      <w:r w:rsidRPr="00062B26">
        <w:rPr>
          <w:rFonts w:cs="Arial"/>
          <w:b/>
          <w:iCs/>
          <w:color w:val="0070C0"/>
        </w:rPr>
        <w:t xml:space="preserve">- </w:t>
      </w:r>
      <w:r>
        <w:rPr>
          <w:rFonts w:cs="Arial"/>
          <w:b/>
          <w:iCs/>
          <w:color w:val="0070C0"/>
        </w:rPr>
        <w:t>R</w:t>
      </w:r>
      <w:r w:rsidRPr="00062B26">
        <w:rPr>
          <w:rFonts w:cs="Arial"/>
          <w:b/>
          <w:iCs/>
          <w:color w:val="0070C0"/>
        </w:rPr>
        <w:t>isque élevé</w:t>
      </w:r>
      <w:r w:rsidRPr="00062B26">
        <w:rPr>
          <w:rFonts w:cs="Arial"/>
          <w:iCs/>
          <w:color w:val="0070C0"/>
        </w:rPr>
        <w:t xml:space="preserve"> de mortalité si état de choc (mortalité &gt; à 25</w:t>
      </w:r>
      <w:r>
        <w:rPr>
          <w:rFonts w:cs="Arial"/>
          <w:iCs/>
          <w:color w:val="0070C0"/>
        </w:rPr>
        <w:t> </w:t>
      </w:r>
      <w:r w:rsidRPr="00062B26">
        <w:rPr>
          <w:rFonts w:cs="Arial"/>
          <w:iCs/>
          <w:color w:val="0070C0"/>
        </w:rPr>
        <w:t xml:space="preserve">%) = EP grave. </w:t>
      </w:r>
    </w:p>
    <w:p w14:paraId="2ACF0387" w14:textId="77777777" w:rsidR="003720F8" w:rsidRPr="00062B26" w:rsidRDefault="003720F8" w:rsidP="003720F8">
      <w:pPr>
        <w:spacing w:line="276" w:lineRule="auto"/>
        <w:rPr>
          <w:rFonts w:cs="Arial"/>
          <w:i/>
        </w:rPr>
      </w:pPr>
    </w:p>
    <w:p w14:paraId="62C72609" w14:textId="00A3CBC4" w:rsidR="003720F8" w:rsidRPr="00062B26" w:rsidRDefault="003720F8" w:rsidP="003720F8">
      <w:pPr>
        <w:pStyle w:val="Lgende1"/>
      </w:pPr>
      <w:r w:rsidRPr="00F22426">
        <w:rPr>
          <w:color w:val="0070C0"/>
        </w:rPr>
        <w:t>Tableau</w:t>
      </w:r>
      <w:r>
        <w:rPr>
          <w:color w:val="0070C0"/>
        </w:rPr>
        <w:t> </w:t>
      </w:r>
      <w:r w:rsidRPr="00F22426">
        <w:rPr>
          <w:color w:val="0070C0"/>
        </w:rPr>
        <w:t xml:space="preserve">4 : score </w:t>
      </w:r>
      <w:proofErr w:type="spellStart"/>
      <w:r w:rsidR="0026545F">
        <w:rPr>
          <w:color w:val="0070C0"/>
        </w:rPr>
        <w:t>sPESI</w:t>
      </w:r>
      <w:proofErr w:type="spellEnd"/>
      <w:r w:rsidRPr="00F22426">
        <w:rPr>
          <w:color w:val="0070C0"/>
        </w:rPr>
        <w:t>.</w:t>
      </w:r>
    </w:p>
    <w:tbl>
      <w:tblPr>
        <w:tblW w:w="9072"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0A0" w:firstRow="1" w:lastRow="0" w:firstColumn="1" w:lastColumn="0" w:noHBand="0" w:noVBand="0"/>
      </w:tblPr>
      <w:tblGrid>
        <w:gridCol w:w="4511"/>
        <w:gridCol w:w="4561"/>
      </w:tblGrid>
      <w:tr w:rsidR="003720F8" w:rsidRPr="00F22426" w14:paraId="205F3733" w14:textId="77777777" w:rsidTr="00C8767D">
        <w:tc>
          <w:tcPr>
            <w:tcW w:w="4511" w:type="dxa"/>
            <w:shd w:val="clear" w:color="auto" w:fill="D1D1D1" w:themeFill="background2" w:themeFillShade="E6"/>
          </w:tcPr>
          <w:p w14:paraId="0D0B18DD" w14:textId="77777777" w:rsidR="003720F8" w:rsidRPr="004278AD" w:rsidRDefault="003720F8" w:rsidP="003720F8">
            <w:pPr>
              <w:spacing w:line="276" w:lineRule="auto"/>
              <w:jc w:val="center"/>
              <w:rPr>
                <w:rFonts w:ascii="Calibri" w:hAnsi="Calibri"/>
                <w:b/>
                <w:iCs/>
                <w:color w:val="000000" w:themeColor="text1"/>
              </w:rPr>
            </w:pPr>
            <w:r w:rsidRPr="004278AD">
              <w:rPr>
                <w:rFonts w:ascii="Calibri" w:hAnsi="Calibri"/>
                <w:b/>
                <w:iCs/>
                <w:color w:val="000000" w:themeColor="text1"/>
              </w:rPr>
              <w:t>Items</w:t>
            </w:r>
          </w:p>
        </w:tc>
        <w:tc>
          <w:tcPr>
            <w:tcW w:w="4561" w:type="dxa"/>
            <w:shd w:val="clear" w:color="auto" w:fill="D1D1D1" w:themeFill="background2" w:themeFillShade="E6"/>
          </w:tcPr>
          <w:p w14:paraId="7DC597D8" w14:textId="77777777" w:rsidR="003720F8" w:rsidRPr="004278AD" w:rsidRDefault="003720F8" w:rsidP="003720F8">
            <w:pPr>
              <w:spacing w:line="276" w:lineRule="auto"/>
              <w:jc w:val="center"/>
              <w:rPr>
                <w:rFonts w:ascii="Calibri" w:hAnsi="Calibri"/>
                <w:b/>
                <w:iCs/>
                <w:color w:val="000000" w:themeColor="text1"/>
              </w:rPr>
            </w:pPr>
            <w:r w:rsidRPr="004278AD">
              <w:rPr>
                <w:rFonts w:ascii="Calibri" w:hAnsi="Calibri"/>
                <w:b/>
                <w:iCs/>
                <w:color w:val="000000" w:themeColor="text1"/>
              </w:rPr>
              <w:t>Score</w:t>
            </w:r>
          </w:p>
        </w:tc>
      </w:tr>
      <w:tr w:rsidR="003720F8" w:rsidRPr="00F22426" w14:paraId="65923933" w14:textId="77777777" w:rsidTr="00C8767D">
        <w:tc>
          <w:tcPr>
            <w:tcW w:w="4511" w:type="dxa"/>
          </w:tcPr>
          <w:p w14:paraId="7FD57192"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 xml:space="preserve">Age </w:t>
            </w:r>
            <w:r w:rsidRPr="00F22426">
              <w:rPr>
                <w:rFonts w:ascii="Calibri" w:hAnsi="Calibri"/>
                <w:b/>
                <w:iCs/>
                <w:color w:val="0070C0"/>
              </w:rPr>
              <w:t>&gt;</w:t>
            </w:r>
            <w:r>
              <w:rPr>
                <w:rFonts w:ascii="Calibri" w:hAnsi="Calibri"/>
                <w:b/>
                <w:iCs/>
                <w:color w:val="0070C0"/>
              </w:rPr>
              <w:t xml:space="preserve"> </w:t>
            </w:r>
            <w:r w:rsidRPr="00F22426">
              <w:rPr>
                <w:rFonts w:ascii="Calibri" w:hAnsi="Calibri"/>
                <w:b/>
                <w:iCs/>
                <w:color w:val="0070C0"/>
              </w:rPr>
              <w:t>80</w:t>
            </w:r>
            <w:r>
              <w:rPr>
                <w:rFonts w:ascii="Calibri" w:hAnsi="Calibri"/>
                <w:b/>
                <w:iCs/>
                <w:color w:val="0070C0"/>
              </w:rPr>
              <w:t> </w:t>
            </w:r>
            <w:r w:rsidRPr="00F22426">
              <w:rPr>
                <w:rFonts w:ascii="Calibri" w:hAnsi="Calibri"/>
                <w:b/>
                <w:iCs/>
                <w:color w:val="0070C0"/>
              </w:rPr>
              <w:t>ans</w:t>
            </w:r>
          </w:p>
        </w:tc>
        <w:tc>
          <w:tcPr>
            <w:tcW w:w="4561" w:type="dxa"/>
          </w:tcPr>
          <w:p w14:paraId="3A72EA45" w14:textId="77777777" w:rsidR="003720F8" w:rsidRPr="00F22426" w:rsidRDefault="003720F8" w:rsidP="003720F8">
            <w:pPr>
              <w:spacing w:line="276" w:lineRule="auto"/>
              <w:rPr>
                <w:rFonts w:ascii="Calibri" w:hAnsi="Calibri"/>
                <w:b/>
                <w:iCs/>
                <w:color w:val="0070C0"/>
              </w:rPr>
            </w:pPr>
            <w:r w:rsidRPr="00F22426">
              <w:rPr>
                <w:rFonts w:ascii="Calibri" w:hAnsi="Calibri"/>
                <w:b/>
                <w:iCs/>
                <w:color w:val="0070C0"/>
              </w:rPr>
              <w:t xml:space="preserve">+ 1 </w:t>
            </w:r>
          </w:p>
        </w:tc>
      </w:tr>
      <w:tr w:rsidR="003720F8" w:rsidRPr="00F22426" w14:paraId="740FCB29" w14:textId="77777777" w:rsidTr="00C8767D">
        <w:tc>
          <w:tcPr>
            <w:tcW w:w="4511" w:type="dxa"/>
          </w:tcPr>
          <w:p w14:paraId="35A93517"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Saturation en oxygène &lt;</w:t>
            </w:r>
            <w:r>
              <w:rPr>
                <w:rFonts w:ascii="Calibri" w:hAnsi="Calibri"/>
                <w:iCs/>
                <w:color w:val="0070C0"/>
              </w:rPr>
              <w:t xml:space="preserve"> </w:t>
            </w:r>
            <w:r w:rsidRPr="00F22426">
              <w:rPr>
                <w:rFonts w:ascii="Calibri" w:hAnsi="Calibri"/>
                <w:b/>
                <w:iCs/>
                <w:color w:val="0070C0"/>
              </w:rPr>
              <w:t>90</w:t>
            </w:r>
            <w:r>
              <w:rPr>
                <w:rFonts w:ascii="Calibri" w:hAnsi="Calibri"/>
                <w:b/>
                <w:iCs/>
                <w:color w:val="0070C0"/>
              </w:rPr>
              <w:t> </w:t>
            </w:r>
            <w:r w:rsidRPr="00F22426">
              <w:rPr>
                <w:rFonts w:ascii="Calibri" w:hAnsi="Calibri"/>
                <w:iCs/>
                <w:color w:val="0070C0"/>
              </w:rPr>
              <w:t>%</w:t>
            </w:r>
          </w:p>
        </w:tc>
        <w:tc>
          <w:tcPr>
            <w:tcW w:w="4561" w:type="dxa"/>
          </w:tcPr>
          <w:p w14:paraId="37668BD9" w14:textId="77777777" w:rsidR="003720F8" w:rsidRPr="00F22426" w:rsidRDefault="003720F8" w:rsidP="003720F8">
            <w:pPr>
              <w:spacing w:line="276" w:lineRule="auto"/>
              <w:rPr>
                <w:rFonts w:ascii="Calibri" w:hAnsi="Calibri"/>
                <w:b/>
                <w:iCs/>
                <w:color w:val="0070C0"/>
              </w:rPr>
            </w:pPr>
            <w:r w:rsidRPr="00F22426">
              <w:rPr>
                <w:rFonts w:ascii="Calibri" w:hAnsi="Calibri"/>
                <w:b/>
                <w:iCs/>
                <w:color w:val="0070C0"/>
              </w:rPr>
              <w:t xml:space="preserve">+ 1 </w:t>
            </w:r>
          </w:p>
        </w:tc>
      </w:tr>
      <w:tr w:rsidR="003720F8" w:rsidRPr="00F22426" w14:paraId="15D06DC0" w14:textId="77777777" w:rsidTr="00C8767D">
        <w:tc>
          <w:tcPr>
            <w:tcW w:w="4511" w:type="dxa"/>
          </w:tcPr>
          <w:p w14:paraId="1CF1E11A"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 xml:space="preserve">Pression artérielle systolique &lt; </w:t>
            </w:r>
            <w:r w:rsidRPr="00F22426">
              <w:rPr>
                <w:rFonts w:ascii="Calibri" w:hAnsi="Calibri"/>
                <w:b/>
                <w:iCs/>
                <w:color w:val="0070C0"/>
              </w:rPr>
              <w:t>100</w:t>
            </w:r>
            <w:r>
              <w:rPr>
                <w:rFonts w:ascii="Calibri" w:hAnsi="Calibri"/>
                <w:iCs/>
                <w:color w:val="0070C0"/>
              </w:rPr>
              <w:t> </w:t>
            </w:r>
            <w:proofErr w:type="spellStart"/>
            <w:r w:rsidRPr="00F22426">
              <w:rPr>
                <w:rFonts w:ascii="Calibri" w:hAnsi="Calibri"/>
                <w:iCs/>
                <w:color w:val="0070C0"/>
              </w:rPr>
              <w:t>mmHg</w:t>
            </w:r>
            <w:proofErr w:type="spellEnd"/>
          </w:p>
        </w:tc>
        <w:tc>
          <w:tcPr>
            <w:tcW w:w="4561" w:type="dxa"/>
          </w:tcPr>
          <w:p w14:paraId="06556A01" w14:textId="77777777" w:rsidR="003720F8" w:rsidRPr="00F22426" w:rsidRDefault="003720F8" w:rsidP="003720F8">
            <w:pPr>
              <w:spacing w:line="276" w:lineRule="auto"/>
              <w:rPr>
                <w:rFonts w:ascii="Calibri" w:hAnsi="Calibri"/>
                <w:b/>
                <w:iCs/>
                <w:color w:val="0070C0"/>
              </w:rPr>
            </w:pPr>
            <w:r w:rsidRPr="00F22426">
              <w:rPr>
                <w:rFonts w:ascii="Calibri" w:hAnsi="Calibri"/>
                <w:b/>
                <w:iCs/>
                <w:color w:val="0070C0"/>
              </w:rPr>
              <w:t xml:space="preserve">+ 1 </w:t>
            </w:r>
          </w:p>
        </w:tc>
      </w:tr>
      <w:tr w:rsidR="003720F8" w:rsidRPr="00F22426" w14:paraId="6572DF42" w14:textId="77777777" w:rsidTr="00C8767D">
        <w:tc>
          <w:tcPr>
            <w:tcW w:w="4511" w:type="dxa"/>
          </w:tcPr>
          <w:p w14:paraId="780F19DE"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 xml:space="preserve">Fréquence cardiaque &gt; </w:t>
            </w:r>
            <w:r w:rsidRPr="00F22426">
              <w:rPr>
                <w:rFonts w:ascii="Calibri" w:hAnsi="Calibri"/>
                <w:b/>
                <w:iCs/>
                <w:color w:val="0070C0"/>
              </w:rPr>
              <w:t>110</w:t>
            </w:r>
            <w:r w:rsidRPr="00F22426">
              <w:rPr>
                <w:rFonts w:ascii="Calibri" w:hAnsi="Calibri"/>
                <w:iCs/>
                <w:color w:val="0070C0"/>
              </w:rPr>
              <w:t>/min</w:t>
            </w:r>
          </w:p>
        </w:tc>
        <w:tc>
          <w:tcPr>
            <w:tcW w:w="4561" w:type="dxa"/>
          </w:tcPr>
          <w:p w14:paraId="76603F8C" w14:textId="77777777" w:rsidR="003720F8" w:rsidRPr="00F22426" w:rsidRDefault="003720F8" w:rsidP="003720F8">
            <w:pPr>
              <w:spacing w:line="276" w:lineRule="auto"/>
              <w:rPr>
                <w:rFonts w:ascii="Calibri" w:hAnsi="Calibri"/>
                <w:b/>
                <w:iCs/>
                <w:color w:val="0070C0"/>
              </w:rPr>
            </w:pPr>
            <w:r w:rsidRPr="00F22426">
              <w:rPr>
                <w:rFonts w:ascii="Calibri" w:hAnsi="Calibri"/>
                <w:b/>
                <w:iCs/>
                <w:color w:val="0070C0"/>
              </w:rPr>
              <w:t xml:space="preserve">+ 1 </w:t>
            </w:r>
          </w:p>
        </w:tc>
      </w:tr>
      <w:tr w:rsidR="003720F8" w:rsidRPr="00F22426" w14:paraId="79237F0C" w14:textId="77777777" w:rsidTr="00C8767D">
        <w:tc>
          <w:tcPr>
            <w:tcW w:w="4511" w:type="dxa"/>
          </w:tcPr>
          <w:p w14:paraId="02EBDB7E"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Cancer</w:t>
            </w:r>
          </w:p>
        </w:tc>
        <w:tc>
          <w:tcPr>
            <w:tcW w:w="4561" w:type="dxa"/>
          </w:tcPr>
          <w:p w14:paraId="2D50358F" w14:textId="77777777" w:rsidR="003720F8" w:rsidRPr="00F22426" w:rsidRDefault="003720F8" w:rsidP="003720F8">
            <w:pPr>
              <w:spacing w:line="276" w:lineRule="auto"/>
              <w:rPr>
                <w:rFonts w:ascii="Calibri" w:hAnsi="Calibri"/>
                <w:b/>
                <w:iCs/>
                <w:color w:val="0070C0"/>
              </w:rPr>
            </w:pPr>
            <w:r w:rsidRPr="00F22426">
              <w:rPr>
                <w:rFonts w:ascii="Calibri" w:hAnsi="Calibri"/>
                <w:b/>
                <w:iCs/>
                <w:color w:val="0070C0"/>
              </w:rPr>
              <w:t xml:space="preserve">+ 1 </w:t>
            </w:r>
          </w:p>
        </w:tc>
      </w:tr>
      <w:tr w:rsidR="003720F8" w:rsidRPr="00F22426" w14:paraId="3EEDD97E" w14:textId="77777777" w:rsidTr="00C8767D">
        <w:trPr>
          <w:trHeight w:val="88"/>
        </w:trPr>
        <w:tc>
          <w:tcPr>
            <w:tcW w:w="4511" w:type="dxa"/>
          </w:tcPr>
          <w:p w14:paraId="61CDE6DE"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 xml:space="preserve">Insuffisance </w:t>
            </w:r>
            <w:r w:rsidRPr="00F22426">
              <w:rPr>
                <w:rFonts w:ascii="Calibri" w:hAnsi="Calibri"/>
                <w:bCs/>
                <w:iCs/>
                <w:color w:val="0070C0"/>
              </w:rPr>
              <w:t>c</w:t>
            </w:r>
            <w:r w:rsidRPr="00F22426">
              <w:rPr>
                <w:rFonts w:ascii="Calibri" w:hAnsi="Calibri"/>
                <w:iCs/>
                <w:color w:val="0070C0"/>
              </w:rPr>
              <w:t>ardiaque ou respiratoire chronique</w:t>
            </w:r>
          </w:p>
        </w:tc>
        <w:tc>
          <w:tcPr>
            <w:tcW w:w="4561" w:type="dxa"/>
            <w:vAlign w:val="center"/>
          </w:tcPr>
          <w:p w14:paraId="331EC810" w14:textId="77777777" w:rsidR="003720F8" w:rsidRPr="00F22426" w:rsidRDefault="003720F8" w:rsidP="003720F8">
            <w:pPr>
              <w:spacing w:line="276" w:lineRule="auto"/>
              <w:rPr>
                <w:rFonts w:ascii="Calibri" w:hAnsi="Calibri"/>
                <w:b/>
                <w:iCs/>
                <w:color w:val="0070C0"/>
              </w:rPr>
            </w:pPr>
            <w:r w:rsidRPr="00F22426">
              <w:rPr>
                <w:rFonts w:ascii="Calibri" w:hAnsi="Calibri"/>
                <w:b/>
                <w:iCs/>
                <w:color w:val="0070C0"/>
              </w:rPr>
              <w:t xml:space="preserve">+ 1 </w:t>
            </w:r>
          </w:p>
        </w:tc>
      </w:tr>
      <w:tr w:rsidR="003720F8" w:rsidRPr="00F22426" w14:paraId="44639E4C" w14:textId="77777777" w:rsidTr="00C8767D">
        <w:tc>
          <w:tcPr>
            <w:tcW w:w="4511" w:type="dxa"/>
          </w:tcPr>
          <w:p w14:paraId="45BD7BC8" w14:textId="77777777" w:rsidR="003720F8" w:rsidRPr="00F22426" w:rsidRDefault="003720F8" w:rsidP="003720F8">
            <w:pPr>
              <w:spacing w:line="276" w:lineRule="auto"/>
              <w:rPr>
                <w:rFonts w:ascii="Calibri" w:hAnsi="Calibri"/>
                <w:iCs/>
                <w:color w:val="0070C0"/>
              </w:rPr>
            </w:pPr>
          </w:p>
        </w:tc>
        <w:tc>
          <w:tcPr>
            <w:tcW w:w="4561" w:type="dxa"/>
            <w:shd w:val="clear" w:color="auto" w:fill="E6E6E6"/>
          </w:tcPr>
          <w:p w14:paraId="11428CAA"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0 point : mortalité à 30</w:t>
            </w:r>
            <w:r>
              <w:rPr>
                <w:rFonts w:ascii="Calibri" w:hAnsi="Calibri"/>
                <w:iCs/>
                <w:color w:val="0070C0"/>
              </w:rPr>
              <w:t> </w:t>
            </w:r>
            <w:r w:rsidRPr="00F22426">
              <w:rPr>
                <w:rFonts w:ascii="Calibri" w:hAnsi="Calibri"/>
                <w:iCs/>
                <w:color w:val="0070C0"/>
              </w:rPr>
              <w:t>jours 1</w:t>
            </w:r>
            <w:r>
              <w:rPr>
                <w:rFonts w:ascii="Calibri" w:hAnsi="Calibri"/>
                <w:iCs/>
                <w:color w:val="0070C0"/>
              </w:rPr>
              <w:t> </w:t>
            </w:r>
            <w:r w:rsidRPr="00F22426">
              <w:rPr>
                <w:rFonts w:ascii="Calibri" w:hAnsi="Calibri"/>
                <w:iCs/>
                <w:color w:val="0070C0"/>
              </w:rPr>
              <w:t xml:space="preserve">% </w:t>
            </w:r>
          </w:p>
          <w:p w14:paraId="411B038A" w14:textId="77777777" w:rsidR="003720F8" w:rsidRPr="00F22426" w:rsidRDefault="003720F8" w:rsidP="003720F8">
            <w:pPr>
              <w:spacing w:line="276" w:lineRule="auto"/>
              <w:rPr>
                <w:rFonts w:ascii="Calibri" w:hAnsi="Calibri"/>
                <w:iCs/>
                <w:color w:val="0070C0"/>
              </w:rPr>
            </w:pPr>
            <w:r w:rsidRPr="00F22426">
              <w:rPr>
                <w:rFonts w:ascii="Calibri" w:hAnsi="Calibri"/>
                <w:iCs/>
                <w:color w:val="0070C0"/>
              </w:rPr>
              <w:t>≥ 1</w:t>
            </w:r>
            <w:r>
              <w:rPr>
                <w:rFonts w:ascii="Calibri" w:hAnsi="Calibri"/>
                <w:iCs/>
                <w:color w:val="0070C0"/>
              </w:rPr>
              <w:t> </w:t>
            </w:r>
            <w:r w:rsidRPr="00F22426">
              <w:rPr>
                <w:rFonts w:ascii="Calibri" w:hAnsi="Calibri"/>
                <w:iCs/>
                <w:color w:val="0070C0"/>
              </w:rPr>
              <w:t>point : mortalité à 30</w:t>
            </w:r>
            <w:r>
              <w:rPr>
                <w:rFonts w:ascii="Calibri" w:hAnsi="Calibri"/>
                <w:iCs/>
                <w:color w:val="0070C0"/>
              </w:rPr>
              <w:t> </w:t>
            </w:r>
            <w:r w:rsidRPr="00F22426">
              <w:rPr>
                <w:rFonts w:ascii="Calibri" w:hAnsi="Calibri"/>
                <w:iCs/>
                <w:color w:val="0070C0"/>
              </w:rPr>
              <w:t>jours 11</w:t>
            </w:r>
            <w:r>
              <w:rPr>
                <w:rFonts w:ascii="Calibri" w:hAnsi="Calibri"/>
                <w:iCs/>
                <w:color w:val="0070C0"/>
              </w:rPr>
              <w:t> </w:t>
            </w:r>
            <w:r w:rsidRPr="00F22426">
              <w:rPr>
                <w:rFonts w:ascii="Calibri" w:hAnsi="Calibri"/>
                <w:iCs/>
                <w:color w:val="0070C0"/>
              </w:rPr>
              <w:t xml:space="preserve">% </w:t>
            </w:r>
          </w:p>
        </w:tc>
      </w:tr>
    </w:tbl>
    <w:p w14:paraId="3CBCA94B" w14:textId="77777777" w:rsidR="003720F8" w:rsidRPr="00062B26" w:rsidRDefault="003720F8" w:rsidP="003720F8">
      <w:pPr>
        <w:spacing w:line="276" w:lineRule="auto"/>
        <w:rPr>
          <w:rFonts w:cs="Arial"/>
          <w:b/>
        </w:rPr>
      </w:pPr>
    </w:p>
    <w:p w14:paraId="2CB77A5D" w14:textId="551AEBC6" w:rsidR="003720F8" w:rsidRPr="00062B26" w:rsidRDefault="003720F8" w:rsidP="004278AD">
      <w:pPr>
        <w:pStyle w:val="Titre3"/>
      </w:pPr>
      <w:r w:rsidRPr="00062B26">
        <w:t xml:space="preserve">Risque de récidive de </w:t>
      </w:r>
      <w:r w:rsidR="0026545F">
        <w:t>MTEV</w:t>
      </w:r>
      <w:r w:rsidRPr="00062B26">
        <w:t xml:space="preserve"> à l’arrêt du traitement anticoagulant</w:t>
      </w:r>
    </w:p>
    <w:p w14:paraId="15DE0CA4" w14:textId="77777777" w:rsidR="003720F8" w:rsidRPr="00062B26" w:rsidRDefault="003720F8" w:rsidP="003720F8">
      <w:pPr>
        <w:spacing w:line="276" w:lineRule="auto"/>
        <w:rPr>
          <w:rFonts w:cs="Arial"/>
          <w:b/>
          <w:color w:val="000000" w:themeColor="text1"/>
        </w:rPr>
      </w:pPr>
      <w:r w:rsidRPr="00062B26">
        <w:rPr>
          <w:rFonts w:cs="Arial"/>
          <w:b/>
          <w:color w:val="000000" w:themeColor="text1"/>
        </w:rPr>
        <w:t>Lié aux caractéristiques des facteurs de risque (tableau</w:t>
      </w:r>
      <w:r>
        <w:rPr>
          <w:rFonts w:cs="Arial"/>
          <w:b/>
          <w:color w:val="000000" w:themeColor="text1"/>
        </w:rPr>
        <w:t> </w:t>
      </w:r>
      <w:r w:rsidRPr="00062B26">
        <w:rPr>
          <w:rFonts w:cs="Arial"/>
          <w:b/>
          <w:color w:val="000000" w:themeColor="text1"/>
        </w:rPr>
        <w:t xml:space="preserve">1) : </w:t>
      </w:r>
    </w:p>
    <w:p w14:paraId="0297B4AB" w14:textId="77777777" w:rsidR="003720F8" w:rsidRPr="00062B26" w:rsidRDefault="003720F8" w:rsidP="003720F8">
      <w:pPr>
        <w:widowControl w:val="0"/>
        <w:spacing w:line="276" w:lineRule="auto"/>
        <w:rPr>
          <w:rFonts w:cs="Arial"/>
        </w:rPr>
      </w:pPr>
      <w:r>
        <w:rPr>
          <w:rFonts w:cs="Arial"/>
        </w:rPr>
        <w:t xml:space="preserve">- </w:t>
      </w:r>
      <w:r w:rsidRPr="00062B26">
        <w:rPr>
          <w:rFonts w:cs="Arial"/>
        </w:rPr>
        <w:t>Si facteur transitoire majeur : risque faible de récidive.</w:t>
      </w:r>
    </w:p>
    <w:p w14:paraId="10FAA35F" w14:textId="77777777" w:rsidR="003720F8" w:rsidRPr="00062B26" w:rsidRDefault="003720F8" w:rsidP="003720F8">
      <w:pPr>
        <w:widowControl w:val="0"/>
        <w:spacing w:line="276" w:lineRule="auto"/>
        <w:rPr>
          <w:rFonts w:cs="Arial"/>
        </w:rPr>
      </w:pPr>
      <w:r>
        <w:rPr>
          <w:rFonts w:cs="Arial"/>
        </w:rPr>
        <w:t xml:space="preserve">- </w:t>
      </w:r>
      <w:r w:rsidRPr="00062B26">
        <w:rPr>
          <w:rFonts w:cs="Arial"/>
        </w:rPr>
        <w:t>Si facteur persistant majeur</w:t>
      </w:r>
      <w:r>
        <w:rPr>
          <w:rFonts w:cs="Arial"/>
        </w:rPr>
        <w:t> </w:t>
      </w:r>
      <w:r w:rsidRPr="00062B26">
        <w:rPr>
          <w:rFonts w:cs="Arial"/>
        </w:rPr>
        <w:t>: risque élevé de récidive.</w:t>
      </w:r>
    </w:p>
    <w:p w14:paraId="7A5A1D2C" w14:textId="52C22B4B" w:rsidR="003720F8" w:rsidRPr="00062B26" w:rsidRDefault="003720F8" w:rsidP="003720F8">
      <w:pPr>
        <w:widowControl w:val="0"/>
        <w:spacing w:line="276" w:lineRule="auto"/>
        <w:rPr>
          <w:rFonts w:cs="Arial"/>
        </w:rPr>
      </w:pPr>
      <w:r>
        <w:rPr>
          <w:rFonts w:cs="Arial"/>
        </w:rPr>
        <w:t xml:space="preserve">- </w:t>
      </w:r>
      <w:r w:rsidRPr="00062B26">
        <w:rPr>
          <w:rFonts w:cs="Arial"/>
        </w:rPr>
        <w:t xml:space="preserve">Si aucun facteur majeur (= </w:t>
      </w:r>
      <w:r w:rsidR="0026545F">
        <w:rPr>
          <w:rFonts w:cs="Arial"/>
          <w:b/>
        </w:rPr>
        <w:t>MTEV</w:t>
      </w:r>
      <w:r w:rsidRPr="00062B26">
        <w:rPr>
          <w:rFonts w:cs="Arial"/>
          <w:b/>
        </w:rPr>
        <w:t xml:space="preserve"> non provoquée</w:t>
      </w:r>
      <w:r w:rsidRPr="00062B26">
        <w:rPr>
          <w:rFonts w:cs="Arial"/>
        </w:rPr>
        <w:t>)</w:t>
      </w:r>
      <w:r>
        <w:rPr>
          <w:rFonts w:cs="Arial"/>
        </w:rPr>
        <w:t> </w:t>
      </w:r>
      <w:r w:rsidRPr="00062B26">
        <w:rPr>
          <w:rFonts w:cs="Arial"/>
        </w:rPr>
        <w:t>: risque élevé de récidive.</w:t>
      </w:r>
    </w:p>
    <w:p w14:paraId="6E1E1186" w14:textId="77777777" w:rsidR="003720F8" w:rsidRPr="00062B26" w:rsidRDefault="003720F8" w:rsidP="003720F8">
      <w:pPr>
        <w:widowControl w:val="0"/>
        <w:spacing w:line="276" w:lineRule="auto"/>
        <w:rPr>
          <w:rFonts w:cs="Arial"/>
          <w:iCs/>
        </w:rPr>
      </w:pPr>
      <w:r>
        <w:rPr>
          <w:rFonts w:cs="Arial"/>
          <w:iCs/>
        </w:rPr>
        <w:t xml:space="preserve">- </w:t>
      </w:r>
      <w:r w:rsidRPr="00062B26">
        <w:rPr>
          <w:rFonts w:cs="Arial"/>
          <w:iCs/>
        </w:rPr>
        <w:t>Les facteurs mineurs, et notamment la présence d’une thrombophilie non majeure, n’influencent peu ou pas le risque de récidive.</w:t>
      </w:r>
    </w:p>
    <w:p w14:paraId="12933B4B" w14:textId="77777777" w:rsidR="003720F8" w:rsidRPr="00062B26" w:rsidRDefault="003720F8" w:rsidP="003720F8">
      <w:pPr>
        <w:widowControl w:val="0"/>
        <w:spacing w:line="276" w:lineRule="auto"/>
        <w:ind w:left="720"/>
        <w:rPr>
          <w:rFonts w:cs="Arial"/>
        </w:rPr>
      </w:pPr>
    </w:p>
    <w:p w14:paraId="3556583B" w14:textId="7BFEF6AC" w:rsidR="003720F8" w:rsidRPr="00062B26" w:rsidRDefault="003720F8" w:rsidP="004278AD">
      <w:pPr>
        <w:pStyle w:val="Titre3"/>
      </w:pPr>
      <w:r w:rsidRPr="00062B26">
        <w:t xml:space="preserve">Risque de séquelles </w:t>
      </w:r>
    </w:p>
    <w:p w14:paraId="4C839AD0" w14:textId="77777777" w:rsidR="003720F8" w:rsidRPr="00062B26" w:rsidRDefault="003720F8" w:rsidP="003720F8">
      <w:pPr>
        <w:widowControl w:val="0"/>
        <w:spacing w:line="276" w:lineRule="auto"/>
        <w:rPr>
          <w:rFonts w:cs="Arial"/>
          <w:color w:val="0070C0"/>
        </w:rPr>
      </w:pPr>
      <w:r>
        <w:rPr>
          <w:rFonts w:cs="Arial"/>
          <w:b/>
          <w:color w:val="0070C0"/>
        </w:rPr>
        <w:t xml:space="preserve">- </w:t>
      </w:r>
      <w:r w:rsidRPr="00062B26">
        <w:rPr>
          <w:rFonts w:cs="Arial"/>
          <w:b/>
          <w:color w:val="0070C0"/>
        </w:rPr>
        <w:t>Syndrome post-thrombotique après TVP (1/3 des patients)</w:t>
      </w:r>
      <w:r>
        <w:rPr>
          <w:rFonts w:cs="Arial"/>
          <w:b/>
          <w:color w:val="0070C0"/>
        </w:rPr>
        <w:t> </w:t>
      </w:r>
      <w:r w:rsidRPr="00062B26">
        <w:rPr>
          <w:rFonts w:cs="Arial"/>
          <w:b/>
          <w:color w:val="0070C0"/>
        </w:rPr>
        <w:t>:</w:t>
      </w:r>
      <w:r w:rsidRPr="00062B26">
        <w:rPr>
          <w:rFonts w:cs="Arial"/>
          <w:color w:val="0070C0"/>
        </w:rPr>
        <w:t xml:space="preserve"> douleurs, varices, varicosités, œdème, dermite ocre et ulcères variqueux. </w:t>
      </w:r>
    </w:p>
    <w:p w14:paraId="6FD6ED0F" w14:textId="55B53CD9" w:rsidR="003720F8" w:rsidRPr="00062B26" w:rsidRDefault="003720F8" w:rsidP="003720F8">
      <w:pPr>
        <w:widowControl w:val="0"/>
        <w:spacing w:line="276" w:lineRule="auto"/>
        <w:rPr>
          <w:rFonts w:cs="Arial"/>
          <w:b/>
          <w:caps/>
          <w:color w:val="0070C0"/>
          <w:u w:val="single"/>
        </w:rPr>
      </w:pPr>
      <w:r>
        <w:rPr>
          <w:rFonts w:cs="Arial"/>
          <w:color w:val="0070C0"/>
        </w:rPr>
        <w:t xml:space="preserve">- </w:t>
      </w:r>
      <w:r w:rsidRPr="00062B26">
        <w:rPr>
          <w:rFonts w:cs="Arial"/>
          <w:color w:val="0070C0"/>
        </w:rPr>
        <w:t>Maladie thrombo-embolique chronique avec ou sans hypertension pulmonaire (HTP-TEC)</w:t>
      </w:r>
      <w:r w:rsidRPr="00062B26">
        <w:rPr>
          <w:rFonts w:cs="Arial"/>
          <w:b/>
          <w:color w:val="0070C0"/>
        </w:rPr>
        <w:t xml:space="preserve"> post EP : la </w:t>
      </w:r>
      <w:r w:rsidRPr="00062B26">
        <w:rPr>
          <w:rFonts w:cs="Arial"/>
          <w:color w:val="0070C0"/>
        </w:rPr>
        <w:t xml:space="preserve">Maladie thrombo-embolique chronique sans hypertension pulmonaire </w:t>
      </w:r>
      <w:r w:rsidRPr="00062B26">
        <w:rPr>
          <w:rFonts w:cs="Arial"/>
          <w:b/>
          <w:color w:val="0070C0"/>
        </w:rPr>
        <w:t>est fréquente (environ 30</w:t>
      </w:r>
      <w:r>
        <w:rPr>
          <w:rFonts w:cs="Arial"/>
          <w:b/>
          <w:color w:val="0070C0"/>
        </w:rPr>
        <w:t> </w:t>
      </w:r>
      <w:r w:rsidRPr="00062B26">
        <w:rPr>
          <w:rFonts w:cs="Arial"/>
          <w:b/>
          <w:color w:val="0070C0"/>
        </w:rPr>
        <w:t>%) et l’HTP-TEC est rare (2 à 3</w:t>
      </w:r>
      <w:r>
        <w:rPr>
          <w:rFonts w:cs="Arial"/>
          <w:b/>
          <w:color w:val="0070C0"/>
        </w:rPr>
        <w:t> </w:t>
      </w:r>
      <w:r w:rsidRPr="00062B26">
        <w:rPr>
          <w:rFonts w:cs="Arial"/>
          <w:b/>
          <w:color w:val="0070C0"/>
        </w:rPr>
        <w:t>%)</w:t>
      </w:r>
      <w:r w:rsidRPr="00062B26">
        <w:rPr>
          <w:rFonts w:cs="Arial"/>
          <w:color w:val="0070C0"/>
        </w:rPr>
        <w:t>. À évoquer devant une dyspnée persistante à distance d’une EP ayant été traitée au moins 3</w:t>
      </w:r>
      <w:r>
        <w:rPr>
          <w:rFonts w:cs="Arial"/>
          <w:color w:val="0070C0"/>
        </w:rPr>
        <w:t> </w:t>
      </w:r>
      <w:r w:rsidRPr="00062B26">
        <w:rPr>
          <w:rFonts w:cs="Arial"/>
          <w:color w:val="0070C0"/>
        </w:rPr>
        <w:t>mois. Le diagnostic repose sur la réalisation d’une échographie cardiaque transthoracique pour estimer la pression artérielle pulmonaire systolique (</w:t>
      </w:r>
      <w:proofErr w:type="spellStart"/>
      <w:r w:rsidRPr="00062B26">
        <w:rPr>
          <w:rFonts w:cs="Arial"/>
          <w:color w:val="0070C0"/>
        </w:rPr>
        <w:t>PAPs</w:t>
      </w:r>
      <w:proofErr w:type="spellEnd"/>
      <w:r w:rsidRPr="00062B26">
        <w:rPr>
          <w:rFonts w:cs="Arial"/>
          <w:color w:val="0070C0"/>
        </w:rPr>
        <w:t xml:space="preserve">) et rechercher des signes indirects (dilatation et dysfonction du VD…). En cas de probabilité échographique d’hypertension pulmonaire intermédiaire ou élevée, une scintigraphie de ventilation perfusion pulmonaire est indiquée pour rechercher des défects </w:t>
      </w:r>
      <w:proofErr w:type="spellStart"/>
      <w:r w:rsidRPr="00062B26">
        <w:rPr>
          <w:rFonts w:cs="Arial"/>
          <w:color w:val="0070C0"/>
        </w:rPr>
        <w:t>perfusionnels</w:t>
      </w:r>
      <w:proofErr w:type="spellEnd"/>
      <w:r w:rsidRPr="00062B26">
        <w:rPr>
          <w:rFonts w:cs="Arial"/>
          <w:color w:val="0070C0"/>
        </w:rPr>
        <w:t xml:space="preserve"> : s’ils sont présents, alors le diagnostic de confirmation du </w:t>
      </w:r>
      <w:r w:rsidR="0026545F">
        <w:rPr>
          <w:rFonts w:cs="Arial"/>
          <w:color w:val="0070C0"/>
        </w:rPr>
        <w:t>HTP-TEC</w:t>
      </w:r>
      <w:r w:rsidRPr="00062B26">
        <w:rPr>
          <w:rFonts w:cs="Arial"/>
          <w:color w:val="0070C0"/>
        </w:rPr>
        <w:t xml:space="preserve"> repose sur le cathétérisme cardiaque droit et l’</w:t>
      </w:r>
      <w:proofErr w:type="spellStart"/>
      <w:r w:rsidRPr="00062B26">
        <w:rPr>
          <w:rFonts w:cs="Arial"/>
          <w:color w:val="0070C0"/>
        </w:rPr>
        <w:t>angioTDM</w:t>
      </w:r>
      <w:proofErr w:type="spellEnd"/>
      <w:r w:rsidRPr="00062B26">
        <w:rPr>
          <w:rFonts w:cs="Arial"/>
          <w:color w:val="0070C0"/>
        </w:rPr>
        <w:t xml:space="preserve"> thoracique ou l’angiographie pulmonaire.</w:t>
      </w:r>
    </w:p>
    <w:p w14:paraId="23514DF0" w14:textId="77777777" w:rsidR="003720F8" w:rsidRPr="00062B26" w:rsidRDefault="003720F8" w:rsidP="003720F8">
      <w:pPr>
        <w:spacing w:line="276" w:lineRule="auto"/>
        <w:rPr>
          <w:rFonts w:cs="Arial"/>
          <w:b/>
          <w:caps/>
          <w:u w:val="single"/>
        </w:rPr>
      </w:pPr>
    </w:p>
    <w:p w14:paraId="0127C2D6" w14:textId="720AFD87" w:rsidR="003720F8" w:rsidRPr="00F22426" w:rsidRDefault="003720F8">
      <w:pPr>
        <w:pStyle w:val="titredesous-partie"/>
        <w:numPr>
          <w:ilvl w:val="0"/>
          <w:numId w:val="37"/>
        </w:numPr>
        <w:ind w:left="426" w:hanging="284"/>
      </w:pPr>
      <w:r w:rsidRPr="00062B26">
        <w:t xml:space="preserve">TRAITEMENT CURATIF INITIAL DE LA </w:t>
      </w:r>
      <w:r w:rsidR="0026545F">
        <w:t>MTEV</w:t>
      </w:r>
      <w:r w:rsidRPr="00062B26">
        <w:t> : les outils</w:t>
      </w:r>
    </w:p>
    <w:p w14:paraId="34E27565" w14:textId="77777777" w:rsidR="004278AD" w:rsidRPr="004278AD" w:rsidRDefault="004278AD" w:rsidP="004278AD">
      <w:pPr>
        <w:pStyle w:val="Paragraphedeliste"/>
        <w:numPr>
          <w:ilvl w:val="0"/>
          <w:numId w:val="1"/>
        </w:numPr>
        <w:spacing w:after="240"/>
        <w:outlineLvl w:val="2"/>
        <w:rPr>
          <w:b/>
          <w:bCs/>
          <w:vanish/>
        </w:rPr>
      </w:pPr>
    </w:p>
    <w:p w14:paraId="6D6A4CA1" w14:textId="16C59499" w:rsidR="003720F8" w:rsidRPr="00062B26" w:rsidRDefault="003720F8" w:rsidP="004278AD">
      <w:pPr>
        <w:pStyle w:val="Titre3"/>
      </w:pPr>
      <w:r w:rsidRPr="00062B26">
        <w:t>Principes</w:t>
      </w:r>
    </w:p>
    <w:p w14:paraId="220AA1DF" w14:textId="77777777" w:rsidR="003720F8" w:rsidRPr="00062B26" w:rsidRDefault="003720F8" w:rsidP="003720F8">
      <w:pPr>
        <w:spacing w:line="276" w:lineRule="auto"/>
        <w:rPr>
          <w:rFonts w:cs="Arial"/>
        </w:rPr>
      </w:pPr>
      <w:r w:rsidRPr="00F22426">
        <w:rPr>
          <w:rFonts w:cs="Arial"/>
        </w:rPr>
        <w:t xml:space="preserve">- </w:t>
      </w:r>
      <w:r w:rsidRPr="00062B26">
        <w:rPr>
          <w:rFonts w:cs="Arial"/>
          <w:b/>
          <w:bCs/>
        </w:rPr>
        <w:t>EP et TVP proximale = URGENCE THÉRAPEUTIQUE. </w:t>
      </w:r>
    </w:p>
    <w:p w14:paraId="0CF09DE3" w14:textId="77777777" w:rsidR="003720F8" w:rsidRPr="00062B26" w:rsidRDefault="003720F8" w:rsidP="003720F8">
      <w:pPr>
        <w:spacing w:line="276" w:lineRule="auto"/>
        <w:rPr>
          <w:rFonts w:cs="Arial"/>
        </w:rPr>
      </w:pPr>
      <w:r>
        <w:rPr>
          <w:rFonts w:cs="Arial"/>
        </w:rPr>
        <w:t xml:space="preserve">- </w:t>
      </w:r>
      <w:r w:rsidRPr="00062B26">
        <w:rPr>
          <w:rFonts w:cs="Arial"/>
        </w:rPr>
        <w:t xml:space="preserve">Le traitement repose sur une </w:t>
      </w:r>
      <w:r w:rsidRPr="00062B26">
        <w:rPr>
          <w:rFonts w:cs="Arial"/>
          <w:b/>
        </w:rPr>
        <w:t>ANTICOAGULATION A DOSE CURATIVE,</w:t>
      </w:r>
      <w:r w:rsidRPr="00062B26">
        <w:rPr>
          <w:rFonts w:cs="Arial"/>
        </w:rPr>
        <w:t xml:space="preserve"> instituée dès que le diagnostic est suspecté, </w:t>
      </w:r>
      <w:r w:rsidRPr="00062B26">
        <w:rPr>
          <w:rFonts w:cs="Arial"/>
          <w:b/>
        </w:rPr>
        <w:t>sans attendre</w:t>
      </w:r>
      <w:r w:rsidRPr="00062B26">
        <w:rPr>
          <w:rFonts w:cs="Arial"/>
        </w:rPr>
        <w:t xml:space="preserve"> les résultats des examens complémentaires.</w:t>
      </w:r>
    </w:p>
    <w:p w14:paraId="05E5D7F3" w14:textId="77777777" w:rsidR="003720F8" w:rsidRPr="00062B26" w:rsidRDefault="003720F8" w:rsidP="003720F8">
      <w:pPr>
        <w:spacing w:line="276" w:lineRule="auto"/>
        <w:rPr>
          <w:rFonts w:cs="Arial"/>
        </w:rPr>
      </w:pPr>
      <w:r>
        <w:rPr>
          <w:rFonts w:cs="Arial"/>
        </w:rPr>
        <w:t xml:space="preserve">- </w:t>
      </w:r>
      <w:r w:rsidRPr="00062B26">
        <w:rPr>
          <w:rFonts w:cs="Arial"/>
        </w:rPr>
        <w:t>L’anticoagulation est très efficace</w:t>
      </w:r>
      <w:r>
        <w:rPr>
          <w:rFonts w:cs="Arial"/>
        </w:rPr>
        <w:t>,</w:t>
      </w:r>
      <w:r w:rsidRPr="00062B26">
        <w:rPr>
          <w:rFonts w:cs="Arial"/>
        </w:rPr>
        <w:t xml:space="preserve"> mais expose à un </w:t>
      </w:r>
      <w:r w:rsidRPr="00062B26">
        <w:rPr>
          <w:rFonts w:cs="Arial"/>
          <w:b/>
        </w:rPr>
        <w:t>risque hémorragique</w:t>
      </w:r>
      <w:r w:rsidRPr="00062B26">
        <w:rPr>
          <w:rFonts w:cs="Arial"/>
        </w:rPr>
        <w:t>. Les contre-indications sont surtout relatives et le rapport risque-bénéfice doit être évalué individuellement (Tableau</w:t>
      </w:r>
      <w:r>
        <w:rPr>
          <w:rFonts w:cs="Arial"/>
        </w:rPr>
        <w:t> </w:t>
      </w:r>
      <w:r w:rsidRPr="00062B26">
        <w:rPr>
          <w:rFonts w:cs="Arial"/>
        </w:rPr>
        <w:t xml:space="preserve">5). </w:t>
      </w:r>
    </w:p>
    <w:p w14:paraId="5D9A2785" w14:textId="77777777" w:rsidR="003720F8" w:rsidRPr="00062B26" w:rsidRDefault="003720F8" w:rsidP="003720F8">
      <w:pPr>
        <w:spacing w:line="276" w:lineRule="auto"/>
        <w:rPr>
          <w:rFonts w:cs="Arial"/>
        </w:rPr>
      </w:pPr>
    </w:p>
    <w:p w14:paraId="7DEAF387" w14:textId="77777777" w:rsidR="003720F8" w:rsidRPr="00F22426" w:rsidRDefault="003720F8" w:rsidP="004278AD">
      <w:pPr>
        <w:pStyle w:val="lgende"/>
      </w:pPr>
      <w:r w:rsidRPr="00062B26">
        <w:t>Tableau</w:t>
      </w:r>
      <w:r>
        <w:t> </w:t>
      </w:r>
      <w:r w:rsidRPr="00062B26">
        <w:t xml:space="preserve">5 : Contre-indications au traitement anticoagulant. </w:t>
      </w:r>
    </w:p>
    <w:tbl>
      <w:tblPr>
        <w:tblStyle w:val="Grilledutableau"/>
        <w:tblW w:w="9072"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72"/>
      </w:tblGrid>
      <w:tr w:rsidR="003720F8" w:rsidRPr="00F22426" w14:paraId="54EC26C6" w14:textId="77777777" w:rsidTr="004278AD">
        <w:tc>
          <w:tcPr>
            <w:tcW w:w="9072" w:type="dxa"/>
          </w:tcPr>
          <w:p w14:paraId="398D768F" w14:textId="77777777" w:rsidR="003720F8" w:rsidRPr="00F22426" w:rsidRDefault="003720F8" w:rsidP="003720F8">
            <w:pPr>
              <w:spacing w:line="276" w:lineRule="auto"/>
              <w:rPr>
                <w:rFonts w:ascii="Calibri" w:hAnsi="Calibri"/>
              </w:rPr>
            </w:pPr>
            <w:r>
              <w:rPr>
                <w:rFonts w:ascii="Calibri" w:hAnsi="Calibri"/>
              </w:rPr>
              <w:t xml:space="preserve">- </w:t>
            </w:r>
            <w:r w:rsidRPr="00F22426">
              <w:rPr>
                <w:rFonts w:ascii="Calibri" w:hAnsi="Calibri"/>
              </w:rPr>
              <w:t>Coagulopathie sévère constitutionnelle ou acquise (thrombopénie &lt; 30 000/mm</w:t>
            </w:r>
            <w:r w:rsidRPr="00F22426">
              <w:rPr>
                <w:rFonts w:ascii="Calibri" w:hAnsi="Calibri"/>
                <w:vertAlign w:val="superscript"/>
              </w:rPr>
              <w:t>3</w:t>
            </w:r>
            <w:r w:rsidRPr="00F22426">
              <w:rPr>
                <w:rFonts w:ascii="Calibri" w:hAnsi="Calibri"/>
              </w:rPr>
              <w:t>, hémophilie, taux de prothrombine &lt; 30</w:t>
            </w:r>
            <w:r>
              <w:rPr>
                <w:rFonts w:ascii="Calibri" w:hAnsi="Calibri"/>
              </w:rPr>
              <w:t> </w:t>
            </w:r>
            <w:r w:rsidRPr="00F22426">
              <w:rPr>
                <w:rFonts w:ascii="Calibri" w:hAnsi="Calibri"/>
              </w:rPr>
              <w:t>%)</w:t>
            </w:r>
            <w:r>
              <w:rPr>
                <w:rFonts w:ascii="Calibri" w:hAnsi="Calibri"/>
              </w:rPr>
              <w:t>.</w:t>
            </w:r>
          </w:p>
          <w:p w14:paraId="030A10D0" w14:textId="77777777" w:rsidR="003720F8" w:rsidRPr="00F22426" w:rsidRDefault="003720F8" w:rsidP="003720F8">
            <w:pPr>
              <w:spacing w:line="276" w:lineRule="auto"/>
              <w:ind w:right="278"/>
              <w:rPr>
                <w:rFonts w:ascii="Calibri" w:hAnsi="Calibri"/>
              </w:rPr>
            </w:pPr>
            <w:r>
              <w:rPr>
                <w:rFonts w:ascii="Calibri" w:hAnsi="Calibri"/>
              </w:rPr>
              <w:t xml:space="preserve">- </w:t>
            </w:r>
            <w:r w:rsidRPr="00F22426">
              <w:rPr>
                <w:rFonts w:ascii="Calibri" w:hAnsi="Calibri"/>
              </w:rPr>
              <w:t>Hémorragie intracrânienne spontanée</w:t>
            </w:r>
            <w:r>
              <w:rPr>
                <w:rFonts w:ascii="Calibri" w:hAnsi="Calibri"/>
              </w:rPr>
              <w:t>.</w:t>
            </w:r>
          </w:p>
          <w:p w14:paraId="3433AC44" w14:textId="77777777" w:rsidR="003720F8" w:rsidRPr="00F22426" w:rsidRDefault="003720F8" w:rsidP="003720F8">
            <w:pPr>
              <w:spacing w:line="276" w:lineRule="auto"/>
              <w:ind w:right="278"/>
              <w:rPr>
                <w:rFonts w:ascii="Calibri" w:hAnsi="Calibri"/>
              </w:rPr>
            </w:pPr>
            <w:r>
              <w:rPr>
                <w:rFonts w:ascii="Calibri" w:hAnsi="Calibri"/>
              </w:rPr>
              <w:t xml:space="preserve">- </w:t>
            </w:r>
            <w:r w:rsidRPr="00F22426">
              <w:rPr>
                <w:rFonts w:ascii="Calibri" w:hAnsi="Calibri"/>
              </w:rPr>
              <w:t>Hémorragie active non facilement contrôlable</w:t>
            </w:r>
            <w:r>
              <w:rPr>
                <w:rFonts w:ascii="Calibri" w:hAnsi="Calibri"/>
              </w:rPr>
              <w:t>.</w:t>
            </w:r>
          </w:p>
          <w:p w14:paraId="3D648918" w14:textId="77777777" w:rsidR="003720F8" w:rsidRPr="00F22426" w:rsidRDefault="003720F8" w:rsidP="003720F8">
            <w:pPr>
              <w:spacing w:line="276" w:lineRule="auto"/>
              <w:rPr>
                <w:rFonts w:ascii="Calibri" w:hAnsi="Calibri"/>
                <w:sz w:val="18"/>
              </w:rPr>
            </w:pPr>
            <w:r>
              <w:rPr>
                <w:rFonts w:ascii="Calibri" w:hAnsi="Calibri"/>
              </w:rPr>
              <w:t xml:space="preserve">- </w:t>
            </w:r>
            <w:r w:rsidRPr="00F22426">
              <w:rPr>
                <w:rFonts w:ascii="Calibri" w:hAnsi="Calibri"/>
              </w:rPr>
              <w:t>Chirurgie récente (le délai dépend du type de chirurgie, des conditions opératoires</w:t>
            </w:r>
            <w:r>
              <w:rPr>
                <w:rFonts w:ascii="Calibri" w:hAnsi="Calibri"/>
              </w:rPr>
              <w:t> </w:t>
            </w:r>
            <w:r w:rsidRPr="00F22426">
              <w:rPr>
                <w:rFonts w:ascii="Calibri" w:hAnsi="Calibri"/>
              </w:rPr>
              <w:t>: importance de la dissection, du saignement per-opératoire…)</w:t>
            </w:r>
            <w:r>
              <w:rPr>
                <w:rFonts w:ascii="Calibri" w:hAnsi="Calibri"/>
              </w:rPr>
              <w:t>.</w:t>
            </w:r>
          </w:p>
        </w:tc>
      </w:tr>
    </w:tbl>
    <w:p w14:paraId="3654A6FA" w14:textId="77777777" w:rsidR="004278AD" w:rsidRDefault="004278AD" w:rsidP="003720F8">
      <w:pPr>
        <w:spacing w:line="276" w:lineRule="auto"/>
        <w:ind w:right="278"/>
        <w:rPr>
          <w:rFonts w:cs="Arial"/>
          <w:color w:val="0070C0"/>
        </w:rPr>
      </w:pPr>
    </w:p>
    <w:p w14:paraId="02985798" w14:textId="749C96DE" w:rsidR="003720F8" w:rsidRDefault="003720F8" w:rsidP="004278AD">
      <w:pPr>
        <w:spacing w:line="276" w:lineRule="auto"/>
        <w:rPr>
          <w:rFonts w:cs="Arial"/>
          <w:color w:val="0070C0"/>
        </w:rPr>
      </w:pPr>
      <w:r w:rsidRPr="00313EF7">
        <w:rPr>
          <w:rFonts w:ascii="Arial" w:hAnsi="Arial" w:cs="Arial"/>
          <w:iCs/>
          <w:noProof/>
          <w:color w:val="000000" w:themeColor="text1"/>
          <w:sz w:val="28"/>
          <w:szCs w:val="28"/>
        </w:rPr>
        <w:drawing>
          <wp:anchor distT="0" distB="0" distL="114300" distR="114300" simplePos="0" relativeHeight="251798528" behindDoc="0" locked="0" layoutInCell="1" allowOverlap="1" wp14:anchorId="24FB0FA5" wp14:editId="4E93E5E3">
            <wp:simplePos x="0" y="0"/>
            <wp:positionH relativeFrom="leftMargin">
              <wp:posOffset>479094</wp:posOffset>
            </wp:positionH>
            <wp:positionV relativeFrom="paragraph">
              <wp:posOffset>10795</wp:posOffset>
            </wp:positionV>
            <wp:extent cx="153670" cy="137160"/>
            <wp:effectExtent l="0" t="0" r="0" b="0"/>
            <wp:wrapThrough wrapText="bothSides">
              <wp:wrapPolygon edited="0">
                <wp:start x="0" y="0"/>
                <wp:lineTo x="0" y="18000"/>
                <wp:lineTo x="18744" y="18000"/>
                <wp:lineTo x="18744" y="0"/>
                <wp:lineTo x="0" y="0"/>
              </wp:wrapPolygon>
            </wp:wrapThrough>
            <wp:docPr id="17558979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062B26">
        <w:rPr>
          <w:rFonts w:cs="Arial"/>
          <w:color w:val="0070C0"/>
        </w:rPr>
        <w:t xml:space="preserve">Thrombopénie à l’héparine (elle ne contre-indique pas l’hirudine, ni les AVK, ni le </w:t>
      </w:r>
      <w:proofErr w:type="spellStart"/>
      <w:r w:rsidRPr="00062B26">
        <w:rPr>
          <w:rFonts w:cs="Arial"/>
          <w:color w:val="0070C0"/>
        </w:rPr>
        <w:t>danaparoïde</w:t>
      </w:r>
      <w:proofErr w:type="spellEnd"/>
      <w:r w:rsidRPr="00062B26">
        <w:rPr>
          <w:rFonts w:cs="Arial"/>
          <w:color w:val="0070C0"/>
        </w:rPr>
        <w:t xml:space="preserve"> sodique).  </w:t>
      </w:r>
    </w:p>
    <w:p w14:paraId="296517A5" w14:textId="77777777" w:rsidR="003720F8" w:rsidRPr="00062B26" w:rsidRDefault="003720F8" w:rsidP="003720F8">
      <w:pPr>
        <w:spacing w:line="276" w:lineRule="auto"/>
        <w:ind w:right="278"/>
        <w:rPr>
          <w:rFonts w:cs="Arial"/>
          <w:noProof/>
          <w:color w:val="0070C0"/>
        </w:rPr>
      </w:pPr>
    </w:p>
    <w:p w14:paraId="2648DBFA" w14:textId="77777777" w:rsidR="003720F8" w:rsidRPr="00062B26" w:rsidRDefault="003720F8" w:rsidP="003720F8">
      <w:pPr>
        <w:spacing w:line="276" w:lineRule="auto"/>
        <w:rPr>
          <w:rFonts w:cs="Arial"/>
          <w:color w:val="0070C0"/>
        </w:rPr>
      </w:pPr>
      <w:r w:rsidRPr="00062B26">
        <w:rPr>
          <w:rFonts w:cs="Arial"/>
          <w:color w:val="0070C0"/>
        </w:rPr>
        <w:t>Un bilan biologique est indispensable avant de débuter le traitement et comprend :</w:t>
      </w:r>
    </w:p>
    <w:p w14:paraId="542BD7CA" w14:textId="77777777" w:rsidR="003720F8" w:rsidRDefault="003720F8" w:rsidP="003720F8">
      <w:pPr>
        <w:spacing w:line="276" w:lineRule="auto"/>
        <w:rPr>
          <w:rFonts w:cs="Arial"/>
          <w:color w:val="0070C0"/>
        </w:rPr>
      </w:pPr>
      <w:r>
        <w:rPr>
          <w:rFonts w:cs="Arial"/>
          <w:color w:val="0070C0"/>
        </w:rPr>
        <w:t>- P</w:t>
      </w:r>
      <w:r w:rsidRPr="00062B26">
        <w:rPr>
          <w:rFonts w:cs="Arial"/>
          <w:color w:val="0070C0"/>
        </w:rPr>
        <w:t>laquettes, TP, TCA</w:t>
      </w:r>
      <w:r>
        <w:rPr>
          <w:rFonts w:cs="Arial"/>
          <w:color w:val="0070C0"/>
        </w:rPr>
        <w:t>.</w:t>
      </w:r>
    </w:p>
    <w:p w14:paraId="310255A6" w14:textId="77777777" w:rsidR="003720F8" w:rsidRDefault="003720F8" w:rsidP="003720F8">
      <w:pPr>
        <w:spacing w:line="276" w:lineRule="auto"/>
        <w:rPr>
          <w:rFonts w:cs="Arial"/>
          <w:color w:val="0070C0"/>
        </w:rPr>
      </w:pPr>
      <w:r>
        <w:rPr>
          <w:rFonts w:cs="Arial"/>
          <w:color w:val="0070C0"/>
        </w:rPr>
        <w:t xml:space="preserve">- </w:t>
      </w:r>
      <w:r w:rsidRPr="00062B26">
        <w:rPr>
          <w:rFonts w:cs="Arial"/>
          <w:color w:val="0070C0"/>
        </w:rPr>
        <w:t>NFS</w:t>
      </w:r>
      <w:r>
        <w:rPr>
          <w:rFonts w:cs="Arial"/>
          <w:color w:val="0070C0"/>
        </w:rPr>
        <w:t>.</w:t>
      </w:r>
    </w:p>
    <w:p w14:paraId="419C7F0C" w14:textId="77777777" w:rsidR="003720F8" w:rsidRDefault="003720F8" w:rsidP="003720F8">
      <w:pPr>
        <w:spacing w:line="276" w:lineRule="auto"/>
        <w:rPr>
          <w:rFonts w:cs="Arial"/>
          <w:color w:val="0070C0"/>
        </w:rPr>
      </w:pPr>
      <w:r>
        <w:rPr>
          <w:rFonts w:cs="Arial"/>
          <w:color w:val="0070C0"/>
        </w:rPr>
        <w:t>- C</w:t>
      </w:r>
      <w:r w:rsidRPr="00062B26">
        <w:rPr>
          <w:rFonts w:cs="Arial"/>
          <w:color w:val="0070C0"/>
        </w:rPr>
        <w:t>réatinine sanguine et transaminases</w:t>
      </w:r>
      <w:r>
        <w:rPr>
          <w:rFonts w:cs="Arial"/>
          <w:color w:val="0070C0"/>
        </w:rPr>
        <w:t>.</w:t>
      </w:r>
    </w:p>
    <w:p w14:paraId="2BC2BC9D" w14:textId="77777777" w:rsidR="003720F8" w:rsidRPr="00062B26" w:rsidRDefault="003720F8" w:rsidP="003720F8">
      <w:pPr>
        <w:spacing w:line="276" w:lineRule="auto"/>
        <w:rPr>
          <w:rFonts w:cs="Arial"/>
          <w:color w:val="0070C0"/>
        </w:rPr>
      </w:pPr>
      <w:r>
        <w:rPr>
          <w:rFonts w:cs="Arial"/>
          <w:color w:val="0070C0"/>
        </w:rPr>
        <w:t>- B</w:t>
      </w:r>
      <w:r w:rsidRPr="00062B26">
        <w:rPr>
          <w:rFonts w:cs="Arial"/>
          <w:color w:val="0070C0"/>
        </w:rPr>
        <w:t xml:space="preserve">ilan pré-transfusionnel pour les patients à risque hémorragique.  </w:t>
      </w:r>
    </w:p>
    <w:p w14:paraId="3A0BED8E" w14:textId="76A5296A" w:rsidR="003720F8" w:rsidRPr="00062B26" w:rsidRDefault="00C8767D" w:rsidP="00C8767D">
      <w:pPr>
        <w:spacing w:after="160"/>
        <w:jc w:val="left"/>
        <w:rPr>
          <w:rFonts w:cs="Arial"/>
          <w:b/>
        </w:rPr>
      </w:pPr>
      <w:r>
        <w:rPr>
          <w:rFonts w:cs="Arial"/>
          <w:b/>
        </w:rPr>
        <w:br w:type="page"/>
      </w:r>
    </w:p>
    <w:p w14:paraId="3E26AF49" w14:textId="30916B7E" w:rsidR="003720F8" w:rsidRPr="00F22426" w:rsidRDefault="003720F8" w:rsidP="004278AD">
      <w:pPr>
        <w:pStyle w:val="Titre3"/>
      </w:pPr>
      <w:r w:rsidRPr="00062B26">
        <w:lastRenderedPageBreak/>
        <w:t>Anticoagulants</w:t>
      </w:r>
    </w:p>
    <w:p w14:paraId="6D1F5F87" w14:textId="77777777" w:rsidR="003720F8" w:rsidRPr="00C446D0" w:rsidRDefault="003720F8">
      <w:pPr>
        <w:pStyle w:val="Paragraphedeliste"/>
        <w:numPr>
          <w:ilvl w:val="0"/>
          <w:numId w:val="9"/>
        </w:numPr>
        <w:shd w:val="clear" w:color="auto" w:fill="5C9CD6"/>
        <w:autoSpaceDE w:val="0"/>
        <w:autoSpaceDN w:val="0"/>
        <w:spacing w:after="240" w:line="276" w:lineRule="auto"/>
        <w:contextualSpacing w:val="0"/>
        <w:rPr>
          <w:rFonts w:eastAsia="Times New Roman" w:cs="Arial"/>
          <w:b/>
          <w:bCs/>
          <w:caps/>
          <w:noProof/>
          <w:vanish/>
          <w:color w:val="FFFFFF" w:themeColor="background1"/>
          <w:sz w:val="24"/>
          <w:szCs w:val="24"/>
          <w:lang w:bidi="he-IL"/>
        </w:rPr>
      </w:pPr>
    </w:p>
    <w:p w14:paraId="67A0C057" w14:textId="77777777" w:rsidR="003720F8" w:rsidRPr="00C446D0" w:rsidRDefault="003720F8">
      <w:pPr>
        <w:pStyle w:val="Paragraphedeliste"/>
        <w:numPr>
          <w:ilvl w:val="0"/>
          <w:numId w:val="9"/>
        </w:numPr>
        <w:shd w:val="clear" w:color="auto" w:fill="5C9CD6"/>
        <w:autoSpaceDE w:val="0"/>
        <w:autoSpaceDN w:val="0"/>
        <w:spacing w:after="240" w:line="276" w:lineRule="auto"/>
        <w:contextualSpacing w:val="0"/>
        <w:rPr>
          <w:rFonts w:eastAsia="Times New Roman" w:cs="Arial"/>
          <w:b/>
          <w:bCs/>
          <w:caps/>
          <w:noProof/>
          <w:vanish/>
          <w:color w:val="FFFFFF" w:themeColor="background1"/>
          <w:sz w:val="24"/>
          <w:szCs w:val="24"/>
          <w:lang w:bidi="he-IL"/>
        </w:rPr>
      </w:pPr>
    </w:p>
    <w:p w14:paraId="1CFFC504" w14:textId="77777777" w:rsidR="003720F8" w:rsidRPr="00C446D0" w:rsidRDefault="003720F8">
      <w:pPr>
        <w:pStyle w:val="Paragraphedeliste"/>
        <w:numPr>
          <w:ilvl w:val="1"/>
          <w:numId w:val="9"/>
        </w:numPr>
        <w:shd w:val="clear" w:color="auto" w:fill="5C9CD6"/>
        <w:autoSpaceDE w:val="0"/>
        <w:autoSpaceDN w:val="0"/>
        <w:spacing w:after="240" w:line="276" w:lineRule="auto"/>
        <w:ind w:left="426" w:hanging="284"/>
        <w:contextualSpacing w:val="0"/>
        <w:rPr>
          <w:rFonts w:eastAsia="Times New Roman" w:cs="Arial"/>
          <w:b/>
          <w:bCs/>
          <w:caps/>
          <w:noProof/>
          <w:vanish/>
          <w:color w:val="FFFFFF" w:themeColor="background1"/>
          <w:sz w:val="24"/>
          <w:szCs w:val="24"/>
          <w:lang w:bidi="he-IL"/>
        </w:rPr>
      </w:pPr>
    </w:p>
    <w:p w14:paraId="1B35E427" w14:textId="77777777" w:rsidR="003720F8" w:rsidRPr="00C446D0" w:rsidRDefault="003720F8">
      <w:pPr>
        <w:pStyle w:val="Paragraphedeliste"/>
        <w:numPr>
          <w:ilvl w:val="1"/>
          <w:numId w:val="9"/>
        </w:numPr>
        <w:shd w:val="clear" w:color="auto" w:fill="5C9CD6"/>
        <w:autoSpaceDE w:val="0"/>
        <w:autoSpaceDN w:val="0"/>
        <w:spacing w:after="240" w:line="276" w:lineRule="auto"/>
        <w:ind w:left="426" w:hanging="284"/>
        <w:contextualSpacing w:val="0"/>
        <w:rPr>
          <w:rFonts w:eastAsia="Times New Roman" w:cs="Arial"/>
          <w:b/>
          <w:bCs/>
          <w:caps/>
          <w:noProof/>
          <w:vanish/>
          <w:color w:val="FFFFFF" w:themeColor="background1"/>
          <w:sz w:val="24"/>
          <w:szCs w:val="24"/>
          <w:lang w:bidi="he-IL"/>
        </w:rPr>
      </w:pPr>
    </w:p>
    <w:p w14:paraId="55F3C95E" w14:textId="77777777" w:rsidR="004278AD" w:rsidRPr="004278AD" w:rsidRDefault="004278AD">
      <w:pPr>
        <w:pStyle w:val="Paragraphedeliste"/>
        <w:numPr>
          <w:ilvl w:val="0"/>
          <w:numId w:val="4"/>
        </w:numPr>
        <w:pBdr>
          <w:top w:val="nil"/>
          <w:left w:val="nil"/>
          <w:bottom w:val="nil"/>
          <w:right w:val="nil"/>
          <w:between w:val="nil"/>
        </w:pBdr>
        <w:spacing w:after="240"/>
        <w:outlineLvl w:val="3"/>
        <w:rPr>
          <w:b/>
          <w:bCs/>
          <w:vanish/>
        </w:rPr>
      </w:pPr>
    </w:p>
    <w:p w14:paraId="6511FF40" w14:textId="77777777" w:rsidR="004278AD" w:rsidRPr="004278AD" w:rsidRDefault="004278AD">
      <w:pPr>
        <w:pStyle w:val="Paragraphedeliste"/>
        <w:numPr>
          <w:ilvl w:val="0"/>
          <w:numId w:val="4"/>
        </w:numPr>
        <w:pBdr>
          <w:top w:val="nil"/>
          <w:left w:val="nil"/>
          <w:bottom w:val="nil"/>
          <w:right w:val="nil"/>
          <w:between w:val="nil"/>
        </w:pBdr>
        <w:spacing w:after="240"/>
        <w:outlineLvl w:val="3"/>
        <w:rPr>
          <w:b/>
          <w:bCs/>
          <w:vanish/>
        </w:rPr>
      </w:pPr>
    </w:p>
    <w:p w14:paraId="2D24FF3C" w14:textId="77777777" w:rsidR="004278AD" w:rsidRPr="004278AD" w:rsidRDefault="004278AD">
      <w:pPr>
        <w:pStyle w:val="Paragraphedeliste"/>
        <w:numPr>
          <w:ilvl w:val="1"/>
          <w:numId w:val="4"/>
        </w:numPr>
        <w:pBdr>
          <w:top w:val="nil"/>
          <w:left w:val="nil"/>
          <w:bottom w:val="nil"/>
          <w:right w:val="nil"/>
          <w:between w:val="nil"/>
        </w:pBdr>
        <w:spacing w:after="240"/>
        <w:outlineLvl w:val="3"/>
        <w:rPr>
          <w:b/>
          <w:bCs/>
          <w:vanish/>
        </w:rPr>
      </w:pPr>
    </w:p>
    <w:p w14:paraId="3181A594" w14:textId="77777777" w:rsidR="004278AD" w:rsidRPr="004278AD" w:rsidRDefault="004278AD">
      <w:pPr>
        <w:pStyle w:val="Paragraphedeliste"/>
        <w:numPr>
          <w:ilvl w:val="1"/>
          <w:numId w:val="4"/>
        </w:numPr>
        <w:pBdr>
          <w:top w:val="nil"/>
          <w:left w:val="nil"/>
          <w:bottom w:val="nil"/>
          <w:right w:val="nil"/>
          <w:between w:val="nil"/>
        </w:pBdr>
        <w:spacing w:after="240"/>
        <w:outlineLvl w:val="3"/>
        <w:rPr>
          <w:b/>
          <w:bCs/>
          <w:vanish/>
        </w:rPr>
      </w:pPr>
    </w:p>
    <w:p w14:paraId="7D7E5A65" w14:textId="7F606EA5" w:rsidR="003720F8" w:rsidRPr="00F22426" w:rsidRDefault="003720F8" w:rsidP="004278AD">
      <w:pPr>
        <w:pStyle w:val="Titre4"/>
      </w:pPr>
      <w:r w:rsidRPr="00F22426">
        <w:t>Option</w:t>
      </w:r>
      <w:r>
        <w:t> </w:t>
      </w:r>
      <w:r w:rsidRPr="00F22426">
        <w:t>1 : les anticoagulants oraux directs (AOD)</w:t>
      </w:r>
    </w:p>
    <w:p w14:paraId="735ED7AA" w14:textId="77777777" w:rsidR="003720F8" w:rsidRPr="00062B26" w:rsidRDefault="003720F8" w:rsidP="003720F8">
      <w:pPr>
        <w:spacing w:line="276" w:lineRule="auto"/>
        <w:rPr>
          <w:rFonts w:cs="Arial"/>
          <w:iCs/>
          <w:color w:val="0070C0"/>
        </w:rPr>
      </w:pPr>
      <w:r w:rsidRPr="00062B26">
        <w:rPr>
          <w:rFonts w:cs="Arial"/>
          <w:iCs/>
          <w:color w:val="0070C0"/>
        </w:rPr>
        <w:t xml:space="preserve">Seuls le RIVAROXABAN et l’APIXABAN, tous deux inhibiteurs directs du facteur X activé (Xa), ont l’AMM et le remboursement en France. Ils représentent le </w:t>
      </w:r>
      <w:r w:rsidRPr="00062B26">
        <w:rPr>
          <w:rFonts w:cs="Arial"/>
          <w:b/>
          <w:iCs/>
          <w:color w:val="0070C0"/>
        </w:rPr>
        <w:t>traitement de 1</w:t>
      </w:r>
      <w:r w:rsidRPr="00062B26">
        <w:rPr>
          <w:rFonts w:cs="Arial"/>
          <w:b/>
          <w:iCs/>
          <w:color w:val="0070C0"/>
          <w:vertAlign w:val="superscript"/>
        </w:rPr>
        <w:t>re</w:t>
      </w:r>
      <w:r w:rsidRPr="00062B26">
        <w:rPr>
          <w:rFonts w:cs="Arial"/>
          <w:b/>
          <w:iCs/>
          <w:color w:val="0070C0"/>
        </w:rPr>
        <w:t xml:space="preserve"> intention</w:t>
      </w:r>
      <w:r w:rsidRPr="00062B26">
        <w:rPr>
          <w:rFonts w:cs="Arial"/>
          <w:iCs/>
          <w:color w:val="0070C0"/>
        </w:rPr>
        <w:t>.</w:t>
      </w:r>
      <w:r w:rsidRPr="00062B26" w:rsidDel="0005786A">
        <w:rPr>
          <w:rFonts w:cs="Arial"/>
          <w:iCs/>
          <w:color w:val="0070C0"/>
        </w:rPr>
        <w:t xml:space="preserve"> </w:t>
      </w:r>
    </w:p>
    <w:p w14:paraId="18848215" w14:textId="77777777" w:rsidR="003720F8" w:rsidRPr="00062B26" w:rsidRDefault="003720F8" w:rsidP="003720F8">
      <w:pPr>
        <w:spacing w:line="276" w:lineRule="auto"/>
        <w:rPr>
          <w:rFonts w:cs="Arial"/>
          <w:iCs/>
          <w:color w:val="0070C0"/>
        </w:rPr>
      </w:pPr>
    </w:p>
    <w:p w14:paraId="2E7F13B5" w14:textId="77777777" w:rsidR="003720F8" w:rsidRDefault="003720F8" w:rsidP="003720F8">
      <w:pPr>
        <w:spacing w:line="276" w:lineRule="auto"/>
        <w:rPr>
          <w:rFonts w:cs="Arial"/>
          <w:iCs/>
          <w:color w:val="0070C0"/>
        </w:rPr>
      </w:pPr>
      <w:r w:rsidRPr="00062B26">
        <w:rPr>
          <w:rFonts w:cs="Arial"/>
          <w:iCs/>
          <w:color w:val="0070C0"/>
        </w:rPr>
        <w:t xml:space="preserve">Propriétés du </w:t>
      </w:r>
      <w:proofErr w:type="spellStart"/>
      <w:r w:rsidRPr="00062B26">
        <w:rPr>
          <w:rFonts w:cs="Arial"/>
          <w:iCs/>
          <w:color w:val="0070C0"/>
        </w:rPr>
        <w:t>rivaroxaban</w:t>
      </w:r>
      <w:proofErr w:type="spellEnd"/>
      <w:r w:rsidRPr="00062B26">
        <w:rPr>
          <w:rFonts w:cs="Arial"/>
          <w:iCs/>
          <w:color w:val="0070C0"/>
        </w:rPr>
        <w:t xml:space="preserve"> et de l’</w:t>
      </w:r>
      <w:proofErr w:type="spellStart"/>
      <w:r w:rsidRPr="00062B26">
        <w:rPr>
          <w:rFonts w:cs="Arial"/>
          <w:iCs/>
          <w:color w:val="0070C0"/>
        </w:rPr>
        <w:t>apixaban</w:t>
      </w:r>
      <w:proofErr w:type="spellEnd"/>
      <w:r>
        <w:rPr>
          <w:rFonts w:cs="Arial"/>
          <w:iCs/>
          <w:color w:val="0070C0"/>
        </w:rPr>
        <w:t> :</w:t>
      </w:r>
    </w:p>
    <w:p w14:paraId="5C23C372" w14:textId="77777777" w:rsidR="003720F8" w:rsidRDefault="003720F8" w:rsidP="003720F8">
      <w:pPr>
        <w:spacing w:line="276" w:lineRule="auto"/>
        <w:rPr>
          <w:rFonts w:cs="Arial"/>
          <w:iCs/>
          <w:color w:val="0070C0"/>
        </w:rPr>
      </w:pPr>
      <w:r>
        <w:rPr>
          <w:rFonts w:cs="Arial"/>
          <w:iCs/>
          <w:color w:val="0070C0"/>
        </w:rPr>
        <w:t xml:space="preserve">- </w:t>
      </w:r>
      <w:r>
        <w:rPr>
          <w:rFonts w:cs="Arial"/>
          <w:b/>
          <w:iCs/>
          <w:color w:val="0070C0"/>
        </w:rPr>
        <w:t>V</w:t>
      </w:r>
      <w:r w:rsidRPr="00062B26">
        <w:rPr>
          <w:rFonts w:cs="Arial"/>
          <w:b/>
          <w:iCs/>
          <w:color w:val="0070C0"/>
        </w:rPr>
        <w:t>oie orale, à dose fixe,</w:t>
      </w:r>
      <w:r w:rsidRPr="00062B26">
        <w:rPr>
          <w:rFonts w:cs="Arial"/>
          <w:iCs/>
          <w:color w:val="0070C0"/>
        </w:rPr>
        <w:t xml:space="preserve"> sans contrôle biologique</w:t>
      </w:r>
      <w:r>
        <w:rPr>
          <w:rFonts w:cs="Arial"/>
          <w:iCs/>
          <w:color w:val="0070C0"/>
        </w:rPr>
        <w:t>.</w:t>
      </w:r>
    </w:p>
    <w:p w14:paraId="630DCB32" w14:textId="77777777" w:rsidR="003720F8" w:rsidRDefault="003720F8" w:rsidP="003720F8">
      <w:pPr>
        <w:spacing w:line="276" w:lineRule="auto"/>
        <w:rPr>
          <w:rFonts w:cs="Arial"/>
          <w:iCs/>
          <w:color w:val="0070C0"/>
        </w:rPr>
      </w:pPr>
      <w:r>
        <w:rPr>
          <w:rFonts w:cs="Arial"/>
          <w:iCs/>
          <w:color w:val="0070C0"/>
        </w:rPr>
        <w:t xml:space="preserve">- </w:t>
      </w:r>
      <w:r>
        <w:rPr>
          <w:rFonts w:cs="Arial"/>
          <w:b/>
          <w:bCs/>
          <w:iCs/>
          <w:color w:val="0070C0"/>
        </w:rPr>
        <w:t>A</w:t>
      </w:r>
      <w:r w:rsidRPr="00062B26">
        <w:rPr>
          <w:rFonts w:cs="Arial"/>
          <w:b/>
          <w:iCs/>
          <w:color w:val="0070C0"/>
        </w:rPr>
        <w:t>ction rapide</w:t>
      </w:r>
      <w:r w:rsidRPr="00062B26">
        <w:rPr>
          <w:rFonts w:cs="Arial"/>
          <w:iCs/>
          <w:color w:val="0070C0"/>
        </w:rPr>
        <w:t xml:space="preserve">  </w:t>
      </w:r>
      <w:r w:rsidRPr="00062B26">
        <w:rPr>
          <w:rFonts w:cs="Arial"/>
          <w:iCs/>
          <w:color w:val="0070C0"/>
        </w:rPr>
        <w:sym w:font="Wingdings" w:char="F0E0"/>
      </w:r>
      <w:r w:rsidRPr="00062B26">
        <w:rPr>
          <w:rFonts w:cs="Arial"/>
          <w:b/>
          <w:iCs/>
          <w:color w:val="0070C0"/>
        </w:rPr>
        <w:t xml:space="preserve"> utilisation d’emblée</w:t>
      </w:r>
      <w:r w:rsidRPr="00062B26">
        <w:rPr>
          <w:rFonts w:cs="Arial"/>
          <w:iCs/>
          <w:color w:val="0070C0"/>
        </w:rPr>
        <w:t xml:space="preserve"> (pas de pré-traitement par héparine)</w:t>
      </w:r>
      <w:r>
        <w:rPr>
          <w:rFonts w:cs="Arial"/>
          <w:iCs/>
          <w:color w:val="0070C0"/>
        </w:rPr>
        <w:t>.</w:t>
      </w:r>
    </w:p>
    <w:p w14:paraId="233934C0" w14:textId="77777777" w:rsidR="003720F8" w:rsidRDefault="003720F8" w:rsidP="003720F8">
      <w:pPr>
        <w:spacing w:line="276" w:lineRule="auto"/>
        <w:rPr>
          <w:rFonts w:cs="Arial"/>
          <w:b/>
          <w:iCs/>
          <w:color w:val="0070C0"/>
        </w:rPr>
      </w:pPr>
      <w:r>
        <w:rPr>
          <w:rFonts w:cs="Arial"/>
          <w:iCs/>
          <w:color w:val="0070C0"/>
        </w:rPr>
        <w:t xml:space="preserve">- </w:t>
      </w:r>
      <w:r>
        <w:rPr>
          <w:rFonts w:cs="Arial"/>
          <w:b/>
          <w:iCs/>
          <w:color w:val="0070C0"/>
        </w:rPr>
        <w:t>D</w:t>
      </w:r>
      <w:r w:rsidRPr="00062B26">
        <w:rPr>
          <w:rFonts w:cs="Arial"/>
          <w:b/>
          <w:iCs/>
          <w:color w:val="0070C0"/>
        </w:rPr>
        <w:t>emi-vie courte</w:t>
      </w:r>
      <w:r>
        <w:rPr>
          <w:rFonts w:cs="Arial"/>
          <w:b/>
          <w:iCs/>
          <w:color w:val="0070C0"/>
        </w:rPr>
        <w:t>.</w:t>
      </w:r>
    </w:p>
    <w:p w14:paraId="64A97FB1" w14:textId="77777777" w:rsidR="003720F8" w:rsidRDefault="003720F8" w:rsidP="003720F8">
      <w:pPr>
        <w:spacing w:line="276" w:lineRule="auto"/>
        <w:rPr>
          <w:rFonts w:cs="Arial"/>
          <w:iCs/>
          <w:color w:val="0070C0"/>
        </w:rPr>
      </w:pPr>
      <w:r>
        <w:rPr>
          <w:rFonts w:cs="Arial"/>
          <w:bCs/>
          <w:iCs/>
          <w:color w:val="0070C0"/>
        </w:rPr>
        <w:t xml:space="preserve">- </w:t>
      </w:r>
      <w:r>
        <w:rPr>
          <w:rFonts w:cs="Arial"/>
          <w:b/>
          <w:iCs/>
          <w:color w:val="0070C0"/>
        </w:rPr>
        <w:t>A</w:t>
      </w:r>
      <w:r w:rsidRPr="00062B26">
        <w:rPr>
          <w:rFonts w:cs="Arial"/>
          <w:b/>
          <w:iCs/>
          <w:color w:val="0070C0"/>
        </w:rPr>
        <w:t>u moins aussi efficaces</w:t>
      </w:r>
      <w:r w:rsidRPr="00062B26">
        <w:rPr>
          <w:rFonts w:cs="Arial"/>
          <w:iCs/>
          <w:color w:val="0070C0"/>
        </w:rPr>
        <w:t xml:space="preserve"> que les AVK </w:t>
      </w:r>
      <w:r w:rsidRPr="00062B26">
        <w:rPr>
          <w:rFonts w:cs="Arial"/>
          <w:b/>
          <w:iCs/>
          <w:color w:val="0070C0"/>
        </w:rPr>
        <w:t>et plus sûrs </w:t>
      </w:r>
      <w:r w:rsidRPr="00062B26">
        <w:rPr>
          <w:rFonts w:cs="Arial"/>
          <w:iCs/>
          <w:color w:val="0070C0"/>
        </w:rPr>
        <w:t>: réduction du risque d’hémorragie grave</w:t>
      </w:r>
      <w:r>
        <w:rPr>
          <w:rFonts w:cs="Arial"/>
          <w:iCs/>
          <w:color w:val="0070C0"/>
        </w:rPr>
        <w:t>.</w:t>
      </w:r>
    </w:p>
    <w:p w14:paraId="55949040" w14:textId="77777777" w:rsidR="003720F8" w:rsidRPr="00062B26" w:rsidRDefault="003720F8" w:rsidP="003720F8">
      <w:pPr>
        <w:spacing w:line="276" w:lineRule="auto"/>
        <w:rPr>
          <w:rFonts w:cs="Arial"/>
          <w:iCs/>
          <w:color w:val="0070C0"/>
        </w:rPr>
      </w:pPr>
      <w:r>
        <w:rPr>
          <w:rFonts w:cs="Arial"/>
          <w:iCs/>
          <w:color w:val="0070C0"/>
        </w:rPr>
        <w:t>- A</w:t>
      </w:r>
      <w:r w:rsidRPr="00062B26">
        <w:rPr>
          <w:rFonts w:cs="Arial"/>
          <w:iCs/>
          <w:color w:val="0070C0"/>
        </w:rPr>
        <w:t>ntidote disponible.</w:t>
      </w:r>
    </w:p>
    <w:p w14:paraId="3F6ED71E" w14:textId="77777777" w:rsidR="003720F8" w:rsidRPr="00062B26" w:rsidRDefault="003720F8" w:rsidP="003720F8">
      <w:pPr>
        <w:spacing w:line="276" w:lineRule="auto"/>
        <w:rPr>
          <w:rFonts w:cs="Arial"/>
          <w:iCs/>
          <w:color w:val="0070C0"/>
        </w:rPr>
      </w:pPr>
      <w:r>
        <w:rPr>
          <w:rFonts w:cs="Arial"/>
          <w:iCs/>
          <w:color w:val="0070C0"/>
        </w:rPr>
        <w:t xml:space="preserve">- </w:t>
      </w:r>
      <w:r w:rsidRPr="00062B26">
        <w:rPr>
          <w:rFonts w:cs="Arial"/>
          <w:iCs/>
          <w:color w:val="0070C0"/>
        </w:rPr>
        <w:t>Contre-indications :</w:t>
      </w:r>
      <w:r w:rsidRPr="00062B26">
        <w:rPr>
          <w:rFonts w:cs="Arial"/>
          <w:b/>
          <w:iCs/>
          <w:color w:val="0070C0"/>
        </w:rPr>
        <w:t xml:space="preserve"> insuffisance rénale sévère </w:t>
      </w:r>
      <w:r w:rsidRPr="00062B26">
        <w:rPr>
          <w:rFonts w:cs="Arial"/>
          <w:iCs/>
          <w:color w:val="0070C0"/>
        </w:rPr>
        <w:t>(clairance de la créatinine &lt; 30</w:t>
      </w:r>
      <w:r>
        <w:rPr>
          <w:rFonts w:cs="Arial"/>
          <w:iCs/>
          <w:color w:val="0070C0"/>
        </w:rPr>
        <w:t> </w:t>
      </w:r>
      <w:proofErr w:type="spellStart"/>
      <w:r w:rsidRPr="00062B26">
        <w:rPr>
          <w:rFonts w:cs="Arial"/>
          <w:iCs/>
          <w:color w:val="0070C0"/>
        </w:rPr>
        <w:t>m</w:t>
      </w:r>
      <w:r>
        <w:rPr>
          <w:rFonts w:cs="Arial"/>
          <w:iCs/>
          <w:color w:val="0070C0"/>
        </w:rPr>
        <w:t>L</w:t>
      </w:r>
      <w:proofErr w:type="spellEnd"/>
      <w:r w:rsidRPr="00062B26">
        <w:rPr>
          <w:rFonts w:cs="Arial"/>
          <w:iCs/>
          <w:color w:val="0070C0"/>
        </w:rPr>
        <w:t xml:space="preserve">/min selon la formule de Cockcroft et Gault pour le </w:t>
      </w:r>
      <w:proofErr w:type="spellStart"/>
      <w:r w:rsidRPr="00062B26">
        <w:rPr>
          <w:rFonts w:cs="Arial"/>
          <w:iCs/>
          <w:color w:val="0070C0"/>
        </w:rPr>
        <w:t>rivaroxaban</w:t>
      </w:r>
      <w:proofErr w:type="spellEnd"/>
      <w:r w:rsidRPr="00062B26">
        <w:rPr>
          <w:rFonts w:cs="Arial"/>
          <w:iCs/>
          <w:color w:val="0070C0"/>
        </w:rPr>
        <w:t xml:space="preserve"> et 25</w:t>
      </w:r>
      <w:r>
        <w:rPr>
          <w:rFonts w:cs="Arial"/>
          <w:iCs/>
          <w:color w:val="0070C0"/>
        </w:rPr>
        <w:t> </w:t>
      </w:r>
      <w:proofErr w:type="spellStart"/>
      <w:r>
        <w:rPr>
          <w:rFonts w:cs="Arial"/>
          <w:iCs/>
          <w:color w:val="0070C0"/>
        </w:rPr>
        <w:t>mL</w:t>
      </w:r>
      <w:proofErr w:type="spellEnd"/>
      <w:r w:rsidRPr="00062B26">
        <w:rPr>
          <w:rFonts w:cs="Arial"/>
          <w:iCs/>
          <w:color w:val="0070C0"/>
        </w:rPr>
        <w:t>/min pour l’</w:t>
      </w:r>
      <w:proofErr w:type="spellStart"/>
      <w:r w:rsidRPr="00062B26">
        <w:rPr>
          <w:rFonts w:cs="Arial"/>
          <w:iCs/>
          <w:color w:val="0070C0"/>
        </w:rPr>
        <w:t>apixaban</w:t>
      </w:r>
      <w:proofErr w:type="spellEnd"/>
      <w:r w:rsidRPr="00062B26">
        <w:rPr>
          <w:rFonts w:cs="Arial"/>
          <w:iCs/>
          <w:color w:val="0070C0"/>
        </w:rPr>
        <w:t xml:space="preserve">), instabilité hémodynamique, grossesse, allaitement, interactions médicamenteuses majeures liées au cytochrome 3A4 ou la P-glycoprotéine </w:t>
      </w:r>
      <w:r>
        <w:rPr>
          <w:rFonts w:cs="Arial"/>
          <w:iCs/>
          <w:color w:val="0070C0"/>
        </w:rPr>
        <w:t>[</w:t>
      </w:r>
      <w:r w:rsidRPr="00062B26">
        <w:rPr>
          <w:rFonts w:cs="Arial"/>
          <w:iCs/>
          <w:color w:val="0070C0"/>
        </w:rPr>
        <w:t xml:space="preserve">rifampicine, phénobarbital, quinine, azolés, antiprotéases utilisées dans le VIH, </w:t>
      </w:r>
      <w:proofErr w:type="spellStart"/>
      <w:r w:rsidRPr="00062B26">
        <w:rPr>
          <w:rFonts w:cs="Arial"/>
          <w:iCs/>
          <w:color w:val="0070C0"/>
        </w:rPr>
        <w:t>antityrosines</w:t>
      </w:r>
      <w:proofErr w:type="spellEnd"/>
      <w:r w:rsidRPr="00062B26">
        <w:rPr>
          <w:rFonts w:cs="Arial"/>
          <w:iCs/>
          <w:color w:val="0070C0"/>
        </w:rPr>
        <w:t xml:space="preserve"> kinases, macrolides (sauf l’azithromycine)</w:t>
      </w:r>
      <w:r>
        <w:rPr>
          <w:rFonts w:cs="Arial"/>
          <w:iCs/>
          <w:color w:val="0070C0"/>
        </w:rPr>
        <w:t>]</w:t>
      </w:r>
      <w:r w:rsidRPr="00062B26">
        <w:rPr>
          <w:rFonts w:cs="Arial"/>
          <w:iCs/>
          <w:color w:val="0070C0"/>
        </w:rPr>
        <w:t>.</w:t>
      </w:r>
    </w:p>
    <w:p w14:paraId="1A3F7B02" w14:textId="77777777" w:rsidR="003720F8" w:rsidRPr="00062B26" w:rsidRDefault="003720F8" w:rsidP="003720F8">
      <w:pPr>
        <w:spacing w:line="276" w:lineRule="auto"/>
        <w:rPr>
          <w:rFonts w:cs="Arial"/>
          <w:i/>
          <w:u w:val="single"/>
        </w:rPr>
      </w:pPr>
    </w:p>
    <w:p w14:paraId="105EBECA" w14:textId="77777777" w:rsidR="003720F8" w:rsidRPr="00062B26" w:rsidRDefault="003720F8" w:rsidP="004278AD">
      <w:pPr>
        <w:pStyle w:val="Titre4"/>
      </w:pPr>
      <w:r w:rsidRPr="00062B26">
        <w:t>Option</w:t>
      </w:r>
      <w:r>
        <w:t> </w:t>
      </w:r>
      <w:r w:rsidRPr="00062B26">
        <w:t>2 : Héparines avec relai précoce par AVK</w:t>
      </w:r>
    </w:p>
    <w:p w14:paraId="1DCA14AA" w14:textId="77777777" w:rsidR="003720F8" w:rsidRPr="00062B26" w:rsidRDefault="003720F8" w:rsidP="003720F8">
      <w:pPr>
        <w:spacing w:line="276" w:lineRule="auto"/>
        <w:rPr>
          <w:rFonts w:cs="Arial"/>
          <w:b/>
          <w:iCs/>
          <w:color w:val="0070C0"/>
        </w:rPr>
      </w:pPr>
      <w:r w:rsidRPr="00062B26">
        <w:rPr>
          <w:rFonts w:cs="Arial"/>
          <w:b/>
          <w:iCs/>
          <w:color w:val="0070C0"/>
        </w:rPr>
        <w:t xml:space="preserve">Traitement </w:t>
      </w:r>
      <w:proofErr w:type="spellStart"/>
      <w:r w:rsidRPr="00062B26">
        <w:rPr>
          <w:rFonts w:cs="Arial"/>
          <w:b/>
          <w:iCs/>
          <w:color w:val="0070C0"/>
        </w:rPr>
        <w:t>héparinique</w:t>
      </w:r>
      <w:proofErr w:type="spellEnd"/>
      <w:r>
        <w:rPr>
          <w:rFonts w:cs="Arial"/>
          <w:b/>
          <w:iCs/>
          <w:color w:val="0070C0"/>
        </w:rPr>
        <w:t> </w:t>
      </w:r>
      <w:r w:rsidRPr="00062B26">
        <w:rPr>
          <w:rFonts w:cs="Arial"/>
          <w:b/>
          <w:iCs/>
          <w:color w:val="0070C0"/>
        </w:rPr>
        <w:t>:</w:t>
      </w:r>
    </w:p>
    <w:p w14:paraId="6C8789F5" w14:textId="77777777" w:rsidR="003720F8" w:rsidRPr="00062B26" w:rsidRDefault="003720F8" w:rsidP="003720F8">
      <w:pPr>
        <w:spacing w:line="276" w:lineRule="auto"/>
        <w:rPr>
          <w:rFonts w:cs="Arial"/>
          <w:iCs/>
          <w:color w:val="0070C0"/>
        </w:rPr>
      </w:pPr>
      <w:r w:rsidRPr="00062B26">
        <w:rPr>
          <w:rFonts w:cs="Arial"/>
          <w:iCs/>
          <w:color w:val="0070C0"/>
        </w:rPr>
        <w:t>Les héparines sont des anticoagulants d’action rapide (pic à 1</w:t>
      </w:r>
      <w:r>
        <w:rPr>
          <w:rFonts w:cs="Arial"/>
          <w:iCs/>
          <w:color w:val="0070C0"/>
        </w:rPr>
        <w:t> </w:t>
      </w:r>
      <w:r w:rsidRPr="00062B26">
        <w:rPr>
          <w:rFonts w:cs="Arial"/>
          <w:iCs/>
          <w:color w:val="0070C0"/>
        </w:rPr>
        <w:t>heure après l’injection)</w:t>
      </w:r>
      <w:r>
        <w:rPr>
          <w:rFonts w:cs="Arial"/>
          <w:iCs/>
          <w:color w:val="0070C0"/>
        </w:rPr>
        <w:t> </w:t>
      </w:r>
      <w:r w:rsidRPr="00062B26">
        <w:rPr>
          <w:rFonts w:cs="Arial"/>
          <w:iCs/>
          <w:color w:val="0070C0"/>
        </w:rPr>
        <w:t>: héparine non fractionnée (HNF), héparines de bas poids moléculaires (HBPM) ou fondaparinux (</w:t>
      </w:r>
      <w:proofErr w:type="spellStart"/>
      <w:r w:rsidRPr="00062B26">
        <w:rPr>
          <w:rFonts w:cs="Arial"/>
          <w:iCs/>
          <w:color w:val="0070C0"/>
        </w:rPr>
        <w:t>pentasaccharide</w:t>
      </w:r>
      <w:proofErr w:type="spellEnd"/>
      <w:r w:rsidRPr="00062B26">
        <w:rPr>
          <w:rFonts w:cs="Arial"/>
          <w:iCs/>
          <w:color w:val="0070C0"/>
        </w:rPr>
        <w:t xml:space="preserve">). </w:t>
      </w:r>
      <w:r w:rsidRPr="00062B26">
        <w:rPr>
          <w:rFonts w:cs="Arial"/>
          <w:b/>
          <w:iCs/>
          <w:color w:val="0070C0"/>
        </w:rPr>
        <w:t>Ces 3</w:t>
      </w:r>
      <w:r>
        <w:rPr>
          <w:rFonts w:cs="Arial"/>
          <w:b/>
          <w:iCs/>
          <w:color w:val="0070C0"/>
        </w:rPr>
        <w:t> </w:t>
      </w:r>
      <w:r w:rsidRPr="00062B26">
        <w:rPr>
          <w:rFonts w:cs="Arial"/>
          <w:b/>
          <w:iCs/>
          <w:color w:val="0070C0"/>
        </w:rPr>
        <w:t xml:space="preserve">traitements ont une efficacité équivalente. </w:t>
      </w:r>
    </w:p>
    <w:p w14:paraId="26C471CB" w14:textId="77777777" w:rsidR="003720F8" w:rsidRPr="00062B26" w:rsidRDefault="003720F8" w:rsidP="003720F8">
      <w:pPr>
        <w:widowControl w:val="0"/>
        <w:spacing w:line="276" w:lineRule="auto"/>
        <w:rPr>
          <w:rFonts w:cs="Arial"/>
          <w:iCs/>
          <w:color w:val="0070C0"/>
        </w:rPr>
      </w:pPr>
      <w:r>
        <w:rPr>
          <w:rFonts w:cs="Arial"/>
          <w:b/>
          <w:iCs/>
          <w:color w:val="0070C0"/>
        </w:rPr>
        <w:t xml:space="preserve">- </w:t>
      </w:r>
      <w:r w:rsidRPr="00062B26">
        <w:rPr>
          <w:rFonts w:cs="Arial"/>
          <w:b/>
          <w:iCs/>
          <w:color w:val="0070C0"/>
        </w:rPr>
        <w:t>Les HBPM et le fondaparinux sont préférés aux HNF :</w:t>
      </w:r>
    </w:p>
    <w:p w14:paraId="594E40E7"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D</w:t>
      </w:r>
      <w:r w:rsidRPr="00062B26">
        <w:rPr>
          <w:rFonts w:cs="Arial"/>
          <w:iCs/>
          <w:color w:val="0070C0"/>
        </w:rPr>
        <w:t>ose adaptée au poids</w:t>
      </w:r>
      <w:r>
        <w:rPr>
          <w:rFonts w:cs="Arial"/>
          <w:iCs/>
          <w:color w:val="0070C0"/>
        </w:rPr>
        <w:t>.</w:t>
      </w:r>
    </w:p>
    <w:p w14:paraId="2A1CB4B0"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P</w:t>
      </w:r>
      <w:r w:rsidRPr="00062B26">
        <w:rPr>
          <w:rFonts w:cs="Arial"/>
          <w:iCs/>
          <w:color w:val="0070C0"/>
        </w:rPr>
        <w:t xml:space="preserve">as de surveillance biologique (pas de TCA, ni </w:t>
      </w:r>
      <w:proofErr w:type="spellStart"/>
      <w:r w:rsidRPr="00062B26">
        <w:rPr>
          <w:rFonts w:cs="Arial"/>
          <w:iCs/>
          <w:color w:val="0070C0"/>
        </w:rPr>
        <w:t>anti-Xa</w:t>
      </w:r>
      <w:proofErr w:type="spellEnd"/>
      <w:r w:rsidRPr="00062B26">
        <w:rPr>
          <w:rFonts w:cs="Arial"/>
          <w:iCs/>
          <w:color w:val="0070C0"/>
        </w:rPr>
        <w:t>, ni plaquettes)</w:t>
      </w:r>
      <w:r>
        <w:rPr>
          <w:rFonts w:cs="Arial"/>
          <w:iCs/>
          <w:color w:val="0070C0"/>
        </w:rPr>
        <w:t>.</w:t>
      </w:r>
    </w:p>
    <w:p w14:paraId="2A4C8474"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R</w:t>
      </w:r>
      <w:r w:rsidRPr="00062B26">
        <w:rPr>
          <w:rFonts w:cs="Arial"/>
          <w:iCs/>
          <w:color w:val="0070C0"/>
        </w:rPr>
        <w:t>isque diminué de TIH</w:t>
      </w:r>
      <w:r>
        <w:rPr>
          <w:rFonts w:cs="Arial"/>
          <w:iCs/>
          <w:color w:val="0070C0"/>
        </w:rPr>
        <w:t>.</w:t>
      </w:r>
    </w:p>
    <w:p w14:paraId="548218AD"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M</w:t>
      </w:r>
      <w:r w:rsidRPr="00062B26">
        <w:rPr>
          <w:rFonts w:cs="Arial"/>
          <w:iCs/>
          <w:color w:val="0070C0"/>
        </w:rPr>
        <w:t>ais contre-indiqués en cas d’insuffisance rénale sévère (clairance créatinine &lt;</w:t>
      </w:r>
      <w:r>
        <w:rPr>
          <w:rFonts w:cs="Arial"/>
          <w:iCs/>
          <w:color w:val="0070C0"/>
        </w:rPr>
        <w:t xml:space="preserve"> </w:t>
      </w:r>
      <w:r w:rsidRPr="00062B26">
        <w:rPr>
          <w:rFonts w:cs="Arial"/>
          <w:iCs/>
          <w:color w:val="0070C0"/>
        </w:rPr>
        <w:t>30</w:t>
      </w:r>
      <w:r>
        <w:rPr>
          <w:rFonts w:cs="Arial"/>
          <w:iCs/>
          <w:color w:val="0070C0"/>
        </w:rPr>
        <w:t> </w:t>
      </w:r>
      <w:proofErr w:type="spellStart"/>
      <w:r w:rsidRPr="00062B26">
        <w:rPr>
          <w:rFonts w:cs="Arial"/>
          <w:iCs/>
          <w:color w:val="0070C0"/>
        </w:rPr>
        <w:t>m</w:t>
      </w:r>
      <w:r>
        <w:rPr>
          <w:rFonts w:cs="Arial"/>
          <w:iCs/>
          <w:color w:val="0070C0"/>
        </w:rPr>
        <w:t>L</w:t>
      </w:r>
      <w:proofErr w:type="spellEnd"/>
      <w:r w:rsidRPr="00062B26">
        <w:rPr>
          <w:rFonts w:cs="Arial"/>
          <w:iCs/>
          <w:color w:val="0070C0"/>
        </w:rPr>
        <w:t>/m</w:t>
      </w:r>
      <w:r>
        <w:rPr>
          <w:rFonts w:cs="Arial"/>
          <w:iCs/>
          <w:color w:val="0070C0"/>
        </w:rPr>
        <w:t>i</w:t>
      </w:r>
      <w:r w:rsidRPr="00062B26">
        <w:rPr>
          <w:rFonts w:cs="Arial"/>
          <w:iCs/>
          <w:color w:val="0070C0"/>
        </w:rPr>
        <w:t xml:space="preserve">n selon la formule de </w:t>
      </w:r>
      <w:r w:rsidRPr="00062B26">
        <w:rPr>
          <w:rFonts w:cs="Arial"/>
          <w:iCs/>
          <w:color w:val="0070C0"/>
          <w:u w:val="single"/>
        </w:rPr>
        <w:t>Cockcroft et Gault</w:t>
      </w:r>
      <w:r w:rsidRPr="00062B26">
        <w:rPr>
          <w:rFonts w:cs="Arial"/>
          <w:iCs/>
          <w:color w:val="0070C0"/>
        </w:rPr>
        <w:t>)</w:t>
      </w:r>
      <w:r>
        <w:rPr>
          <w:rFonts w:cs="Arial"/>
          <w:iCs/>
          <w:color w:val="0070C0"/>
        </w:rPr>
        <w:t>.</w:t>
      </w:r>
      <w:r w:rsidRPr="00062B26">
        <w:rPr>
          <w:rFonts w:cs="Arial"/>
          <w:iCs/>
          <w:color w:val="0070C0"/>
        </w:rPr>
        <w:t xml:space="preserve"> </w:t>
      </w:r>
    </w:p>
    <w:p w14:paraId="1DF98A14"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P</w:t>
      </w:r>
      <w:r w:rsidRPr="00062B26">
        <w:rPr>
          <w:rFonts w:cs="Arial"/>
          <w:iCs/>
          <w:color w:val="0070C0"/>
        </w:rPr>
        <w:t xml:space="preserve">as d’antidote (le sulfate de protamine est moins efficace avec les HBPM). </w:t>
      </w:r>
    </w:p>
    <w:p w14:paraId="0932E3F5" w14:textId="77777777" w:rsidR="003720F8" w:rsidRPr="00062B26" w:rsidRDefault="003720F8" w:rsidP="003720F8">
      <w:pPr>
        <w:widowControl w:val="0"/>
        <w:spacing w:line="276" w:lineRule="auto"/>
        <w:rPr>
          <w:rFonts w:cs="Arial"/>
          <w:b/>
          <w:bCs/>
          <w:iCs/>
          <w:color w:val="0070C0"/>
        </w:rPr>
      </w:pPr>
      <w:r>
        <w:rPr>
          <w:rFonts w:cs="Arial"/>
          <w:b/>
          <w:bCs/>
          <w:iCs/>
          <w:color w:val="0070C0"/>
        </w:rPr>
        <w:t xml:space="preserve">- </w:t>
      </w:r>
      <w:r w:rsidRPr="00062B26">
        <w:rPr>
          <w:rFonts w:cs="Arial"/>
          <w:b/>
          <w:bCs/>
          <w:iCs/>
          <w:color w:val="0070C0"/>
        </w:rPr>
        <w:t>L’HNF :</w:t>
      </w:r>
    </w:p>
    <w:p w14:paraId="005FD472"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A</w:t>
      </w:r>
      <w:r w:rsidRPr="00062B26">
        <w:rPr>
          <w:rFonts w:cs="Arial"/>
          <w:iCs/>
          <w:color w:val="0070C0"/>
        </w:rPr>
        <w:t>dministrée IVSE ou en sous-cutanée</w:t>
      </w:r>
      <w:r>
        <w:rPr>
          <w:rFonts w:cs="Arial"/>
          <w:iCs/>
          <w:color w:val="0070C0"/>
        </w:rPr>
        <w:t>.</w:t>
      </w:r>
    </w:p>
    <w:p w14:paraId="7765D3DB"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A</w:t>
      </w:r>
      <w:r w:rsidRPr="00062B26">
        <w:rPr>
          <w:rFonts w:cs="Arial"/>
          <w:iCs/>
          <w:color w:val="0070C0"/>
        </w:rPr>
        <w:t>daptation de la dose en fonction de l’</w:t>
      </w:r>
      <w:proofErr w:type="spellStart"/>
      <w:r w:rsidRPr="00062B26">
        <w:rPr>
          <w:rFonts w:cs="Arial"/>
          <w:iCs/>
          <w:color w:val="0070C0"/>
        </w:rPr>
        <w:t>anti-Xa</w:t>
      </w:r>
      <w:proofErr w:type="spellEnd"/>
      <w:r w:rsidRPr="00062B26">
        <w:rPr>
          <w:rFonts w:cs="Arial"/>
          <w:iCs/>
          <w:color w:val="0070C0"/>
        </w:rPr>
        <w:t xml:space="preserve"> (objectif entre 0,3 et 0,7</w:t>
      </w:r>
      <w:r>
        <w:rPr>
          <w:rFonts w:cs="Arial"/>
          <w:iCs/>
          <w:color w:val="0070C0"/>
        </w:rPr>
        <w:t> </w:t>
      </w:r>
      <w:r w:rsidRPr="00062B26">
        <w:rPr>
          <w:rFonts w:cs="Arial"/>
          <w:iCs/>
          <w:color w:val="0070C0"/>
        </w:rPr>
        <w:t xml:space="preserve">unités anti-facteur Xa </w:t>
      </w:r>
      <w:proofErr w:type="spellStart"/>
      <w:r>
        <w:rPr>
          <w:rFonts w:cs="Arial"/>
          <w:iCs/>
          <w:color w:val="0070C0"/>
        </w:rPr>
        <w:t>mL</w:t>
      </w:r>
      <w:proofErr w:type="spellEnd"/>
      <w:r w:rsidRPr="00062B26">
        <w:rPr>
          <w:rFonts w:cs="Arial"/>
          <w:iCs/>
          <w:color w:val="0070C0"/>
        </w:rPr>
        <w:t>) ou TCA (ratio malade/témoin : objectif entre 1,5 et 2,5)</w:t>
      </w:r>
      <w:r>
        <w:rPr>
          <w:rFonts w:cs="Arial"/>
          <w:iCs/>
          <w:color w:val="0070C0"/>
        </w:rPr>
        <w:t>.</w:t>
      </w:r>
    </w:p>
    <w:p w14:paraId="187D6C7A"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S</w:t>
      </w:r>
      <w:r w:rsidRPr="00062B26">
        <w:rPr>
          <w:rFonts w:cs="Arial"/>
          <w:iCs/>
          <w:color w:val="0070C0"/>
        </w:rPr>
        <w:t>urveillance plaquettes 2</w:t>
      </w:r>
      <w:r>
        <w:rPr>
          <w:rFonts w:cs="Arial"/>
          <w:iCs/>
          <w:color w:val="0070C0"/>
        </w:rPr>
        <w:t> </w:t>
      </w:r>
      <w:r w:rsidRPr="00062B26">
        <w:rPr>
          <w:rFonts w:cs="Arial"/>
          <w:iCs/>
          <w:color w:val="0070C0"/>
        </w:rPr>
        <w:t>fois/semaine (risque TIH)</w:t>
      </w:r>
      <w:r>
        <w:rPr>
          <w:rFonts w:cs="Arial"/>
          <w:iCs/>
          <w:color w:val="0070C0"/>
        </w:rPr>
        <w:t>.</w:t>
      </w:r>
    </w:p>
    <w:p w14:paraId="1EB7462F"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I</w:t>
      </w:r>
      <w:r w:rsidRPr="00062B26">
        <w:rPr>
          <w:rFonts w:cs="Arial"/>
          <w:iCs/>
          <w:color w:val="0070C0"/>
        </w:rPr>
        <w:t>ndiquée chez les insuffisants rénaux sévères et l’EP avec état de choc</w:t>
      </w:r>
      <w:r>
        <w:rPr>
          <w:rFonts w:cs="Arial"/>
          <w:iCs/>
          <w:color w:val="0070C0"/>
        </w:rPr>
        <w:t>.</w:t>
      </w:r>
    </w:p>
    <w:p w14:paraId="780C45F3" w14:textId="77777777" w:rsidR="003720F8" w:rsidRPr="00062B26" w:rsidRDefault="003720F8">
      <w:pPr>
        <w:widowControl w:val="0"/>
        <w:numPr>
          <w:ilvl w:val="1"/>
          <w:numId w:val="23"/>
        </w:numPr>
        <w:spacing w:line="276" w:lineRule="auto"/>
        <w:ind w:left="284" w:hanging="142"/>
        <w:rPr>
          <w:rFonts w:cs="Arial"/>
          <w:iCs/>
          <w:color w:val="0070C0"/>
        </w:rPr>
      </w:pPr>
      <w:r>
        <w:rPr>
          <w:rFonts w:cs="Arial"/>
          <w:iCs/>
          <w:color w:val="0070C0"/>
        </w:rPr>
        <w:t>L</w:t>
      </w:r>
      <w:r w:rsidRPr="00062B26">
        <w:rPr>
          <w:rFonts w:cs="Arial"/>
          <w:iCs/>
          <w:color w:val="0070C0"/>
        </w:rPr>
        <w:t>’antidote est le sulfate de protamine en IV, actif immédiatement.</w:t>
      </w:r>
    </w:p>
    <w:p w14:paraId="09E4630F" w14:textId="77777777" w:rsidR="003720F8" w:rsidRPr="00062B26" w:rsidRDefault="003720F8" w:rsidP="003720F8">
      <w:pPr>
        <w:spacing w:line="276" w:lineRule="auto"/>
        <w:rPr>
          <w:rFonts w:cs="Arial"/>
          <w:b/>
          <w:i/>
        </w:rPr>
      </w:pPr>
    </w:p>
    <w:p w14:paraId="19B8D998" w14:textId="77777777" w:rsidR="003720F8" w:rsidRPr="00062B26" w:rsidRDefault="003720F8" w:rsidP="003720F8">
      <w:pPr>
        <w:spacing w:line="276" w:lineRule="auto"/>
        <w:rPr>
          <w:rFonts w:cs="Arial"/>
          <w:bCs/>
          <w:iCs/>
          <w:color w:val="0070C0"/>
        </w:rPr>
      </w:pPr>
      <w:r w:rsidRPr="00062B26">
        <w:rPr>
          <w:rFonts w:cs="Arial"/>
          <w:b/>
          <w:iCs/>
          <w:color w:val="0070C0"/>
        </w:rPr>
        <w:t>Relais Antivitamine K précoce</w:t>
      </w:r>
      <w:r>
        <w:rPr>
          <w:rFonts w:cs="Arial"/>
          <w:b/>
          <w:iCs/>
          <w:color w:val="0070C0"/>
        </w:rPr>
        <w:t> :</w:t>
      </w:r>
    </w:p>
    <w:p w14:paraId="638056F6" w14:textId="77777777" w:rsidR="003720F8" w:rsidRPr="00062B26" w:rsidRDefault="003720F8" w:rsidP="003720F8">
      <w:pPr>
        <w:spacing w:line="276" w:lineRule="auto"/>
        <w:rPr>
          <w:rFonts w:cs="Arial"/>
          <w:iCs/>
          <w:color w:val="0070C0"/>
        </w:rPr>
      </w:pPr>
      <w:r>
        <w:rPr>
          <w:rFonts w:cs="Arial"/>
          <w:iCs/>
          <w:color w:val="0070C0"/>
        </w:rPr>
        <w:t xml:space="preserve">- </w:t>
      </w:r>
      <w:r w:rsidRPr="00062B26">
        <w:rPr>
          <w:rFonts w:cs="Arial"/>
          <w:iCs/>
          <w:color w:val="0070C0"/>
        </w:rPr>
        <w:t>L’AVK de référence, recommandé en 1</w:t>
      </w:r>
      <w:r w:rsidRPr="00062B26">
        <w:rPr>
          <w:rFonts w:cs="Arial"/>
          <w:iCs/>
          <w:color w:val="0070C0"/>
          <w:vertAlign w:val="superscript"/>
        </w:rPr>
        <w:t>re</w:t>
      </w:r>
      <w:r w:rsidRPr="00062B26">
        <w:rPr>
          <w:rFonts w:cs="Arial"/>
          <w:iCs/>
          <w:color w:val="0070C0"/>
        </w:rPr>
        <w:t xml:space="preserve"> intention, est la </w:t>
      </w:r>
      <w:r w:rsidRPr="00062B26">
        <w:rPr>
          <w:rFonts w:cs="Arial"/>
          <w:b/>
          <w:iCs/>
          <w:color w:val="0070C0"/>
        </w:rPr>
        <w:t>warfarine.</w:t>
      </w:r>
    </w:p>
    <w:p w14:paraId="4D9504CA" w14:textId="77777777" w:rsidR="003720F8" w:rsidRPr="00062B26" w:rsidRDefault="003720F8" w:rsidP="003720F8">
      <w:pPr>
        <w:spacing w:line="276" w:lineRule="auto"/>
        <w:rPr>
          <w:rFonts w:cs="Arial"/>
          <w:iCs/>
          <w:color w:val="0070C0"/>
        </w:rPr>
      </w:pPr>
      <w:r>
        <w:rPr>
          <w:rFonts w:cs="Arial"/>
          <w:iCs/>
          <w:color w:val="0070C0"/>
        </w:rPr>
        <w:t xml:space="preserve">- </w:t>
      </w:r>
      <w:r w:rsidRPr="00062B26">
        <w:rPr>
          <w:rFonts w:cs="Arial"/>
          <w:iCs/>
          <w:color w:val="0070C0"/>
        </w:rPr>
        <w:t>Il est interdit d’initier un traitement par fluindione (réactions immuno-allergiques + fréquentes)</w:t>
      </w:r>
    </w:p>
    <w:p w14:paraId="68E5A906" w14:textId="4F1AD938" w:rsidR="003720F8" w:rsidRPr="00062B26" w:rsidRDefault="003720F8" w:rsidP="003720F8">
      <w:pPr>
        <w:spacing w:line="276" w:lineRule="auto"/>
        <w:rPr>
          <w:rFonts w:cs="Arial"/>
          <w:iCs/>
          <w:color w:val="0070C0"/>
        </w:rPr>
      </w:pPr>
      <w:r>
        <w:rPr>
          <w:rFonts w:cs="Arial"/>
          <w:iCs/>
          <w:color w:val="0070C0"/>
        </w:rPr>
        <w:t xml:space="preserve">- </w:t>
      </w:r>
      <w:r w:rsidRPr="00062B26">
        <w:rPr>
          <w:rFonts w:cs="Arial"/>
          <w:iCs/>
          <w:color w:val="0070C0"/>
        </w:rPr>
        <w:t xml:space="preserve">L’AVK est débuté en même temps que le traitement injectable dans la </w:t>
      </w:r>
      <w:r w:rsidR="0026545F">
        <w:rPr>
          <w:rFonts w:cs="Arial"/>
          <w:iCs/>
          <w:color w:val="0070C0"/>
        </w:rPr>
        <w:t>MTEV</w:t>
      </w:r>
      <w:r w:rsidRPr="00062B26">
        <w:rPr>
          <w:rFonts w:cs="Arial"/>
          <w:iCs/>
          <w:color w:val="0070C0"/>
        </w:rPr>
        <w:t xml:space="preserve"> non grave.</w:t>
      </w:r>
    </w:p>
    <w:p w14:paraId="4D923DBF" w14:textId="77777777" w:rsidR="003720F8" w:rsidRPr="00062B26" w:rsidRDefault="003720F8" w:rsidP="003720F8">
      <w:pPr>
        <w:spacing w:line="276" w:lineRule="auto"/>
        <w:rPr>
          <w:rFonts w:cs="Arial"/>
          <w:iCs/>
          <w:color w:val="0070C0"/>
        </w:rPr>
      </w:pPr>
      <w:r>
        <w:rPr>
          <w:rFonts w:cs="Arial"/>
          <w:iCs/>
          <w:color w:val="0070C0"/>
        </w:rPr>
        <w:t xml:space="preserve">- </w:t>
      </w:r>
      <w:r w:rsidRPr="00062B26">
        <w:rPr>
          <w:rFonts w:cs="Arial"/>
          <w:iCs/>
          <w:color w:val="0070C0"/>
        </w:rPr>
        <w:t xml:space="preserve">L’effet anticoagulant est mesuré par l’INR (International </w:t>
      </w:r>
      <w:proofErr w:type="spellStart"/>
      <w:r w:rsidRPr="00062B26">
        <w:rPr>
          <w:rFonts w:cs="Arial"/>
          <w:iCs/>
          <w:color w:val="0070C0"/>
        </w:rPr>
        <w:t>Normalized</w:t>
      </w:r>
      <w:proofErr w:type="spellEnd"/>
      <w:r w:rsidRPr="00062B26">
        <w:rPr>
          <w:rFonts w:cs="Arial"/>
          <w:iCs/>
          <w:color w:val="0070C0"/>
        </w:rPr>
        <w:t xml:space="preserve"> Ratio) qui doit être compris </w:t>
      </w:r>
      <w:r w:rsidRPr="00062B26">
        <w:rPr>
          <w:rFonts w:cs="Arial"/>
          <w:b/>
          <w:iCs/>
          <w:color w:val="0070C0"/>
        </w:rPr>
        <w:t>entre 2 et 3</w:t>
      </w:r>
      <w:r w:rsidRPr="00062B26">
        <w:rPr>
          <w:rFonts w:cs="Arial"/>
          <w:iCs/>
          <w:color w:val="0070C0"/>
        </w:rPr>
        <w:t xml:space="preserve">. </w:t>
      </w:r>
    </w:p>
    <w:p w14:paraId="7E5797CF" w14:textId="77777777" w:rsidR="003720F8" w:rsidRPr="00062B26" w:rsidRDefault="003720F8" w:rsidP="003720F8">
      <w:pPr>
        <w:spacing w:line="276" w:lineRule="auto"/>
        <w:rPr>
          <w:rFonts w:cs="Arial"/>
          <w:iCs/>
          <w:color w:val="0070C0"/>
        </w:rPr>
      </w:pPr>
      <w:r>
        <w:rPr>
          <w:rFonts w:cs="Arial"/>
          <w:iCs/>
          <w:color w:val="0070C0"/>
        </w:rPr>
        <w:lastRenderedPageBreak/>
        <w:t xml:space="preserve">- </w:t>
      </w:r>
      <w:r w:rsidRPr="00062B26">
        <w:rPr>
          <w:rFonts w:cs="Arial"/>
          <w:iCs/>
          <w:color w:val="0070C0"/>
        </w:rPr>
        <w:t>L’effet des AVK étant progressif, il faut poursuivre les traitements injectables tant que l’INR n’est pas dans la cible thérapeutique.</w:t>
      </w:r>
    </w:p>
    <w:p w14:paraId="0167CEB9" w14:textId="77777777" w:rsidR="003720F8" w:rsidRPr="00062B26" w:rsidRDefault="003720F8" w:rsidP="003720F8">
      <w:pPr>
        <w:spacing w:line="276" w:lineRule="auto"/>
        <w:rPr>
          <w:rFonts w:cs="Arial"/>
          <w:b/>
          <w:bCs/>
          <w:i/>
        </w:rPr>
      </w:pPr>
    </w:p>
    <w:p w14:paraId="06723FB1" w14:textId="77777777" w:rsidR="003720F8" w:rsidRPr="00062B26" w:rsidRDefault="003720F8" w:rsidP="003720F8">
      <w:pPr>
        <w:spacing w:line="276" w:lineRule="auto"/>
        <w:rPr>
          <w:rFonts w:cs="Arial"/>
          <w:iCs/>
          <w:color w:val="0070C0"/>
        </w:rPr>
      </w:pPr>
      <w:r w:rsidRPr="00062B26">
        <w:rPr>
          <w:rFonts w:cs="Arial"/>
          <w:iCs/>
          <w:color w:val="0070C0"/>
        </w:rPr>
        <w:t>Le traitement injectable est stoppé si et seulement si 2</w:t>
      </w:r>
      <w:r>
        <w:rPr>
          <w:rFonts w:cs="Arial"/>
          <w:iCs/>
          <w:color w:val="0070C0"/>
        </w:rPr>
        <w:t> </w:t>
      </w:r>
      <w:r w:rsidRPr="00062B26">
        <w:rPr>
          <w:rFonts w:cs="Arial"/>
          <w:iCs/>
          <w:color w:val="0070C0"/>
        </w:rPr>
        <w:t>conditions sont obtenues :</w:t>
      </w:r>
    </w:p>
    <w:p w14:paraId="68020A6B" w14:textId="77777777" w:rsidR="003720F8" w:rsidRPr="00062B26" w:rsidRDefault="003720F8" w:rsidP="003720F8">
      <w:pPr>
        <w:spacing w:line="276" w:lineRule="auto"/>
        <w:rPr>
          <w:rFonts w:cs="Arial"/>
          <w:iCs/>
          <w:color w:val="0070C0"/>
        </w:rPr>
      </w:pPr>
      <w:r>
        <w:rPr>
          <w:rFonts w:cs="Arial"/>
          <w:iCs/>
          <w:color w:val="0070C0"/>
        </w:rPr>
        <w:t xml:space="preserve">- </w:t>
      </w:r>
      <w:r w:rsidRPr="00062B26">
        <w:rPr>
          <w:rFonts w:cs="Arial"/>
          <w:iCs/>
          <w:color w:val="0070C0"/>
        </w:rPr>
        <w:t>5 jours minimum de chevauchement entre AVK et traitement anticoagulant injectable, ET</w:t>
      </w:r>
    </w:p>
    <w:p w14:paraId="31569B26" w14:textId="77777777" w:rsidR="003720F8" w:rsidRPr="00062B26" w:rsidRDefault="003720F8" w:rsidP="003720F8">
      <w:pPr>
        <w:spacing w:line="276" w:lineRule="auto"/>
        <w:rPr>
          <w:rFonts w:cs="Arial"/>
          <w:iCs/>
          <w:color w:val="0070C0"/>
        </w:rPr>
      </w:pPr>
      <w:r>
        <w:rPr>
          <w:rFonts w:cs="Arial"/>
          <w:iCs/>
          <w:color w:val="0070C0"/>
        </w:rPr>
        <w:t xml:space="preserve">- </w:t>
      </w:r>
      <w:r w:rsidRPr="00062B26">
        <w:rPr>
          <w:rFonts w:cs="Arial"/>
          <w:iCs/>
          <w:color w:val="0070C0"/>
        </w:rPr>
        <w:t>2 INR entre 2 et 3 à 24</w:t>
      </w:r>
      <w:r>
        <w:rPr>
          <w:rFonts w:cs="Arial"/>
          <w:iCs/>
          <w:color w:val="0070C0"/>
        </w:rPr>
        <w:t> </w:t>
      </w:r>
      <w:r w:rsidRPr="00062B26">
        <w:rPr>
          <w:rFonts w:cs="Arial"/>
          <w:iCs/>
          <w:color w:val="0070C0"/>
        </w:rPr>
        <w:t>h d’intervalle.</w:t>
      </w:r>
    </w:p>
    <w:p w14:paraId="628AC716" w14:textId="77777777" w:rsidR="003720F8" w:rsidRPr="00062B26" w:rsidRDefault="003720F8" w:rsidP="003720F8">
      <w:pPr>
        <w:spacing w:line="276" w:lineRule="auto"/>
        <w:rPr>
          <w:rFonts w:cs="Arial"/>
          <w:i/>
        </w:rPr>
      </w:pPr>
    </w:p>
    <w:p w14:paraId="01047F5F" w14:textId="77777777" w:rsidR="003720F8" w:rsidRPr="00062B26" w:rsidRDefault="003720F8" w:rsidP="003720F8">
      <w:pPr>
        <w:spacing w:line="276" w:lineRule="auto"/>
        <w:rPr>
          <w:rFonts w:cs="Arial"/>
          <w:iCs/>
          <w:color w:val="0070C0"/>
        </w:rPr>
      </w:pPr>
      <w:r w:rsidRPr="00062B26">
        <w:rPr>
          <w:rFonts w:cs="Arial"/>
          <w:iCs/>
          <w:color w:val="0070C0"/>
        </w:rPr>
        <w:t>Inconvénients des AVK :</w:t>
      </w:r>
    </w:p>
    <w:p w14:paraId="249713F7" w14:textId="77777777" w:rsidR="003720F8" w:rsidRDefault="003720F8" w:rsidP="003720F8">
      <w:pPr>
        <w:widowControl w:val="0"/>
        <w:spacing w:line="276" w:lineRule="auto"/>
        <w:rPr>
          <w:rFonts w:cs="Arial"/>
          <w:iCs/>
          <w:color w:val="0070C0"/>
        </w:rPr>
      </w:pPr>
      <w:r>
        <w:rPr>
          <w:rFonts w:cs="Arial"/>
          <w:iCs/>
          <w:color w:val="0070C0"/>
        </w:rPr>
        <w:t>- N</w:t>
      </w:r>
      <w:r w:rsidRPr="00062B26">
        <w:rPr>
          <w:rFonts w:cs="Arial"/>
          <w:iCs/>
          <w:color w:val="0070C0"/>
        </w:rPr>
        <w:t>écessité de réaliser des dosages de l’INR</w:t>
      </w:r>
      <w:r>
        <w:rPr>
          <w:rFonts w:cs="Arial"/>
          <w:iCs/>
          <w:color w:val="0070C0"/>
        </w:rPr>
        <w:t>.</w:t>
      </w:r>
    </w:p>
    <w:p w14:paraId="52E5A3E7" w14:textId="77777777" w:rsidR="003720F8" w:rsidRDefault="003720F8" w:rsidP="003720F8">
      <w:pPr>
        <w:widowControl w:val="0"/>
        <w:spacing w:line="276" w:lineRule="auto"/>
        <w:rPr>
          <w:rFonts w:cs="Arial"/>
          <w:iCs/>
          <w:color w:val="0070C0"/>
        </w:rPr>
      </w:pPr>
      <w:r>
        <w:rPr>
          <w:rFonts w:cs="Arial"/>
          <w:iCs/>
          <w:color w:val="0070C0"/>
        </w:rPr>
        <w:t>- I</w:t>
      </w:r>
      <w:r w:rsidRPr="00062B26">
        <w:rPr>
          <w:rFonts w:cs="Arial"/>
          <w:iCs/>
          <w:color w:val="0070C0"/>
        </w:rPr>
        <w:t>nteractions médicamenteuses</w:t>
      </w:r>
      <w:r>
        <w:rPr>
          <w:rFonts w:cs="Arial"/>
          <w:iCs/>
          <w:color w:val="0070C0"/>
        </w:rPr>
        <w:t>.</w:t>
      </w:r>
    </w:p>
    <w:p w14:paraId="4ECDAA99" w14:textId="77777777" w:rsidR="003720F8" w:rsidRPr="0006272B" w:rsidRDefault="003720F8" w:rsidP="003720F8">
      <w:pPr>
        <w:widowControl w:val="0"/>
        <w:spacing w:line="276" w:lineRule="auto"/>
        <w:rPr>
          <w:rFonts w:cs="Arial"/>
          <w:iCs/>
          <w:color w:val="0070C0"/>
        </w:rPr>
      </w:pPr>
      <w:r>
        <w:rPr>
          <w:rFonts w:cs="Arial"/>
          <w:iCs/>
          <w:color w:val="0070C0"/>
        </w:rPr>
        <w:t>- F</w:t>
      </w:r>
      <w:r w:rsidRPr="00062B26">
        <w:rPr>
          <w:rFonts w:cs="Arial"/>
          <w:iCs/>
          <w:color w:val="0070C0"/>
        </w:rPr>
        <w:t>enêtre thérapeutique étroite : efficaces seulement si INR entre 2 et 3.</w:t>
      </w:r>
    </w:p>
    <w:p w14:paraId="4316914A" w14:textId="77777777" w:rsidR="003720F8" w:rsidRPr="00062B26" w:rsidRDefault="003720F8" w:rsidP="003720F8">
      <w:pPr>
        <w:spacing w:line="276" w:lineRule="auto"/>
        <w:rPr>
          <w:rFonts w:cs="Arial"/>
          <w:iCs/>
          <w:noProof/>
          <w:color w:val="0070C0"/>
        </w:rPr>
      </w:pPr>
    </w:p>
    <w:p w14:paraId="53D09853" w14:textId="77777777" w:rsidR="003720F8" w:rsidRPr="004278AD" w:rsidRDefault="003720F8" w:rsidP="004278AD">
      <w:pPr>
        <w:pStyle w:val="lgende"/>
        <w:rPr>
          <w:noProof/>
          <w:color w:val="0070C0"/>
        </w:rPr>
      </w:pPr>
      <w:r w:rsidRPr="004278AD">
        <w:rPr>
          <w:noProof/>
          <w:color w:val="0070C0"/>
        </w:rPr>
        <w:t>Tableau 6 : Risque hémorragique sous antivitamine K.</w:t>
      </w:r>
    </w:p>
    <w:tbl>
      <w:tblPr>
        <w:tblW w:w="0" w:type="auto"/>
        <w:tblInd w:w="39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1E0" w:firstRow="1" w:lastRow="1" w:firstColumn="1" w:lastColumn="1" w:noHBand="0" w:noVBand="0"/>
      </w:tblPr>
      <w:tblGrid>
        <w:gridCol w:w="8221"/>
      </w:tblGrid>
      <w:tr w:rsidR="003720F8" w:rsidRPr="004278AD" w14:paraId="6F4B2FFF" w14:textId="77777777" w:rsidTr="004278AD">
        <w:tc>
          <w:tcPr>
            <w:tcW w:w="8221" w:type="dxa"/>
            <w:shd w:val="clear" w:color="auto" w:fill="D1D1D1" w:themeFill="background2" w:themeFillShade="E6"/>
          </w:tcPr>
          <w:p w14:paraId="04709D32" w14:textId="77777777" w:rsidR="003720F8" w:rsidRPr="004278AD" w:rsidRDefault="003720F8" w:rsidP="003720F8">
            <w:pPr>
              <w:spacing w:line="276" w:lineRule="auto"/>
              <w:jc w:val="center"/>
              <w:rPr>
                <w:rFonts w:ascii="Calibri" w:hAnsi="Calibri" w:cs="Calibri"/>
                <w:b/>
                <w:bCs/>
                <w:iCs/>
                <w:noProof/>
                <w:color w:val="000000" w:themeColor="text1"/>
                <w:szCs w:val="22"/>
              </w:rPr>
            </w:pPr>
            <w:r w:rsidRPr="004278AD">
              <w:rPr>
                <w:rFonts w:ascii="Calibri" w:hAnsi="Calibri" w:cs="Calibri"/>
                <w:b/>
                <w:bCs/>
                <w:iCs/>
                <w:noProof/>
                <w:color w:val="000000" w:themeColor="text1"/>
                <w:szCs w:val="22"/>
              </w:rPr>
              <w:t>Facteurs majeurs</w:t>
            </w:r>
          </w:p>
        </w:tc>
      </w:tr>
      <w:tr w:rsidR="003720F8" w:rsidRPr="004278AD" w14:paraId="0272E824" w14:textId="77777777" w:rsidTr="00F44AC4">
        <w:tc>
          <w:tcPr>
            <w:tcW w:w="8221" w:type="dxa"/>
          </w:tcPr>
          <w:p w14:paraId="327D499E"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Âge &gt; 75 ans</w:t>
            </w:r>
          </w:p>
          <w:p w14:paraId="0B7DEF2B"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Antécédent d’hémorragie digestive</w:t>
            </w:r>
          </w:p>
          <w:p w14:paraId="794D0402"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Accident vasculaire cérébral</w:t>
            </w:r>
          </w:p>
          <w:p w14:paraId="1A9FB432"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Alcoolisme chronique</w:t>
            </w:r>
          </w:p>
          <w:p w14:paraId="7BD09231"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Diabète</w:t>
            </w:r>
          </w:p>
          <w:p w14:paraId="0B854C34"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Prise concomitante d’antiagrégants</w:t>
            </w:r>
          </w:p>
          <w:p w14:paraId="13C917AC" w14:textId="77777777" w:rsidR="003720F8" w:rsidRPr="004278AD" w:rsidRDefault="003720F8" w:rsidP="003720F8">
            <w:pPr>
              <w:tabs>
                <w:tab w:val="center" w:pos="4536"/>
                <w:tab w:val="right" w:pos="9072"/>
              </w:tabs>
              <w:spacing w:line="276" w:lineRule="auto"/>
              <w:rPr>
                <w:rFonts w:ascii="Calibri" w:hAnsi="Calibri" w:cs="Calibri"/>
                <w:iCs/>
                <w:noProof/>
                <w:color w:val="0070C0"/>
                <w:szCs w:val="22"/>
              </w:rPr>
            </w:pPr>
            <w:r w:rsidRPr="004278AD">
              <w:rPr>
                <w:rFonts w:ascii="Calibri" w:hAnsi="Calibri" w:cs="Calibri"/>
                <w:iCs/>
                <w:noProof/>
                <w:color w:val="0070C0"/>
                <w:szCs w:val="22"/>
              </w:rPr>
              <w:t>- Insuffisance rénale</w:t>
            </w:r>
          </w:p>
          <w:p w14:paraId="249DDE7A"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AVK mal équilibré</w:t>
            </w:r>
          </w:p>
          <w:p w14:paraId="576CC29D" w14:textId="77777777" w:rsidR="003720F8" w:rsidRPr="004278AD" w:rsidRDefault="003720F8" w:rsidP="003720F8">
            <w:pPr>
              <w:spacing w:line="276" w:lineRule="auto"/>
              <w:rPr>
                <w:rFonts w:ascii="Calibri" w:hAnsi="Calibri" w:cs="Calibri"/>
                <w:iCs/>
                <w:noProof/>
                <w:color w:val="0070C0"/>
                <w:szCs w:val="22"/>
              </w:rPr>
            </w:pPr>
            <w:r w:rsidRPr="004278AD">
              <w:rPr>
                <w:rFonts w:ascii="Calibri" w:hAnsi="Calibri" w:cs="Calibri"/>
                <w:iCs/>
                <w:noProof/>
                <w:color w:val="0070C0"/>
                <w:szCs w:val="22"/>
              </w:rPr>
              <w:t>- Polymorphismes sur le cytochrome P450</w:t>
            </w:r>
          </w:p>
        </w:tc>
      </w:tr>
    </w:tbl>
    <w:p w14:paraId="0D405E29" w14:textId="77777777" w:rsidR="003720F8" w:rsidRPr="00062B26" w:rsidRDefault="003720F8" w:rsidP="003720F8">
      <w:pPr>
        <w:spacing w:line="276" w:lineRule="auto"/>
        <w:rPr>
          <w:rFonts w:cs="Arial"/>
          <w:i/>
        </w:rPr>
      </w:pPr>
    </w:p>
    <w:p w14:paraId="7968FD65" w14:textId="77777777" w:rsidR="003720F8" w:rsidRPr="0006272B" w:rsidRDefault="003720F8" w:rsidP="004278AD">
      <w:pPr>
        <w:pStyle w:val="Titre4"/>
      </w:pPr>
      <w:r w:rsidRPr="00062B26">
        <w:t>Éducation thérapeutique sous anticoagulants</w:t>
      </w:r>
    </w:p>
    <w:p w14:paraId="4BCE0CDC" w14:textId="77777777" w:rsidR="003720F8" w:rsidRPr="00062B26" w:rsidRDefault="003720F8" w:rsidP="003720F8">
      <w:pPr>
        <w:spacing w:line="276" w:lineRule="auto"/>
        <w:rPr>
          <w:rFonts w:cs="Arial"/>
          <w:bCs/>
          <w:iCs/>
          <w:color w:val="0070C0"/>
        </w:rPr>
      </w:pPr>
      <w:r w:rsidRPr="00062B26">
        <w:rPr>
          <w:rFonts w:cs="Arial"/>
          <w:b/>
          <w:bCs/>
          <w:iCs/>
          <w:color w:val="0070C0"/>
        </w:rPr>
        <w:t>Une éducation du patient est toujours obligatoire</w:t>
      </w:r>
      <w:r>
        <w:rPr>
          <w:rFonts w:cs="Arial"/>
          <w:b/>
          <w:bCs/>
          <w:iCs/>
          <w:color w:val="0070C0"/>
        </w:rPr>
        <w:t> </w:t>
      </w:r>
      <w:r w:rsidRPr="00062B26">
        <w:rPr>
          <w:rFonts w:cs="Arial"/>
          <w:bCs/>
          <w:iCs/>
          <w:color w:val="0070C0"/>
        </w:rPr>
        <w:t>:</w:t>
      </w:r>
    </w:p>
    <w:p w14:paraId="3AD02452" w14:textId="701D4EAA" w:rsidR="003720F8" w:rsidRDefault="003720F8" w:rsidP="003720F8">
      <w:pPr>
        <w:spacing w:line="276" w:lineRule="auto"/>
        <w:rPr>
          <w:rFonts w:cs="Arial"/>
          <w:bCs/>
          <w:iCs/>
          <w:color w:val="0070C0"/>
        </w:rPr>
      </w:pPr>
      <w:r>
        <w:rPr>
          <w:rFonts w:cs="Arial"/>
          <w:bCs/>
          <w:iCs/>
          <w:color w:val="0070C0"/>
        </w:rPr>
        <w:t>- L</w:t>
      </w:r>
      <w:r w:rsidRPr="0006272B">
        <w:rPr>
          <w:rFonts w:cs="Arial"/>
          <w:bCs/>
          <w:iCs/>
          <w:color w:val="0070C0"/>
        </w:rPr>
        <w:t xml:space="preserve">es signes de récidive de </w:t>
      </w:r>
      <w:r w:rsidR="0026545F">
        <w:rPr>
          <w:rFonts w:cs="Arial"/>
          <w:bCs/>
          <w:iCs/>
          <w:color w:val="0070C0"/>
        </w:rPr>
        <w:t>MTEV</w:t>
      </w:r>
      <w:r w:rsidRPr="0006272B">
        <w:rPr>
          <w:rFonts w:cs="Arial"/>
          <w:bCs/>
          <w:iCs/>
          <w:color w:val="0070C0"/>
        </w:rPr>
        <w:t xml:space="preserve"> et les signes hémorragiques sous anticoagulants</w:t>
      </w:r>
      <w:r>
        <w:rPr>
          <w:rFonts w:cs="Arial"/>
          <w:bCs/>
          <w:iCs/>
          <w:color w:val="0070C0"/>
        </w:rPr>
        <w:t>.</w:t>
      </w:r>
    </w:p>
    <w:p w14:paraId="5E0E33CE" w14:textId="77777777" w:rsidR="003720F8" w:rsidRDefault="003720F8" w:rsidP="003720F8">
      <w:pPr>
        <w:spacing w:line="276" w:lineRule="auto"/>
        <w:rPr>
          <w:rFonts w:cs="Arial"/>
          <w:bCs/>
          <w:iCs/>
          <w:color w:val="0070C0"/>
        </w:rPr>
      </w:pPr>
      <w:r>
        <w:rPr>
          <w:rFonts w:cs="Arial"/>
          <w:bCs/>
          <w:iCs/>
          <w:color w:val="0070C0"/>
        </w:rPr>
        <w:t>- L</w:t>
      </w:r>
      <w:r w:rsidRPr="0006272B">
        <w:rPr>
          <w:rFonts w:cs="Arial"/>
          <w:bCs/>
          <w:iCs/>
          <w:color w:val="0070C0"/>
        </w:rPr>
        <w:t>’observance</w:t>
      </w:r>
      <w:r>
        <w:rPr>
          <w:rFonts w:cs="Arial"/>
          <w:bCs/>
          <w:iCs/>
          <w:color w:val="0070C0"/>
        </w:rPr>
        <w:t>.</w:t>
      </w:r>
    </w:p>
    <w:p w14:paraId="61E653C1" w14:textId="77777777" w:rsidR="003720F8" w:rsidRDefault="003720F8" w:rsidP="003720F8">
      <w:pPr>
        <w:spacing w:line="276" w:lineRule="auto"/>
        <w:rPr>
          <w:rFonts w:cs="Arial"/>
          <w:bCs/>
          <w:iCs/>
          <w:color w:val="0070C0"/>
        </w:rPr>
      </w:pPr>
      <w:r>
        <w:rPr>
          <w:rFonts w:cs="Arial"/>
          <w:bCs/>
          <w:iCs/>
          <w:color w:val="0070C0"/>
        </w:rPr>
        <w:t>- L</w:t>
      </w:r>
      <w:r w:rsidRPr="0006272B">
        <w:rPr>
          <w:rFonts w:cs="Arial"/>
          <w:bCs/>
          <w:iCs/>
          <w:color w:val="0070C0"/>
        </w:rPr>
        <w:t>es interactions médicamenteuse</w:t>
      </w:r>
      <w:r>
        <w:rPr>
          <w:rFonts w:cs="Arial"/>
          <w:bCs/>
          <w:iCs/>
          <w:color w:val="0070C0"/>
        </w:rPr>
        <w:t>s.</w:t>
      </w:r>
    </w:p>
    <w:p w14:paraId="5C27FEDC" w14:textId="77777777" w:rsidR="003720F8" w:rsidRDefault="003720F8" w:rsidP="003720F8">
      <w:pPr>
        <w:spacing w:line="276" w:lineRule="auto"/>
        <w:rPr>
          <w:rFonts w:cs="Arial"/>
          <w:bCs/>
          <w:iCs/>
          <w:color w:val="0070C0"/>
        </w:rPr>
      </w:pPr>
      <w:r>
        <w:rPr>
          <w:rFonts w:cs="Arial"/>
          <w:bCs/>
          <w:iCs/>
          <w:color w:val="0070C0"/>
        </w:rPr>
        <w:t>- L</w:t>
      </w:r>
      <w:r w:rsidRPr="0006272B">
        <w:rPr>
          <w:rFonts w:cs="Arial"/>
          <w:bCs/>
          <w:iCs/>
          <w:color w:val="0070C0"/>
        </w:rPr>
        <w:t>a contre-indication à l’automédication (aspirine et AINS)</w:t>
      </w:r>
      <w:r>
        <w:rPr>
          <w:rFonts w:cs="Arial"/>
          <w:bCs/>
          <w:iCs/>
          <w:color w:val="0070C0"/>
        </w:rPr>
        <w:t>.</w:t>
      </w:r>
    </w:p>
    <w:p w14:paraId="05691F68" w14:textId="77777777" w:rsidR="003720F8" w:rsidRDefault="003720F8" w:rsidP="003720F8">
      <w:pPr>
        <w:spacing w:line="276" w:lineRule="auto"/>
        <w:rPr>
          <w:rFonts w:cs="Arial"/>
          <w:bCs/>
          <w:iCs/>
          <w:color w:val="0070C0"/>
        </w:rPr>
      </w:pPr>
      <w:r>
        <w:rPr>
          <w:rFonts w:cs="Arial"/>
          <w:bCs/>
          <w:iCs/>
          <w:color w:val="0070C0"/>
        </w:rPr>
        <w:t>- L</w:t>
      </w:r>
      <w:r w:rsidRPr="0006272B">
        <w:rPr>
          <w:rFonts w:cs="Arial"/>
          <w:bCs/>
          <w:iCs/>
          <w:color w:val="0070C0"/>
        </w:rPr>
        <w:t>a remise d’une carte précisant le type et l’indication du traitement anticoagulant</w:t>
      </w:r>
      <w:r>
        <w:rPr>
          <w:rFonts w:cs="Arial"/>
          <w:bCs/>
          <w:iCs/>
          <w:color w:val="0070C0"/>
        </w:rPr>
        <w:t>.</w:t>
      </w:r>
    </w:p>
    <w:p w14:paraId="2CE69852" w14:textId="77777777" w:rsidR="003720F8" w:rsidRPr="0006272B" w:rsidRDefault="003720F8" w:rsidP="003720F8">
      <w:pPr>
        <w:spacing w:line="276" w:lineRule="auto"/>
        <w:rPr>
          <w:rFonts w:cs="Arial"/>
          <w:bCs/>
          <w:iCs/>
          <w:color w:val="0070C0"/>
        </w:rPr>
      </w:pPr>
      <w:r>
        <w:rPr>
          <w:rFonts w:cs="Arial"/>
          <w:bCs/>
          <w:iCs/>
          <w:color w:val="0070C0"/>
        </w:rPr>
        <w:t>- L</w:t>
      </w:r>
      <w:r w:rsidRPr="0006272B">
        <w:rPr>
          <w:rFonts w:cs="Arial"/>
          <w:bCs/>
          <w:iCs/>
          <w:color w:val="0070C0"/>
        </w:rPr>
        <w:t>’information du médecin traitant et tout autre professionnel de santé impliqué sur le traitement anticoagulant prescrit.</w:t>
      </w:r>
    </w:p>
    <w:p w14:paraId="256E5CD4" w14:textId="77777777" w:rsidR="003720F8" w:rsidRPr="0006272B" w:rsidRDefault="003720F8" w:rsidP="003720F8">
      <w:pPr>
        <w:spacing w:line="276" w:lineRule="auto"/>
        <w:rPr>
          <w:rFonts w:cs="Arial"/>
          <w:b/>
          <w:iCs/>
          <w:color w:val="0070C0"/>
        </w:rPr>
      </w:pPr>
      <w:r>
        <w:rPr>
          <w:rFonts w:cs="Arial"/>
          <w:iCs/>
          <w:color w:val="0070C0"/>
        </w:rPr>
        <w:t xml:space="preserve">- </w:t>
      </w:r>
      <w:r w:rsidRPr="0006272B">
        <w:rPr>
          <w:rFonts w:cs="Arial"/>
          <w:iCs/>
          <w:color w:val="0070C0"/>
        </w:rPr>
        <w:t>Si AVK : surveillance de l’INR (INR cible, périodicité des contrôles, carnet de surveillance).</w:t>
      </w:r>
    </w:p>
    <w:p w14:paraId="15EBFF18" w14:textId="77777777" w:rsidR="003720F8" w:rsidRPr="0006272B" w:rsidRDefault="003720F8" w:rsidP="003720F8">
      <w:pPr>
        <w:spacing w:line="276" w:lineRule="auto"/>
        <w:rPr>
          <w:rFonts w:cs="Arial"/>
          <w:b/>
          <w:iCs/>
          <w:color w:val="0070C0"/>
        </w:rPr>
      </w:pPr>
      <w:r>
        <w:rPr>
          <w:rFonts w:cs="Arial"/>
          <w:iCs/>
          <w:color w:val="0070C0"/>
        </w:rPr>
        <w:t xml:space="preserve">- </w:t>
      </w:r>
      <w:r w:rsidRPr="0006272B">
        <w:rPr>
          <w:rFonts w:cs="Arial"/>
          <w:iCs/>
          <w:color w:val="0070C0"/>
        </w:rPr>
        <w:t>Les patients sous AVK ne doivent pas faire de régime alimentaire particulier.</w:t>
      </w:r>
    </w:p>
    <w:p w14:paraId="19A5F98A" w14:textId="77777777" w:rsidR="003720F8" w:rsidRDefault="003720F8" w:rsidP="003720F8">
      <w:pPr>
        <w:spacing w:line="276" w:lineRule="auto"/>
        <w:rPr>
          <w:rFonts w:cs="Arial"/>
          <w:b/>
          <w:iCs/>
          <w:color w:val="0070C0"/>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3720F8" w14:paraId="3AD071E5" w14:textId="77777777" w:rsidTr="00F44AC4">
        <w:tc>
          <w:tcPr>
            <w:tcW w:w="9628" w:type="dxa"/>
          </w:tcPr>
          <w:p w14:paraId="0F62D0FE" w14:textId="56322E56" w:rsidR="003720F8" w:rsidRDefault="00C8767D" w:rsidP="003720F8">
            <w:pPr>
              <w:spacing w:line="276" w:lineRule="auto"/>
              <w:rPr>
                <w:rFonts w:cs="Arial"/>
                <w:bCs/>
                <w:iCs/>
                <w:color w:val="000000" w:themeColor="text1"/>
              </w:rPr>
            </w:pPr>
            <w:r w:rsidRPr="00062B26">
              <w:rPr>
                <w:noProof/>
                <w:sz w:val="18"/>
              </w:rPr>
              <w:lastRenderedPageBreak/>
              <w:drawing>
                <wp:anchor distT="0" distB="0" distL="114300" distR="114300" simplePos="0" relativeHeight="251799552" behindDoc="1" locked="0" layoutInCell="1" allowOverlap="1" wp14:anchorId="0DF4603D" wp14:editId="132E7D4B">
                  <wp:simplePos x="0" y="0"/>
                  <wp:positionH relativeFrom="column">
                    <wp:posOffset>2548702</wp:posOffset>
                  </wp:positionH>
                  <wp:positionV relativeFrom="paragraph">
                    <wp:posOffset>289</wp:posOffset>
                  </wp:positionV>
                  <wp:extent cx="3114040" cy="1896110"/>
                  <wp:effectExtent l="0" t="0" r="0" b="8890"/>
                  <wp:wrapSquare wrapText="bothSides"/>
                  <wp:docPr id="39087517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t="3277" b="4290"/>
                          <a:stretch>
                            <a:fillRect/>
                          </a:stretch>
                        </pic:blipFill>
                        <pic:spPr bwMode="auto">
                          <a:xfrm>
                            <a:off x="0" y="0"/>
                            <a:ext cx="3114040" cy="1896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0F8" w:rsidRPr="00062B26">
              <w:rPr>
                <w:rFonts w:cs="Arial"/>
                <w:b/>
                <w:noProof/>
                <w:color w:val="000000" w:themeColor="text1"/>
              </w:rPr>
              <w:drawing>
                <wp:anchor distT="0" distB="0" distL="114300" distR="114300" simplePos="0" relativeHeight="251801600" behindDoc="1" locked="0" layoutInCell="1" allowOverlap="1" wp14:anchorId="1AE7111B" wp14:editId="2D87F1E8">
                  <wp:simplePos x="0" y="0"/>
                  <wp:positionH relativeFrom="column">
                    <wp:posOffset>672631</wp:posOffset>
                  </wp:positionH>
                  <wp:positionV relativeFrom="paragraph">
                    <wp:posOffset>69353</wp:posOffset>
                  </wp:positionV>
                  <wp:extent cx="522605" cy="529590"/>
                  <wp:effectExtent l="0" t="0" r="0" b="3810"/>
                  <wp:wrapTight wrapText="bothSides">
                    <wp:wrapPolygon edited="0">
                      <wp:start x="0" y="0"/>
                      <wp:lineTo x="0" y="20978"/>
                      <wp:lineTo x="20471" y="20978"/>
                      <wp:lineTo x="20471" y="0"/>
                      <wp:lineTo x="0" y="0"/>
                    </wp:wrapPolygon>
                  </wp:wrapTight>
                  <wp:docPr id="13467613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92416" name="Image 213039241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2605" cy="529590"/>
                          </a:xfrm>
                          <a:prstGeom prst="rect">
                            <a:avLst/>
                          </a:prstGeom>
                        </pic:spPr>
                      </pic:pic>
                    </a:graphicData>
                  </a:graphic>
                  <wp14:sizeRelH relativeFrom="margin">
                    <wp14:pctWidth>0</wp14:pctWidth>
                  </wp14:sizeRelH>
                  <wp14:sizeRelV relativeFrom="margin">
                    <wp14:pctHeight>0</wp14:pctHeight>
                  </wp14:sizeRelV>
                </wp:anchor>
              </w:drawing>
            </w:r>
            <w:r w:rsidR="003720F8" w:rsidRPr="00062B26">
              <w:rPr>
                <w:rFonts w:cs="Arial"/>
                <w:b/>
                <w:noProof/>
                <w:color w:val="000000" w:themeColor="text1"/>
              </w:rPr>
              <w:drawing>
                <wp:anchor distT="0" distB="0" distL="114300" distR="114300" simplePos="0" relativeHeight="251800576" behindDoc="1" locked="0" layoutInCell="1" allowOverlap="1" wp14:anchorId="5358147E" wp14:editId="31DF0F87">
                  <wp:simplePos x="0" y="0"/>
                  <wp:positionH relativeFrom="column">
                    <wp:posOffset>-3423</wp:posOffset>
                  </wp:positionH>
                  <wp:positionV relativeFrom="paragraph">
                    <wp:posOffset>74433</wp:posOffset>
                  </wp:positionV>
                  <wp:extent cx="615950" cy="591820"/>
                  <wp:effectExtent l="0" t="0" r="6350" b="5080"/>
                  <wp:wrapTight wrapText="bothSides">
                    <wp:wrapPolygon edited="0">
                      <wp:start x="0" y="0"/>
                      <wp:lineTo x="0" y="21322"/>
                      <wp:lineTo x="21377" y="21322"/>
                      <wp:lineTo x="21377" y="0"/>
                      <wp:lineTo x="0" y="0"/>
                    </wp:wrapPolygon>
                  </wp:wrapTight>
                  <wp:docPr id="6157704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82795" name="Image 150258279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5950" cy="591820"/>
                          </a:xfrm>
                          <a:prstGeom prst="rect">
                            <a:avLst/>
                          </a:prstGeom>
                        </pic:spPr>
                      </pic:pic>
                    </a:graphicData>
                  </a:graphic>
                  <wp14:sizeRelH relativeFrom="margin">
                    <wp14:pctWidth>0</wp14:pctWidth>
                  </wp14:sizeRelH>
                  <wp14:sizeRelV relativeFrom="margin">
                    <wp14:pctHeight>0</wp14:pctHeight>
                  </wp14:sizeRelV>
                </wp:anchor>
              </w:drawing>
            </w:r>
          </w:p>
          <w:p w14:paraId="5CF85A0B" w14:textId="77777777" w:rsidR="003720F8" w:rsidRDefault="003720F8" w:rsidP="003720F8">
            <w:pPr>
              <w:spacing w:line="276" w:lineRule="auto"/>
              <w:rPr>
                <w:rFonts w:cs="Arial"/>
                <w:bCs/>
                <w:iCs/>
                <w:color w:val="000000" w:themeColor="text1"/>
              </w:rPr>
            </w:pPr>
          </w:p>
          <w:p w14:paraId="3EA3338F" w14:textId="77777777" w:rsidR="003720F8" w:rsidRDefault="003720F8" w:rsidP="003720F8">
            <w:pPr>
              <w:spacing w:line="276" w:lineRule="auto"/>
              <w:rPr>
                <w:rFonts w:cs="Arial"/>
                <w:bCs/>
                <w:iCs/>
                <w:color w:val="000000" w:themeColor="text1"/>
              </w:rPr>
            </w:pPr>
          </w:p>
          <w:p w14:paraId="15FDCD71" w14:textId="77777777" w:rsidR="003720F8" w:rsidRDefault="003720F8" w:rsidP="003720F8">
            <w:pPr>
              <w:spacing w:line="276" w:lineRule="auto"/>
              <w:rPr>
                <w:rFonts w:cs="Arial"/>
                <w:bCs/>
                <w:iCs/>
                <w:color w:val="000000" w:themeColor="text1"/>
              </w:rPr>
            </w:pPr>
          </w:p>
          <w:p w14:paraId="44BF2F62" w14:textId="77777777" w:rsidR="003720F8" w:rsidRDefault="003720F8" w:rsidP="003720F8">
            <w:pPr>
              <w:spacing w:line="276" w:lineRule="auto"/>
              <w:rPr>
                <w:rFonts w:cs="Arial"/>
                <w:bCs/>
                <w:iCs/>
                <w:color w:val="000000" w:themeColor="text1"/>
              </w:rPr>
            </w:pPr>
          </w:p>
          <w:p w14:paraId="75899971" w14:textId="77777777" w:rsidR="003720F8" w:rsidRPr="0006272B" w:rsidRDefault="003720F8" w:rsidP="003720F8">
            <w:pPr>
              <w:spacing w:line="276" w:lineRule="auto"/>
              <w:rPr>
                <w:rFonts w:cs="Arial"/>
                <w:bCs/>
                <w:iCs/>
                <w:color w:val="000000" w:themeColor="text1"/>
              </w:rPr>
            </w:pPr>
            <w:r w:rsidRPr="00062B26">
              <w:rPr>
                <w:rFonts w:cs="Arial"/>
                <w:bCs/>
                <w:iCs/>
                <w:color w:val="000000" w:themeColor="text1"/>
              </w:rPr>
              <w:t>Le point «</w:t>
            </w:r>
            <w:r>
              <w:rPr>
                <w:rFonts w:ascii="Arial" w:hAnsi="Arial" w:cs="Arial"/>
                <w:bCs/>
                <w:iCs/>
                <w:color w:val="000000" w:themeColor="text1"/>
              </w:rPr>
              <w:t> </w:t>
            </w:r>
            <w:r w:rsidRPr="00062B26">
              <w:rPr>
                <w:rFonts w:cs="Arial"/>
                <w:bCs/>
                <w:iCs/>
                <w:color w:val="000000" w:themeColor="text1"/>
              </w:rPr>
              <w:t>être acteur de santé publique</w:t>
            </w:r>
            <w:r>
              <w:rPr>
                <w:rFonts w:ascii="Arial" w:hAnsi="Arial" w:cs="Arial"/>
                <w:bCs/>
                <w:iCs/>
                <w:color w:val="000000" w:themeColor="text1"/>
              </w:rPr>
              <w:t> </w:t>
            </w:r>
            <w:r w:rsidRPr="00062B26">
              <w:rPr>
                <w:rFonts w:cs="Arial"/>
                <w:bCs/>
                <w:iCs/>
                <w:color w:val="000000" w:themeColor="text1"/>
              </w:rPr>
              <w:t>» est souvent oublié dans un ECOS</w:t>
            </w:r>
            <w:r>
              <w:rPr>
                <w:rFonts w:cs="Arial"/>
                <w:bCs/>
                <w:iCs/>
                <w:color w:val="000000" w:themeColor="text1"/>
              </w:rPr>
              <w:t>,</w:t>
            </w:r>
            <w:r w:rsidRPr="00062B26">
              <w:rPr>
                <w:rFonts w:cs="Arial"/>
                <w:bCs/>
                <w:iCs/>
                <w:color w:val="000000" w:themeColor="text1"/>
              </w:rPr>
              <w:t xml:space="preserve"> mais aussi au lit du malade. N’oubliez pas de donner une «</w:t>
            </w:r>
            <w:r>
              <w:rPr>
                <w:rFonts w:ascii="Arial" w:hAnsi="Arial" w:cs="Arial"/>
                <w:bCs/>
                <w:iCs/>
                <w:color w:val="000000" w:themeColor="text1"/>
              </w:rPr>
              <w:t> </w:t>
            </w:r>
            <w:r w:rsidRPr="00062B26">
              <w:rPr>
                <w:rFonts w:cs="Arial"/>
                <w:bCs/>
                <w:iCs/>
                <w:color w:val="000000" w:themeColor="text1"/>
              </w:rPr>
              <w:t>carte patients</w:t>
            </w:r>
            <w:r>
              <w:rPr>
                <w:rFonts w:ascii="Arial" w:hAnsi="Arial" w:cs="Arial"/>
                <w:bCs/>
                <w:iCs/>
                <w:color w:val="000000" w:themeColor="text1"/>
              </w:rPr>
              <w:t> </w:t>
            </w:r>
            <w:r w:rsidRPr="00062B26">
              <w:rPr>
                <w:rFonts w:cs="Arial"/>
                <w:bCs/>
                <w:iCs/>
                <w:color w:val="000000" w:themeColor="text1"/>
              </w:rPr>
              <w:t>» à un malade sous anticoagulants</w:t>
            </w:r>
            <w:r>
              <w:rPr>
                <w:rFonts w:cs="Arial"/>
                <w:bCs/>
                <w:iCs/>
                <w:color w:val="000000" w:themeColor="text1"/>
              </w:rPr>
              <w:t>.</w:t>
            </w:r>
            <w:r w:rsidRPr="00062B26">
              <w:rPr>
                <w:sz w:val="18"/>
              </w:rPr>
              <w:fldChar w:fldCharType="begin"/>
            </w:r>
            <w:r w:rsidRPr="00062B26">
              <w:rPr>
                <w:sz w:val="18"/>
              </w:rPr>
              <w:instrText xml:space="preserve"> INCLUDEPICTURE "https://anticoag-pass-s2d.fr/wp-content/uploads/2019/11/Pass-S2D_Carte-adherent.png" \* MERGEFORMATINET </w:instrText>
            </w:r>
            <w:r w:rsidRPr="00062B26">
              <w:rPr>
                <w:sz w:val="18"/>
              </w:rPr>
              <w:fldChar w:fldCharType="separate"/>
            </w:r>
            <w:r w:rsidRPr="00062B26">
              <w:rPr>
                <w:sz w:val="18"/>
              </w:rPr>
              <w:fldChar w:fldCharType="end"/>
            </w:r>
          </w:p>
        </w:tc>
      </w:tr>
    </w:tbl>
    <w:p w14:paraId="69AE431E" w14:textId="77777777" w:rsidR="003720F8" w:rsidRPr="00062B26" w:rsidRDefault="003720F8" w:rsidP="003720F8">
      <w:pPr>
        <w:spacing w:line="276" w:lineRule="auto"/>
        <w:rPr>
          <w:rFonts w:cs="Arial"/>
          <w:b/>
          <w:i/>
        </w:rPr>
      </w:pPr>
    </w:p>
    <w:p w14:paraId="5D51C970" w14:textId="4E41C164" w:rsidR="003720F8" w:rsidRPr="00062B26" w:rsidRDefault="003720F8" w:rsidP="004278AD">
      <w:pPr>
        <w:pStyle w:val="Titre3"/>
      </w:pPr>
      <w:r w:rsidRPr="00062B26">
        <w:t>Filtre cave</w:t>
      </w:r>
    </w:p>
    <w:p w14:paraId="25A9AAFA" w14:textId="77777777" w:rsidR="003720F8" w:rsidRPr="00062B26" w:rsidRDefault="003720F8" w:rsidP="003720F8">
      <w:pPr>
        <w:spacing w:line="276" w:lineRule="auto"/>
        <w:rPr>
          <w:rFonts w:cs="Arial"/>
          <w:iCs/>
          <w:color w:val="0070C0"/>
        </w:rPr>
      </w:pPr>
      <w:r w:rsidRPr="00062B26">
        <w:rPr>
          <w:rFonts w:cs="Arial"/>
          <w:iCs/>
          <w:color w:val="0070C0"/>
        </w:rPr>
        <w:t xml:space="preserve">Il s’agit désormais de filtres caves temporaires qui peuvent se retirer sans délai de temps. </w:t>
      </w:r>
    </w:p>
    <w:p w14:paraId="7910F1C3" w14:textId="77777777" w:rsidR="003720F8" w:rsidRPr="00062B26" w:rsidRDefault="003720F8" w:rsidP="003720F8">
      <w:pPr>
        <w:spacing w:line="276" w:lineRule="auto"/>
        <w:rPr>
          <w:rFonts w:cs="Arial"/>
          <w:iCs/>
          <w:color w:val="0070C0"/>
        </w:rPr>
      </w:pPr>
      <w:r w:rsidRPr="00062B26">
        <w:rPr>
          <w:rFonts w:cs="Arial"/>
          <w:iCs/>
          <w:color w:val="0070C0"/>
        </w:rPr>
        <w:t>Trois indications</w:t>
      </w:r>
      <w:r>
        <w:rPr>
          <w:rFonts w:cs="Arial"/>
          <w:iCs/>
          <w:color w:val="0070C0"/>
        </w:rPr>
        <w:t> </w:t>
      </w:r>
      <w:r w:rsidRPr="00062B26">
        <w:rPr>
          <w:rFonts w:cs="Arial"/>
          <w:iCs/>
          <w:color w:val="0070C0"/>
        </w:rPr>
        <w:t>:</w:t>
      </w:r>
    </w:p>
    <w:p w14:paraId="1A17C7D8" w14:textId="77777777" w:rsidR="003720F8" w:rsidRDefault="003720F8" w:rsidP="003720F8">
      <w:pPr>
        <w:widowControl w:val="0"/>
        <w:spacing w:line="276" w:lineRule="auto"/>
        <w:rPr>
          <w:rFonts w:cs="Arial"/>
          <w:iCs/>
          <w:color w:val="0070C0"/>
        </w:rPr>
      </w:pPr>
      <w:r>
        <w:rPr>
          <w:rFonts w:cs="Arial"/>
          <w:iCs/>
          <w:color w:val="0070C0"/>
        </w:rPr>
        <w:t xml:space="preserve">- </w:t>
      </w:r>
      <w:r w:rsidRPr="00062B26">
        <w:rPr>
          <w:rFonts w:cs="Arial"/>
          <w:iCs/>
          <w:color w:val="0070C0"/>
        </w:rPr>
        <w:t>TVP proximale récente (&lt; 1</w:t>
      </w:r>
      <w:r>
        <w:rPr>
          <w:rFonts w:cs="Arial"/>
          <w:iCs/>
          <w:color w:val="0070C0"/>
        </w:rPr>
        <w:t> </w:t>
      </w:r>
      <w:r w:rsidRPr="00062B26">
        <w:rPr>
          <w:rFonts w:cs="Arial"/>
          <w:iCs/>
          <w:color w:val="0070C0"/>
        </w:rPr>
        <w:t>mois) avec ou sans EP et avec contre-indication formelle aux anticoagulants</w:t>
      </w:r>
      <w:r>
        <w:rPr>
          <w:rFonts w:cs="Arial"/>
          <w:iCs/>
          <w:color w:val="0070C0"/>
        </w:rPr>
        <w:t>.</w:t>
      </w:r>
    </w:p>
    <w:p w14:paraId="1D5A62A4" w14:textId="77777777" w:rsidR="003720F8" w:rsidRDefault="003720F8" w:rsidP="003720F8">
      <w:pPr>
        <w:widowControl w:val="0"/>
        <w:spacing w:line="276" w:lineRule="auto"/>
        <w:rPr>
          <w:rFonts w:cs="Arial"/>
          <w:iCs/>
          <w:color w:val="0070C0"/>
        </w:rPr>
      </w:pPr>
      <w:r>
        <w:rPr>
          <w:rFonts w:cs="Arial"/>
          <w:iCs/>
          <w:color w:val="0070C0"/>
        </w:rPr>
        <w:t xml:space="preserve">- </w:t>
      </w:r>
      <w:r w:rsidRPr="00062B26">
        <w:rPr>
          <w:rFonts w:cs="Arial"/>
          <w:iCs/>
          <w:color w:val="0070C0"/>
        </w:rPr>
        <w:t>EP récente (&lt; 1</w:t>
      </w:r>
      <w:r>
        <w:rPr>
          <w:rFonts w:cs="Arial"/>
          <w:iCs/>
          <w:color w:val="0070C0"/>
        </w:rPr>
        <w:t> </w:t>
      </w:r>
      <w:r w:rsidRPr="00062B26">
        <w:rPr>
          <w:rFonts w:cs="Arial"/>
          <w:iCs/>
          <w:color w:val="0070C0"/>
        </w:rPr>
        <w:t>mois) sans TVP avec contre-indication formelle aux anticoagulants</w:t>
      </w:r>
      <w:r>
        <w:rPr>
          <w:rFonts w:cs="Arial"/>
          <w:iCs/>
          <w:color w:val="0070C0"/>
        </w:rPr>
        <w:t>.</w:t>
      </w:r>
    </w:p>
    <w:p w14:paraId="2F86F7C2" w14:textId="77777777" w:rsidR="003720F8" w:rsidRPr="00062B26" w:rsidRDefault="003720F8" w:rsidP="003720F8">
      <w:pPr>
        <w:widowControl w:val="0"/>
        <w:spacing w:line="276" w:lineRule="auto"/>
        <w:rPr>
          <w:rFonts w:cs="Arial"/>
          <w:iCs/>
          <w:color w:val="0070C0"/>
        </w:rPr>
      </w:pPr>
      <w:r>
        <w:rPr>
          <w:rFonts w:cs="Arial"/>
          <w:iCs/>
          <w:color w:val="0070C0"/>
        </w:rPr>
        <w:t xml:space="preserve">- </w:t>
      </w:r>
      <w:r w:rsidRPr="00062B26">
        <w:rPr>
          <w:rFonts w:cs="Arial"/>
          <w:iCs/>
          <w:color w:val="0070C0"/>
        </w:rPr>
        <w:t>Récidive d’EP prouvée sous traitement bien conduit.</w:t>
      </w:r>
    </w:p>
    <w:p w14:paraId="67DBA092" w14:textId="77777777" w:rsidR="003720F8" w:rsidRPr="00062B26" w:rsidRDefault="003720F8" w:rsidP="003720F8">
      <w:pPr>
        <w:spacing w:line="276" w:lineRule="auto"/>
        <w:rPr>
          <w:rFonts w:cs="Arial"/>
          <w:i/>
          <w:noProof/>
        </w:rPr>
      </w:pPr>
    </w:p>
    <w:p w14:paraId="6FABEBBC" w14:textId="0800F672" w:rsidR="003720F8" w:rsidRPr="0006272B" w:rsidRDefault="003720F8" w:rsidP="004278AD">
      <w:pPr>
        <w:pStyle w:val="Titre3"/>
      </w:pPr>
      <w:r w:rsidRPr="00062B26">
        <w:t>Traitement fibrinolytique</w:t>
      </w:r>
    </w:p>
    <w:p w14:paraId="317F7E50" w14:textId="77777777" w:rsidR="003720F8" w:rsidRPr="00062B26" w:rsidRDefault="003720F8" w:rsidP="003720F8">
      <w:pPr>
        <w:widowControl w:val="0"/>
        <w:spacing w:line="276" w:lineRule="auto"/>
        <w:rPr>
          <w:rFonts w:cs="Arial"/>
          <w:iCs/>
          <w:color w:val="0070C0"/>
        </w:rPr>
      </w:pPr>
      <w:r w:rsidRPr="00062B26">
        <w:rPr>
          <w:rFonts w:cs="Arial"/>
          <w:iCs/>
          <w:color w:val="0070C0"/>
        </w:rPr>
        <w:t>- Action : permet une désobstruction vasculaire pulmonaire plus rapide.</w:t>
      </w:r>
    </w:p>
    <w:p w14:paraId="031D9603" w14:textId="77777777" w:rsidR="003720F8" w:rsidRPr="00062B26" w:rsidRDefault="003720F8" w:rsidP="003720F8">
      <w:pPr>
        <w:widowControl w:val="0"/>
        <w:spacing w:line="276" w:lineRule="auto"/>
        <w:rPr>
          <w:rFonts w:cs="Arial"/>
          <w:iCs/>
          <w:color w:val="0070C0"/>
        </w:rPr>
      </w:pPr>
      <w:r w:rsidRPr="00062B26">
        <w:rPr>
          <w:rFonts w:cs="Arial"/>
          <w:iCs/>
          <w:color w:val="0070C0"/>
        </w:rPr>
        <w:t>- Indication : en 1</w:t>
      </w:r>
      <w:r w:rsidRPr="00062B26">
        <w:rPr>
          <w:rFonts w:cs="Arial"/>
          <w:iCs/>
          <w:color w:val="0070C0"/>
          <w:vertAlign w:val="superscript"/>
        </w:rPr>
        <w:t>re</w:t>
      </w:r>
      <w:r w:rsidRPr="00062B26">
        <w:rPr>
          <w:rFonts w:cs="Arial"/>
          <w:iCs/>
          <w:color w:val="0070C0"/>
        </w:rPr>
        <w:t xml:space="preserve"> intention dans l’EP à haut risque et en 2</w:t>
      </w:r>
      <w:r w:rsidRPr="00062B26">
        <w:rPr>
          <w:rFonts w:cs="Arial"/>
          <w:iCs/>
          <w:color w:val="0070C0"/>
          <w:vertAlign w:val="superscript"/>
        </w:rPr>
        <w:t>e</w:t>
      </w:r>
      <w:r>
        <w:rPr>
          <w:rFonts w:cs="Arial"/>
          <w:iCs/>
          <w:color w:val="0070C0"/>
        </w:rPr>
        <w:t> </w:t>
      </w:r>
      <w:r w:rsidRPr="00062B26">
        <w:rPr>
          <w:rFonts w:cs="Arial"/>
          <w:iCs/>
          <w:color w:val="0070C0"/>
        </w:rPr>
        <w:t>intention dans l’EP à risque intermédiaire élevé (si aggravation).</w:t>
      </w:r>
    </w:p>
    <w:p w14:paraId="2110A77D" w14:textId="77777777" w:rsidR="003720F8" w:rsidRPr="00062B26" w:rsidRDefault="003720F8" w:rsidP="003720F8">
      <w:pPr>
        <w:widowControl w:val="0"/>
        <w:spacing w:line="276" w:lineRule="auto"/>
        <w:rPr>
          <w:rFonts w:cs="Arial"/>
          <w:iCs/>
          <w:color w:val="0070C0"/>
        </w:rPr>
      </w:pPr>
      <w:r w:rsidRPr="00062B26">
        <w:rPr>
          <w:rFonts w:cs="Arial"/>
          <w:iCs/>
          <w:color w:val="0070C0"/>
        </w:rPr>
        <w:t>- Risque majeur : hémorragie grave, notamment hémorragies intracrâniennes (2</w:t>
      </w:r>
      <w:r>
        <w:rPr>
          <w:rFonts w:cs="Arial"/>
          <w:iCs/>
          <w:color w:val="0070C0"/>
        </w:rPr>
        <w:t> </w:t>
      </w:r>
      <w:r w:rsidRPr="00062B26">
        <w:rPr>
          <w:rFonts w:cs="Arial"/>
          <w:iCs/>
          <w:color w:val="0070C0"/>
        </w:rPr>
        <w:t>%).</w:t>
      </w:r>
    </w:p>
    <w:p w14:paraId="16F63B4F" w14:textId="77777777" w:rsidR="003720F8" w:rsidRPr="00062B26" w:rsidRDefault="003720F8" w:rsidP="003720F8">
      <w:pPr>
        <w:widowControl w:val="0"/>
        <w:spacing w:line="276" w:lineRule="auto"/>
        <w:rPr>
          <w:rFonts w:cs="Arial"/>
          <w:i/>
        </w:rPr>
      </w:pPr>
      <w:r w:rsidRPr="00062B26">
        <w:rPr>
          <w:rFonts w:cs="Arial"/>
          <w:iCs/>
          <w:color w:val="0070C0"/>
        </w:rPr>
        <w:t>- Contre-indications : elles sont relatives, exceptée une hémorragie intracérébrale</w:t>
      </w:r>
      <w:r w:rsidRPr="00062B26">
        <w:rPr>
          <w:rFonts w:cs="Arial"/>
          <w:i/>
        </w:rPr>
        <w:t>.</w:t>
      </w:r>
    </w:p>
    <w:p w14:paraId="7F4E0875" w14:textId="77777777" w:rsidR="003720F8" w:rsidRPr="00062B26" w:rsidRDefault="003720F8" w:rsidP="003720F8">
      <w:pPr>
        <w:widowControl w:val="0"/>
        <w:spacing w:line="276" w:lineRule="auto"/>
        <w:rPr>
          <w:rFonts w:cs="Arial"/>
          <w:i/>
        </w:rPr>
      </w:pPr>
    </w:p>
    <w:p w14:paraId="6FA76AA2" w14:textId="660A95DD" w:rsidR="003720F8" w:rsidRPr="00062B26" w:rsidRDefault="003720F8" w:rsidP="004278AD">
      <w:pPr>
        <w:pStyle w:val="Titre3"/>
      </w:pPr>
      <w:r w:rsidRPr="00062B26">
        <w:t>Embolectomie chirurgicale ou reperfusion instrumentale percutanée</w:t>
      </w:r>
    </w:p>
    <w:p w14:paraId="04B2CC0E" w14:textId="77777777" w:rsidR="003720F8" w:rsidRPr="00062B26" w:rsidRDefault="003720F8" w:rsidP="003720F8">
      <w:pPr>
        <w:spacing w:line="276" w:lineRule="auto"/>
        <w:rPr>
          <w:rFonts w:cs="Arial"/>
          <w:i/>
        </w:rPr>
      </w:pPr>
      <w:r w:rsidRPr="00062B26">
        <w:rPr>
          <w:rFonts w:cs="Arial"/>
          <w:iCs/>
          <w:color w:val="0070C0"/>
        </w:rPr>
        <w:t>L’embolectomie : qu’elle soit chirurgicale sous circulation extra-corporelle ou par voie percutanée</w:t>
      </w:r>
      <w:r>
        <w:rPr>
          <w:rFonts w:ascii="Arial" w:hAnsi="Arial" w:cs="Arial"/>
          <w:iCs/>
          <w:color w:val="0070C0"/>
        </w:rPr>
        <w:t> </w:t>
      </w:r>
      <w:r w:rsidRPr="00062B26">
        <w:rPr>
          <w:rFonts w:cs="Arial"/>
          <w:iCs/>
          <w:color w:val="0070C0"/>
        </w:rPr>
        <w:t>; est une technique d’exception réservée aux centres experts et indiquée dans l’EP à haut risque en échec de la thrombolyse ou en cas de contre-indication absolue à la thrombolyse</w:t>
      </w:r>
      <w:r w:rsidRPr="00062B26">
        <w:rPr>
          <w:rFonts w:cs="Arial"/>
          <w:i/>
        </w:rPr>
        <w:t xml:space="preserve">. </w:t>
      </w:r>
    </w:p>
    <w:p w14:paraId="5A4AEAA9" w14:textId="77777777" w:rsidR="003720F8" w:rsidRPr="00062B26" w:rsidRDefault="003720F8" w:rsidP="003720F8">
      <w:pPr>
        <w:widowControl w:val="0"/>
        <w:spacing w:line="276" w:lineRule="auto"/>
        <w:rPr>
          <w:rFonts w:cs="Arial"/>
          <w:i/>
        </w:rPr>
      </w:pPr>
    </w:p>
    <w:p w14:paraId="07192A5E" w14:textId="1C7A47BB" w:rsidR="003720F8" w:rsidRPr="00062B26" w:rsidRDefault="003720F8" w:rsidP="004278AD">
      <w:pPr>
        <w:pStyle w:val="Titre3"/>
      </w:pPr>
      <w:r w:rsidRPr="00062B26">
        <w:t>Compression veineuse élastique</w:t>
      </w:r>
    </w:p>
    <w:p w14:paraId="6B7B0ADF" w14:textId="77777777" w:rsidR="003720F8" w:rsidRPr="00062B26" w:rsidRDefault="003720F8" w:rsidP="003720F8">
      <w:pPr>
        <w:widowControl w:val="0"/>
        <w:spacing w:line="276" w:lineRule="auto"/>
        <w:rPr>
          <w:rFonts w:cs="Arial"/>
          <w:iCs/>
          <w:color w:val="0070C0"/>
        </w:rPr>
      </w:pPr>
      <w:r w:rsidRPr="00062B26">
        <w:rPr>
          <w:rFonts w:cs="Arial"/>
          <w:iCs/>
          <w:color w:val="0070C0"/>
        </w:rPr>
        <w:t>Indiquée uniquement si TVP isolée ou EP avec TVP, pendant 6</w:t>
      </w:r>
      <w:r>
        <w:rPr>
          <w:rFonts w:cs="Arial"/>
          <w:iCs/>
          <w:color w:val="0070C0"/>
        </w:rPr>
        <w:t> </w:t>
      </w:r>
      <w:r w:rsidRPr="00062B26">
        <w:rPr>
          <w:rFonts w:cs="Arial"/>
          <w:iCs/>
          <w:color w:val="0070C0"/>
        </w:rPr>
        <w:t>mois minimum. Elle est contre-indiquée en cas d’artériopathie oblitérante des membres inférieurs associée. Elle est proposée en cas de thrombose veineuse superficielle.</w:t>
      </w:r>
    </w:p>
    <w:p w14:paraId="6A5D0C16" w14:textId="77777777" w:rsidR="003720F8" w:rsidRPr="00062B26" w:rsidRDefault="003720F8" w:rsidP="003720F8">
      <w:pPr>
        <w:widowControl w:val="0"/>
        <w:spacing w:line="276" w:lineRule="auto"/>
        <w:rPr>
          <w:rFonts w:cs="Arial"/>
          <w:i/>
        </w:rPr>
      </w:pPr>
    </w:p>
    <w:p w14:paraId="0EA5AA98" w14:textId="27D5A7C2" w:rsidR="003720F8" w:rsidRPr="00062B26" w:rsidRDefault="003720F8" w:rsidP="004278AD">
      <w:pPr>
        <w:pStyle w:val="Titre3"/>
      </w:pPr>
      <w:r w:rsidRPr="00062B26">
        <w:t>Lever précoce</w:t>
      </w:r>
    </w:p>
    <w:p w14:paraId="048E53B4" w14:textId="77777777" w:rsidR="003720F8" w:rsidRPr="00062B26" w:rsidRDefault="003720F8" w:rsidP="003720F8">
      <w:pPr>
        <w:widowControl w:val="0"/>
        <w:spacing w:line="276" w:lineRule="auto"/>
        <w:rPr>
          <w:rFonts w:cs="Arial"/>
          <w:iCs/>
          <w:color w:val="0070C0"/>
        </w:rPr>
      </w:pPr>
      <w:r w:rsidRPr="00062B26">
        <w:rPr>
          <w:rFonts w:cs="Arial"/>
          <w:iCs/>
          <w:color w:val="0070C0"/>
        </w:rPr>
        <w:t>Lever précoce 1</w:t>
      </w:r>
      <w:r>
        <w:rPr>
          <w:rFonts w:cs="Arial"/>
          <w:iCs/>
          <w:color w:val="0070C0"/>
        </w:rPr>
        <w:t> </w:t>
      </w:r>
      <w:r w:rsidRPr="00062B26">
        <w:rPr>
          <w:rFonts w:cs="Arial"/>
          <w:iCs/>
          <w:color w:val="0070C0"/>
        </w:rPr>
        <w:t>heure après l’initiation d’un traitement anticoagulant à dose efficace (héparine ou AOD d’emblée) si l’état clinique le permet. Alitement en cas de choc ou hypoxémie persistante sévère.</w:t>
      </w:r>
    </w:p>
    <w:p w14:paraId="632DC2A2" w14:textId="77777777" w:rsidR="003720F8" w:rsidRPr="00062B26" w:rsidRDefault="003720F8" w:rsidP="003720F8">
      <w:pPr>
        <w:spacing w:line="276" w:lineRule="auto"/>
        <w:rPr>
          <w:rFonts w:cs="Arial"/>
          <w:b/>
          <w:i/>
          <w:caps/>
          <w:u w:val="single"/>
        </w:rPr>
      </w:pPr>
    </w:p>
    <w:p w14:paraId="6D909B10" w14:textId="57947B87" w:rsidR="003720F8" w:rsidRDefault="003720F8" w:rsidP="004278AD">
      <w:pPr>
        <w:pStyle w:val="Titre3"/>
      </w:pPr>
      <w:r w:rsidRPr="00062B26">
        <w:t>Contraception</w:t>
      </w:r>
    </w:p>
    <w:p w14:paraId="5F99A953" w14:textId="62545BBA" w:rsidR="003720F8" w:rsidRPr="0006272B" w:rsidRDefault="003720F8" w:rsidP="003720F8">
      <w:pPr>
        <w:widowControl w:val="0"/>
        <w:spacing w:line="276" w:lineRule="auto"/>
        <w:rPr>
          <w:rFonts w:cs="Arial"/>
          <w:b/>
          <w:iCs/>
          <w:color w:val="0070C0"/>
        </w:rPr>
      </w:pPr>
      <w:r w:rsidRPr="00062B26">
        <w:rPr>
          <w:rFonts w:cs="Arial"/>
          <w:iCs/>
          <w:color w:val="0070C0"/>
        </w:rPr>
        <w:t xml:space="preserve">Une contraception </w:t>
      </w:r>
      <w:r>
        <w:rPr>
          <w:rFonts w:cs="Arial"/>
          <w:iCs/>
          <w:color w:val="0070C0"/>
        </w:rPr>
        <w:t>œstro</w:t>
      </w:r>
      <w:r w:rsidRPr="00062B26">
        <w:rPr>
          <w:rFonts w:cs="Arial"/>
          <w:iCs/>
          <w:color w:val="0070C0"/>
        </w:rPr>
        <w:t xml:space="preserve">progestative est contre-indiquée chez les femmes ayant eu une </w:t>
      </w:r>
      <w:r w:rsidR="0026545F">
        <w:rPr>
          <w:rFonts w:cs="Arial"/>
          <w:iCs/>
          <w:color w:val="0070C0"/>
        </w:rPr>
        <w:t>MTEV</w:t>
      </w:r>
      <w:r w:rsidRPr="00062B26">
        <w:rPr>
          <w:rFonts w:cs="Arial"/>
          <w:iCs/>
          <w:color w:val="0070C0"/>
        </w:rPr>
        <w:t xml:space="preserve">, en cas de thrombophilie génétique (si détection faite dans le contexte d’une histoire familiale de </w:t>
      </w:r>
      <w:r w:rsidR="0026545F">
        <w:rPr>
          <w:rFonts w:cs="Arial"/>
          <w:iCs/>
          <w:color w:val="0070C0"/>
        </w:rPr>
        <w:t>MTEV</w:t>
      </w:r>
      <w:r w:rsidRPr="00062B26">
        <w:rPr>
          <w:rFonts w:cs="Arial"/>
          <w:iCs/>
          <w:color w:val="0070C0"/>
        </w:rPr>
        <w:t xml:space="preserve">) ou acquise (SAPL), ou si un membre de famille au premier degré a déjà eu une </w:t>
      </w:r>
      <w:r w:rsidR="0026545F">
        <w:rPr>
          <w:rFonts w:cs="Arial"/>
          <w:iCs/>
          <w:color w:val="0070C0"/>
        </w:rPr>
        <w:t>MTEV</w:t>
      </w:r>
      <w:r w:rsidRPr="00062B26">
        <w:rPr>
          <w:rFonts w:cs="Arial"/>
          <w:iCs/>
          <w:color w:val="0070C0"/>
        </w:rPr>
        <w:t xml:space="preserve"> non provoquée avant 50</w:t>
      </w:r>
      <w:r>
        <w:rPr>
          <w:rFonts w:cs="Arial"/>
          <w:iCs/>
          <w:color w:val="0070C0"/>
        </w:rPr>
        <w:t> </w:t>
      </w:r>
      <w:r w:rsidRPr="00062B26">
        <w:rPr>
          <w:rFonts w:cs="Arial"/>
          <w:iCs/>
          <w:color w:val="0070C0"/>
        </w:rPr>
        <w:t>ans.</w:t>
      </w:r>
    </w:p>
    <w:p w14:paraId="2501C060" w14:textId="65A2ABFC" w:rsidR="003720F8" w:rsidRPr="00062B26" w:rsidRDefault="003720F8" w:rsidP="003720F8">
      <w:pPr>
        <w:spacing w:line="276" w:lineRule="auto"/>
        <w:rPr>
          <w:rFonts w:cs="Arial"/>
          <w:b/>
          <w:iCs/>
          <w:caps/>
          <w:color w:val="0070C0"/>
          <w:u w:val="single"/>
        </w:rPr>
      </w:pPr>
      <w:r w:rsidRPr="00062B26">
        <w:rPr>
          <w:rFonts w:cs="Arial"/>
          <w:iCs/>
          <w:color w:val="0070C0"/>
        </w:rPr>
        <w:t xml:space="preserve">En cas de </w:t>
      </w:r>
      <w:r w:rsidR="0026545F">
        <w:rPr>
          <w:rFonts w:cs="Arial"/>
          <w:iCs/>
          <w:color w:val="0070C0"/>
        </w:rPr>
        <w:t>MTEV</w:t>
      </w:r>
      <w:r w:rsidRPr="00062B26">
        <w:rPr>
          <w:rFonts w:cs="Arial"/>
          <w:iCs/>
          <w:color w:val="0070C0"/>
        </w:rPr>
        <w:t xml:space="preserve"> chez une femme sous contraception </w:t>
      </w:r>
      <w:r>
        <w:rPr>
          <w:rFonts w:cs="Arial"/>
          <w:iCs/>
          <w:color w:val="0070C0"/>
        </w:rPr>
        <w:t>œstro</w:t>
      </w:r>
      <w:r w:rsidRPr="00062B26">
        <w:rPr>
          <w:rFonts w:cs="Arial"/>
          <w:iCs/>
          <w:color w:val="0070C0"/>
        </w:rPr>
        <w:t xml:space="preserve">progestative : la contraception </w:t>
      </w:r>
      <w:r>
        <w:rPr>
          <w:rFonts w:cs="Arial"/>
          <w:iCs/>
          <w:color w:val="0070C0"/>
        </w:rPr>
        <w:t>œstro</w:t>
      </w:r>
      <w:r w:rsidRPr="00062B26">
        <w:rPr>
          <w:rFonts w:cs="Arial"/>
          <w:iCs/>
          <w:color w:val="0070C0"/>
        </w:rPr>
        <w:t>progestative est stoppée SANS urgence (finir la plaquette)</w:t>
      </w:r>
      <w:r>
        <w:rPr>
          <w:rFonts w:ascii="Arial" w:hAnsi="Arial" w:cs="Arial"/>
          <w:iCs/>
          <w:color w:val="0070C0"/>
        </w:rPr>
        <w:t> </w:t>
      </w:r>
      <w:r w:rsidRPr="00062B26">
        <w:rPr>
          <w:rFonts w:cs="Arial"/>
          <w:iCs/>
          <w:color w:val="0070C0"/>
        </w:rPr>
        <w:t xml:space="preserve">; en relai, une contraception non thrombogène est proposée par le gynécologue (microprogestatif oral, implant à la progestérone, stérilet à la progestérone ou stérilet au cuivre). </w:t>
      </w:r>
    </w:p>
    <w:p w14:paraId="4F3DF9F1" w14:textId="77777777" w:rsidR="003720F8" w:rsidRDefault="003720F8" w:rsidP="003720F8">
      <w:pPr>
        <w:spacing w:line="276" w:lineRule="auto"/>
        <w:rPr>
          <w:rFonts w:cs="Arial"/>
          <w:b/>
          <w:caps/>
          <w:u w:val="single"/>
        </w:rPr>
      </w:pPr>
    </w:p>
    <w:p w14:paraId="28DE965E" w14:textId="77777777" w:rsidR="00C8767D" w:rsidRPr="00062B26" w:rsidRDefault="00C8767D" w:rsidP="003720F8">
      <w:pPr>
        <w:spacing w:line="276" w:lineRule="auto"/>
        <w:rPr>
          <w:rFonts w:cs="Arial"/>
          <w:b/>
          <w:caps/>
          <w:u w:val="single"/>
        </w:rPr>
      </w:pPr>
    </w:p>
    <w:p w14:paraId="17AA6EF1" w14:textId="58F3A268" w:rsidR="003720F8" w:rsidRPr="00062B26" w:rsidRDefault="003720F8" w:rsidP="004278AD">
      <w:pPr>
        <w:pStyle w:val="titredesous-partie"/>
        <w:numPr>
          <w:ilvl w:val="0"/>
          <w:numId w:val="1"/>
        </w:numPr>
        <w:ind w:left="426" w:hanging="284"/>
      </w:pPr>
      <w:r w:rsidRPr="00062B26">
        <w:t>STRATEGIE THERAPEUTIQUE DE L’EP GUIDEE PAR L’EVALUATION PRONOSTIQUE</w:t>
      </w:r>
    </w:p>
    <w:p w14:paraId="006EC59B" w14:textId="77777777" w:rsidR="003720F8" w:rsidRPr="00062B26" w:rsidRDefault="003720F8" w:rsidP="003720F8">
      <w:pPr>
        <w:spacing w:line="276" w:lineRule="auto"/>
        <w:rPr>
          <w:rFonts w:cs="Arial"/>
          <w:color w:val="0070C0"/>
        </w:rPr>
      </w:pPr>
      <w:r w:rsidRPr="00062B26">
        <w:rPr>
          <w:rFonts w:cs="Arial"/>
          <w:color w:val="0070C0"/>
        </w:rPr>
        <w:t>La stratégie de prise en charge est résumée sur la figure</w:t>
      </w:r>
      <w:r>
        <w:rPr>
          <w:rFonts w:cs="Arial"/>
          <w:color w:val="0070C0"/>
        </w:rPr>
        <w:t> </w:t>
      </w:r>
      <w:r w:rsidRPr="00062B26">
        <w:rPr>
          <w:rFonts w:cs="Arial"/>
          <w:color w:val="0070C0"/>
        </w:rPr>
        <w:t xml:space="preserve">9. </w:t>
      </w:r>
    </w:p>
    <w:p w14:paraId="349F8BAC" w14:textId="57BFBECE" w:rsidR="003720F8" w:rsidRPr="00062B26" w:rsidRDefault="003720F8" w:rsidP="003720F8">
      <w:pPr>
        <w:spacing w:line="276" w:lineRule="auto"/>
        <w:rPr>
          <w:rFonts w:cs="Arial"/>
          <w:color w:val="0070C0"/>
        </w:rPr>
      </w:pPr>
    </w:p>
    <w:p w14:paraId="67BE2072" w14:textId="04A95340" w:rsidR="003720F8" w:rsidRPr="004278AD" w:rsidRDefault="00C8767D" w:rsidP="004278AD">
      <w:pPr>
        <w:pStyle w:val="lgende"/>
        <w:rPr>
          <w:color w:val="0070C0"/>
        </w:rPr>
      </w:pPr>
      <w:r w:rsidRPr="0006272B">
        <w:rPr>
          <w:noProof/>
          <w:sz w:val="16"/>
          <w:szCs w:val="16"/>
        </w:rPr>
        <w:drawing>
          <wp:anchor distT="0" distB="0" distL="114300" distR="114300" simplePos="0" relativeHeight="251796480" behindDoc="0" locked="0" layoutInCell="1" allowOverlap="1" wp14:anchorId="2E4DCA71" wp14:editId="1E7A4790">
            <wp:simplePos x="0" y="0"/>
            <wp:positionH relativeFrom="margin">
              <wp:align>right</wp:align>
            </wp:positionH>
            <wp:positionV relativeFrom="paragraph">
              <wp:posOffset>153035</wp:posOffset>
            </wp:positionV>
            <wp:extent cx="5757545" cy="2838450"/>
            <wp:effectExtent l="0" t="0" r="0" b="0"/>
            <wp:wrapThrough wrapText="bothSides">
              <wp:wrapPolygon edited="0">
                <wp:start x="0" y="0"/>
                <wp:lineTo x="0" y="21455"/>
                <wp:lineTo x="21512" y="21455"/>
                <wp:lineTo x="21512" y="0"/>
                <wp:lineTo x="0" y="0"/>
              </wp:wrapPolygon>
            </wp:wrapThrough>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t="4869" b="7477"/>
                    <a:stretch>
                      <a:fillRect/>
                    </a:stretch>
                  </pic:blipFill>
                  <pic:spPr bwMode="auto">
                    <a:xfrm>
                      <a:off x="0" y="0"/>
                      <a:ext cx="5757545" cy="283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20F8" w:rsidRPr="004278AD">
        <w:rPr>
          <w:color w:val="0070C0"/>
        </w:rPr>
        <w:t>Figure </w:t>
      </w:r>
      <w:r w:rsidR="0026545F">
        <w:rPr>
          <w:color w:val="0070C0"/>
        </w:rPr>
        <w:t>10</w:t>
      </w:r>
      <w:r w:rsidR="003720F8" w:rsidRPr="004278AD">
        <w:rPr>
          <w:color w:val="0070C0"/>
        </w:rPr>
        <w:t> : Algorithme d’évaluation pronostique et de prise en charge (</w:t>
      </w:r>
      <w:proofErr w:type="spellStart"/>
      <w:r w:rsidR="003720F8" w:rsidRPr="004278AD">
        <w:rPr>
          <w:color w:val="0070C0"/>
        </w:rPr>
        <w:t>European</w:t>
      </w:r>
      <w:proofErr w:type="spellEnd"/>
      <w:r w:rsidR="003720F8" w:rsidRPr="004278AD">
        <w:rPr>
          <w:color w:val="0070C0"/>
        </w:rPr>
        <w:t xml:space="preserve"> Society of </w:t>
      </w:r>
      <w:proofErr w:type="spellStart"/>
      <w:r w:rsidR="003720F8" w:rsidRPr="004278AD">
        <w:rPr>
          <w:color w:val="0070C0"/>
        </w:rPr>
        <w:t>Cardiology</w:t>
      </w:r>
      <w:proofErr w:type="spellEnd"/>
      <w:r w:rsidR="003720F8" w:rsidRPr="004278AD">
        <w:rPr>
          <w:color w:val="0070C0"/>
        </w:rPr>
        <w:t xml:space="preserve"> 2019). </w:t>
      </w:r>
    </w:p>
    <w:p w14:paraId="03EFAE64" w14:textId="4C41251F" w:rsidR="003720F8" w:rsidRPr="0006272B" w:rsidRDefault="003720F8" w:rsidP="003720F8">
      <w:pPr>
        <w:pStyle w:val="Lgende1"/>
        <w:rPr>
          <w:sz w:val="16"/>
          <w:szCs w:val="16"/>
        </w:rPr>
      </w:pPr>
      <w:r w:rsidRPr="0006272B">
        <w:rPr>
          <w:noProof/>
          <w:sz w:val="16"/>
          <w:szCs w:val="16"/>
        </w:rPr>
        <w:t xml:space="preserve"> </w:t>
      </w:r>
      <w:r w:rsidRPr="0006272B">
        <w:rPr>
          <w:sz w:val="16"/>
          <w:szCs w:val="16"/>
        </w:rPr>
        <w:t>VD : ventricule droit, ETT : échographie cardiaque transthoracique</w:t>
      </w:r>
    </w:p>
    <w:p w14:paraId="1D01DC97" w14:textId="77777777" w:rsidR="003720F8" w:rsidRPr="00062B26" w:rsidRDefault="003720F8" w:rsidP="003720F8">
      <w:pPr>
        <w:spacing w:line="276" w:lineRule="auto"/>
        <w:rPr>
          <w:rFonts w:cs="Arial"/>
          <w:color w:val="0070C0"/>
        </w:rPr>
      </w:pPr>
    </w:p>
    <w:p w14:paraId="6B78516A" w14:textId="1A9DA12E" w:rsidR="003720F8" w:rsidRPr="00062B26" w:rsidRDefault="003720F8" w:rsidP="004278AD">
      <w:pPr>
        <w:pStyle w:val="Titre3"/>
      </w:pPr>
      <w:r w:rsidRPr="00062B26">
        <w:t>EP à haut risque de mortalité</w:t>
      </w:r>
    </w:p>
    <w:p w14:paraId="01D83112"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Urgence</w:t>
      </w:r>
      <w:r w:rsidRPr="0006272B">
        <w:rPr>
          <w:rFonts w:cs="Arial"/>
          <w:color w:val="0070C0"/>
        </w:rPr>
        <w:t xml:space="preserve"> thérapeutique.  </w:t>
      </w:r>
    </w:p>
    <w:p w14:paraId="5DDF1FD5"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Hospitalisation en service de </w:t>
      </w:r>
      <w:r w:rsidRPr="0006272B">
        <w:rPr>
          <w:rFonts w:cs="Arial"/>
          <w:b/>
          <w:color w:val="0070C0"/>
        </w:rPr>
        <w:t>réanimation</w:t>
      </w:r>
      <w:r w:rsidRPr="0006272B">
        <w:rPr>
          <w:rFonts w:cs="Arial"/>
          <w:color w:val="0070C0"/>
        </w:rPr>
        <w:t xml:space="preserve">. </w:t>
      </w:r>
    </w:p>
    <w:p w14:paraId="53D5133C"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 xml:space="preserve">Anticoagulation curative </w:t>
      </w:r>
      <w:r w:rsidRPr="0006272B">
        <w:rPr>
          <w:rFonts w:cs="Arial"/>
          <w:color w:val="0070C0"/>
        </w:rPr>
        <w:t xml:space="preserve">: HNF IVSE. </w:t>
      </w:r>
    </w:p>
    <w:p w14:paraId="304FC202"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 xml:space="preserve">Thrombolyse d’emblée. </w:t>
      </w:r>
    </w:p>
    <w:p w14:paraId="7ED29F10"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Embolectomie</w:t>
      </w:r>
      <w:r w:rsidRPr="0006272B">
        <w:rPr>
          <w:rFonts w:cs="Arial"/>
          <w:color w:val="0070C0"/>
        </w:rPr>
        <w:t xml:space="preserve"> en cas d’échec ou de contre-indication à la thrombolyse.</w:t>
      </w:r>
    </w:p>
    <w:p w14:paraId="712D2EEE"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Mesures symptomatiques (oxygénothérapie nasale voire ventilation mécanique, correction du choc). </w:t>
      </w:r>
    </w:p>
    <w:p w14:paraId="6D6E660E" w14:textId="77777777" w:rsidR="003720F8" w:rsidRDefault="003720F8" w:rsidP="003720F8">
      <w:pPr>
        <w:spacing w:line="276" w:lineRule="auto"/>
        <w:rPr>
          <w:rFonts w:cs="Arial"/>
          <w:color w:val="0070C0"/>
        </w:rPr>
      </w:pPr>
      <w:r>
        <w:rPr>
          <w:rFonts w:cs="Arial"/>
          <w:color w:val="0070C0"/>
        </w:rPr>
        <w:lastRenderedPageBreak/>
        <w:t xml:space="preserve">- </w:t>
      </w:r>
      <w:r w:rsidRPr="0006272B">
        <w:rPr>
          <w:rFonts w:cs="Arial"/>
          <w:color w:val="0070C0"/>
        </w:rPr>
        <w:t xml:space="preserve">Repos strict au lit. </w:t>
      </w:r>
    </w:p>
    <w:p w14:paraId="350B64B1" w14:textId="77777777" w:rsidR="004278AD" w:rsidRPr="0006272B" w:rsidRDefault="004278AD" w:rsidP="003720F8">
      <w:pPr>
        <w:spacing w:line="276" w:lineRule="auto"/>
        <w:rPr>
          <w:rFonts w:cs="Arial"/>
          <w:color w:val="0070C0"/>
        </w:rPr>
      </w:pPr>
    </w:p>
    <w:p w14:paraId="33829C6D" w14:textId="373659DE" w:rsidR="003720F8" w:rsidRPr="00062B26" w:rsidRDefault="003720F8" w:rsidP="004278AD">
      <w:pPr>
        <w:pStyle w:val="Titre3"/>
      </w:pPr>
      <w:r w:rsidRPr="00062B26">
        <w:t>EP à faible risque de mortalité</w:t>
      </w:r>
    </w:p>
    <w:p w14:paraId="34B7C748"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Hospitalisation </w:t>
      </w:r>
      <w:r w:rsidRPr="0006272B">
        <w:rPr>
          <w:rFonts w:cs="Arial"/>
          <w:b/>
          <w:color w:val="0070C0"/>
        </w:rPr>
        <w:t>courte</w:t>
      </w:r>
      <w:r w:rsidRPr="0006272B">
        <w:rPr>
          <w:rFonts w:cs="Arial"/>
          <w:color w:val="0070C0"/>
        </w:rPr>
        <w:t xml:space="preserve"> (&lt; 24</w:t>
      </w:r>
      <w:r>
        <w:rPr>
          <w:rFonts w:cs="Arial"/>
          <w:color w:val="0070C0"/>
        </w:rPr>
        <w:t> </w:t>
      </w:r>
      <w:r w:rsidRPr="0006272B">
        <w:rPr>
          <w:rFonts w:cs="Arial"/>
          <w:color w:val="0070C0"/>
        </w:rPr>
        <w:t xml:space="preserve">heures). </w:t>
      </w:r>
    </w:p>
    <w:p w14:paraId="0964EC27"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Anticoagulation curative</w:t>
      </w:r>
      <w:r w:rsidRPr="0006272B">
        <w:rPr>
          <w:rFonts w:cs="Arial"/>
          <w:color w:val="0070C0"/>
        </w:rPr>
        <w:t xml:space="preserve"> (AOD ou HBPM/fondaparinux + AVK). </w:t>
      </w:r>
    </w:p>
    <w:p w14:paraId="7FC44338"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Lever précoce 1</w:t>
      </w:r>
      <w:r>
        <w:rPr>
          <w:rFonts w:cs="Arial"/>
          <w:color w:val="0070C0"/>
        </w:rPr>
        <w:t> </w:t>
      </w:r>
      <w:r w:rsidRPr="0006272B">
        <w:rPr>
          <w:rFonts w:cs="Arial"/>
          <w:color w:val="0070C0"/>
        </w:rPr>
        <w:t xml:space="preserve">heure après l’initiation du traitement anticoagulant. </w:t>
      </w:r>
    </w:p>
    <w:p w14:paraId="2753BE3F"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Avant d’envisager la sortie précoce du patient, il est recommandé de :</w:t>
      </w:r>
    </w:p>
    <w:p w14:paraId="52B636F3" w14:textId="77777777" w:rsidR="003720F8" w:rsidRPr="00062B26" w:rsidRDefault="003720F8">
      <w:pPr>
        <w:numPr>
          <w:ilvl w:val="0"/>
          <w:numId w:val="24"/>
        </w:numPr>
        <w:spacing w:line="276" w:lineRule="auto"/>
        <w:ind w:left="284" w:hanging="142"/>
        <w:rPr>
          <w:rFonts w:cs="Arial"/>
          <w:color w:val="0070C0"/>
        </w:rPr>
      </w:pPr>
      <w:r>
        <w:rPr>
          <w:rFonts w:cs="Arial"/>
          <w:color w:val="0070C0"/>
        </w:rPr>
        <w:t>V</w:t>
      </w:r>
      <w:r w:rsidRPr="00062B26">
        <w:rPr>
          <w:rFonts w:cs="Arial"/>
          <w:color w:val="0070C0"/>
        </w:rPr>
        <w:t>érifier le diagnostic d’EP, les modalités du traitement anticoagulant</w:t>
      </w:r>
      <w:r>
        <w:rPr>
          <w:rFonts w:cs="Arial"/>
          <w:color w:val="0070C0"/>
        </w:rPr>
        <w:t>.</w:t>
      </w:r>
    </w:p>
    <w:p w14:paraId="3366EDBB" w14:textId="77777777" w:rsidR="003720F8" w:rsidRPr="00062B26" w:rsidRDefault="003720F8">
      <w:pPr>
        <w:numPr>
          <w:ilvl w:val="0"/>
          <w:numId w:val="24"/>
        </w:numPr>
        <w:spacing w:line="276" w:lineRule="auto"/>
        <w:ind w:left="284" w:hanging="142"/>
        <w:rPr>
          <w:rFonts w:cs="Arial"/>
          <w:color w:val="0070C0"/>
        </w:rPr>
      </w:pPr>
      <w:r>
        <w:rPr>
          <w:rFonts w:cs="Arial"/>
          <w:color w:val="0070C0"/>
        </w:rPr>
        <w:t>É</w:t>
      </w:r>
      <w:r w:rsidRPr="00062B26">
        <w:rPr>
          <w:rFonts w:cs="Arial"/>
          <w:color w:val="0070C0"/>
        </w:rPr>
        <w:t>valuer les risques de complications et les facteurs psychosociaux limitant la prise en charge ambulatoire</w:t>
      </w:r>
      <w:r>
        <w:rPr>
          <w:rFonts w:cs="Arial"/>
          <w:color w:val="0070C0"/>
        </w:rPr>
        <w:t>.</w:t>
      </w:r>
    </w:p>
    <w:p w14:paraId="0EBAF687" w14:textId="77777777" w:rsidR="003720F8" w:rsidRPr="00062B26" w:rsidRDefault="003720F8">
      <w:pPr>
        <w:numPr>
          <w:ilvl w:val="0"/>
          <w:numId w:val="24"/>
        </w:numPr>
        <w:spacing w:line="276" w:lineRule="auto"/>
        <w:ind w:left="284" w:hanging="142"/>
        <w:rPr>
          <w:rFonts w:cs="Arial"/>
          <w:color w:val="0070C0"/>
        </w:rPr>
      </w:pPr>
      <w:r>
        <w:rPr>
          <w:rFonts w:cs="Arial"/>
          <w:color w:val="0070C0"/>
        </w:rPr>
        <w:t>I</w:t>
      </w:r>
      <w:r w:rsidRPr="00062B26">
        <w:rPr>
          <w:rFonts w:cs="Arial"/>
          <w:color w:val="0070C0"/>
        </w:rPr>
        <w:t>nformer-éduquer</w:t>
      </w:r>
      <w:r>
        <w:rPr>
          <w:rFonts w:cs="Arial"/>
          <w:color w:val="0070C0"/>
        </w:rPr>
        <w:t>.</w:t>
      </w:r>
    </w:p>
    <w:p w14:paraId="3590597B" w14:textId="77777777" w:rsidR="003720F8" w:rsidRPr="00062B26" w:rsidRDefault="003720F8">
      <w:pPr>
        <w:numPr>
          <w:ilvl w:val="0"/>
          <w:numId w:val="24"/>
        </w:numPr>
        <w:spacing w:line="276" w:lineRule="auto"/>
        <w:ind w:left="284" w:hanging="142"/>
        <w:rPr>
          <w:rFonts w:cs="Arial"/>
          <w:color w:val="0070C0"/>
        </w:rPr>
      </w:pPr>
      <w:r>
        <w:rPr>
          <w:rFonts w:cs="Arial"/>
          <w:color w:val="0070C0"/>
        </w:rPr>
        <w:t>O</w:t>
      </w:r>
      <w:r w:rsidRPr="00062B26">
        <w:rPr>
          <w:rFonts w:cs="Arial"/>
          <w:color w:val="0070C0"/>
        </w:rPr>
        <w:t>rganiser la surveillance du traitement</w:t>
      </w:r>
      <w:r>
        <w:rPr>
          <w:rFonts w:cs="Arial"/>
          <w:color w:val="0070C0"/>
        </w:rPr>
        <w:t>.</w:t>
      </w:r>
    </w:p>
    <w:p w14:paraId="7DC5A59D" w14:textId="77777777" w:rsidR="003720F8" w:rsidRPr="00062B26" w:rsidRDefault="003720F8">
      <w:pPr>
        <w:numPr>
          <w:ilvl w:val="0"/>
          <w:numId w:val="24"/>
        </w:numPr>
        <w:spacing w:line="276" w:lineRule="auto"/>
        <w:ind w:left="284" w:hanging="142"/>
        <w:rPr>
          <w:rFonts w:cs="Arial"/>
          <w:color w:val="0070C0"/>
        </w:rPr>
      </w:pPr>
      <w:r>
        <w:rPr>
          <w:rFonts w:cs="Arial"/>
          <w:color w:val="0070C0"/>
        </w:rPr>
        <w:t>P</w:t>
      </w:r>
      <w:r w:rsidRPr="00062B26">
        <w:rPr>
          <w:rFonts w:cs="Arial"/>
          <w:color w:val="0070C0"/>
        </w:rPr>
        <w:t xml:space="preserve">rogrammer une consultation précoce pour évaluer l’observance, l’efficacité et la tolérance du traitement anticoagulant. </w:t>
      </w:r>
    </w:p>
    <w:p w14:paraId="226F6163" w14:textId="77777777" w:rsidR="003720F8" w:rsidRPr="00062B26" w:rsidRDefault="003720F8" w:rsidP="003720F8">
      <w:pPr>
        <w:spacing w:line="276" w:lineRule="auto"/>
        <w:rPr>
          <w:rFonts w:cs="Arial"/>
          <w:i/>
          <w:iCs/>
        </w:rPr>
      </w:pPr>
    </w:p>
    <w:p w14:paraId="25F7D56E" w14:textId="5D17B9F7" w:rsidR="003720F8" w:rsidRPr="0006272B" w:rsidRDefault="003720F8" w:rsidP="004278AD">
      <w:pPr>
        <w:pStyle w:val="Titre3"/>
      </w:pPr>
      <w:r w:rsidRPr="00062B26">
        <w:t>EP à risque intermédiaire de mortalité</w:t>
      </w:r>
    </w:p>
    <w:p w14:paraId="2FC394DC" w14:textId="77777777" w:rsidR="003720F8" w:rsidRPr="004F20BB" w:rsidRDefault="003720F8">
      <w:pPr>
        <w:pStyle w:val="Paragraphedeliste"/>
        <w:numPr>
          <w:ilvl w:val="1"/>
          <w:numId w:val="9"/>
        </w:numPr>
        <w:shd w:val="clear" w:color="auto" w:fill="5C9CD6"/>
        <w:autoSpaceDE w:val="0"/>
        <w:autoSpaceDN w:val="0"/>
        <w:spacing w:after="240" w:line="276" w:lineRule="auto"/>
        <w:ind w:left="426" w:hanging="284"/>
        <w:contextualSpacing w:val="0"/>
        <w:rPr>
          <w:rFonts w:eastAsia="Times New Roman" w:cs="Arial"/>
          <w:b/>
          <w:bCs/>
          <w:caps/>
          <w:noProof/>
          <w:vanish/>
          <w:color w:val="FFFFFF" w:themeColor="background1"/>
          <w:sz w:val="24"/>
          <w:szCs w:val="24"/>
          <w:lang w:bidi="he-IL"/>
        </w:rPr>
      </w:pPr>
    </w:p>
    <w:p w14:paraId="7D3282BA" w14:textId="77777777" w:rsidR="003720F8" w:rsidRPr="004F20BB" w:rsidRDefault="003720F8">
      <w:pPr>
        <w:pStyle w:val="Paragraphedeliste"/>
        <w:numPr>
          <w:ilvl w:val="1"/>
          <w:numId w:val="9"/>
        </w:numPr>
        <w:shd w:val="clear" w:color="auto" w:fill="5C9CD6"/>
        <w:autoSpaceDE w:val="0"/>
        <w:autoSpaceDN w:val="0"/>
        <w:spacing w:after="240" w:line="276" w:lineRule="auto"/>
        <w:ind w:left="426" w:hanging="284"/>
        <w:contextualSpacing w:val="0"/>
        <w:rPr>
          <w:rFonts w:eastAsia="Times New Roman" w:cs="Arial"/>
          <w:b/>
          <w:bCs/>
          <w:caps/>
          <w:noProof/>
          <w:vanish/>
          <w:color w:val="FFFFFF" w:themeColor="background1"/>
          <w:sz w:val="24"/>
          <w:szCs w:val="24"/>
          <w:lang w:bidi="he-IL"/>
        </w:rPr>
      </w:pPr>
    </w:p>
    <w:p w14:paraId="15CE0C5D" w14:textId="77777777" w:rsidR="003720F8" w:rsidRPr="004F20BB" w:rsidRDefault="003720F8">
      <w:pPr>
        <w:pStyle w:val="Paragraphedeliste"/>
        <w:numPr>
          <w:ilvl w:val="1"/>
          <w:numId w:val="9"/>
        </w:numPr>
        <w:shd w:val="clear" w:color="auto" w:fill="5C9CD6"/>
        <w:autoSpaceDE w:val="0"/>
        <w:autoSpaceDN w:val="0"/>
        <w:spacing w:after="240" w:line="276" w:lineRule="auto"/>
        <w:ind w:left="426" w:hanging="284"/>
        <w:contextualSpacing w:val="0"/>
        <w:rPr>
          <w:rFonts w:eastAsia="Times New Roman" w:cs="Arial"/>
          <w:b/>
          <w:bCs/>
          <w:caps/>
          <w:noProof/>
          <w:vanish/>
          <w:color w:val="FFFFFF" w:themeColor="background1"/>
          <w:sz w:val="24"/>
          <w:szCs w:val="24"/>
          <w:lang w:bidi="he-IL"/>
        </w:rPr>
      </w:pPr>
    </w:p>
    <w:p w14:paraId="179E0632" w14:textId="77777777" w:rsidR="004278AD" w:rsidRPr="004278AD" w:rsidRDefault="004278AD">
      <w:pPr>
        <w:pStyle w:val="Paragraphedeliste"/>
        <w:numPr>
          <w:ilvl w:val="0"/>
          <w:numId w:val="4"/>
        </w:numPr>
        <w:pBdr>
          <w:top w:val="nil"/>
          <w:left w:val="nil"/>
          <w:bottom w:val="nil"/>
          <w:right w:val="nil"/>
          <w:between w:val="nil"/>
        </w:pBdr>
        <w:spacing w:after="240"/>
        <w:outlineLvl w:val="3"/>
        <w:rPr>
          <w:b/>
          <w:bCs/>
          <w:vanish/>
        </w:rPr>
      </w:pPr>
    </w:p>
    <w:p w14:paraId="21D73604" w14:textId="77777777" w:rsidR="004278AD" w:rsidRPr="004278AD" w:rsidRDefault="004278AD">
      <w:pPr>
        <w:pStyle w:val="Paragraphedeliste"/>
        <w:numPr>
          <w:ilvl w:val="1"/>
          <w:numId w:val="4"/>
        </w:numPr>
        <w:pBdr>
          <w:top w:val="nil"/>
          <w:left w:val="nil"/>
          <w:bottom w:val="nil"/>
          <w:right w:val="nil"/>
          <w:between w:val="nil"/>
        </w:pBdr>
        <w:spacing w:after="240"/>
        <w:outlineLvl w:val="3"/>
        <w:rPr>
          <w:b/>
          <w:bCs/>
          <w:vanish/>
        </w:rPr>
      </w:pPr>
    </w:p>
    <w:p w14:paraId="2BFB6665" w14:textId="77777777" w:rsidR="004278AD" w:rsidRPr="004278AD" w:rsidRDefault="004278AD">
      <w:pPr>
        <w:pStyle w:val="Paragraphedeliste"/>
        <w:numPr>
          <w:ilvl w:val="1"/>
          <w:numId w:val="4"/>
        </w:numPr>
        <w:pBdr>
          <w:top w:val="nil"/>
          <w:left w:val="nil"/>
          <w:bottom w:val="nil"/>
          <w:right w:val="nil"/>
          <w:between w:val="nil"/>
        </w:pBdr>
        <w:spacing w:after="240"/>
        <w:outlineLvl w:val="3"/>
        <w:rPr>
          <w:b/>
          <w:bCs/>
          <w:vanish/>
        </w:rPr>
      </w:pPr>
    </w:p>
    <w:p w14:paraId="569BC9A4" w14:textId="77777777" w:rsidR="004278AD" w:rsidRPr="004278AD" w:rsidRDefault="004278AD">
      <w:pPr>
        <w:pStyle w:val="Paragraphedeliste"/>
        <w:numPr>
          <w:ilvl w:val="1"/>
          <w:numId w:val="4"/>
        </w:numPr>
        <w:pBdr>
          <w:top w:val="nil"/>
          <w:left w:val="nil"/>
          <w:bottom w:val="nil"/>
          <w:right w:val="nil"/>
          <w:between w:val="nil"/>
        </w:pBdr>
        <w:spacing w:after="240"/>
        <w:outlineLvl w:val="3"/>
        <w:rPr>
          <w:b/>
          <w:bCs/>
          <w:vanish/>
        </w:rPr>
      </w:pPr>
    </w:p>
    <w:p w14:paraId="1CBD09C1" w14:textId="6693FE9D" w:rsidR="003720F8" w:rsidRPr="00062B26" w:rsidRDefault="003720F8" w:rsidP="004278AD">
      <w:pPr>
        <w:pStyle w:val="Titre4"/>
      </w:pPr>
      <w:r w:rsidRPr="00062B26">
        <w:t>EP à risque intermédiaire-faible</w:t>
      </w:r>
    </w:p>
    <w:p w14:paraId="1B2BECE9" w14:textId="77777777" w:rsidR="003720F8"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Hospitalisation en service de </w:t>
      </w:r>
      <w:r w:rsidRPr="0006272B">
        <w:rPr>
          <w:rFonts w:cs="Arial"/>
          <w:b/>
          <w:color w:val="0070C0"/>
        </w:rPr>
        <w:t xml:space="preserve">médecine. </w:t>
      </w:r>
      <w:r w:rsidRPr="0006272B">
        <w:rPr>
          <w:rFonts w:cs="Arial"/>
          <w:color w:val="0070C0"/>
        </w:rPr>
        <w:t xml:space="preserve"> </w:t>
      </w:r>
    </w:p>
    <w:p w14:paraId="7F2C582B"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b/>
          <w:color w:val="0070C0"/>
        </w:rPr>
        <w:t>Anticoagulation</w:t>
      </w:r>
      <w:r w:rsidRPr="0006272B">
        <w:rPr>
          <w:rFonts w:cs="Arial"/>
          <w:color w:val="0070C0"/>
        </w:rPr>
        <w:t xml:space="preserve"> </w:t>
      </w:r>
      <w:r w:rsidRPr="0006272B">
        <w:rPr>
          <w:rFonts w:cs="Arial"/>
          <w:b/>
          <w:color w:val="0070C0"/>
        </w:rPr>
        <w:t>curative</w:t>
      </w:r>
      <w:r w:rsidRPr="0006272B">
        <w:rPr>
          <w:rFonts w:cs="Arial"/>
          <w:color w:val="0070C0"/>
        </w:rPr>
        <w:t xml:space="preserve"> (AOD ou HBPM/fondaparinux + AVK). </w:t>
      </w:r>
    </w:p>
    <w:p w14:paraId="633F6C4B"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Lever précoce 1</w:t>
      </w:r>
      <w:r>
        <w:rPr>
          <w:rFonts w:cs="Arial"/>
          <w:color w:val="0070C0"/>
        </w:rPr>
        <w:t> </w:t>
      </w:r>
      <w:r w:rsidRPr="0006272B">
        <w:rPr>
          <w:rFonts w:cs="Arial"/>
          <w:color w:val="0070C0"/>
        </w:rPr>
        <w:t xml:space="preserve">heure après l’initiation du traitement anticoagulant selon état clinique.  </w:t>
      </w:r>
    </w:p>
    <w:p w14:paraId="132A710F"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Information-éducation thérapeutique. </w:t>
      </w:r>
    </w:p>
    <w:p w14:paraId="5E4010EF" w14:textId="77777777" w:rsidR="003720F8" w:rsidRPr="00062B26" w:rsidRDefault="003720F8" w:rsidP="003720F8">
      <w:pPr>
        <w:spacing w:line="276" w:lineRule="auto"/>
        <w:rPr>
          <w:rFonts w:cs="Arial"/>
          <w:i/>
          <w:iCs/>
        </w:rPr>
      </w:pPr>
    </w:p>
    <w:p w14:paraId="5AD67B69" w14:textId="77777777" w:rsidR="003720F8" w:rsidRPr="00062B26" w:rsidRDefault="003720F8" w:rsidP="004278AD">
      <w:pPr>
        <w:pStyle w:val="Titre4"/>
      </w:pPr>
      <w:r w:rsidRPr="00062B26">
        <w:t>EP à risque intermédiaire-élevé</w:t>
      </w:r>
    </w:p>
    <w:p w14:paraId="71495C22"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Urgence</w:t>
      </w:r>
      <w:r w:rsidRPr="0006272B">
        <w:rPr>
          <w:rFonts w:cs="Arial"/>
          <w:color w:val="0070C0"/>
        </w:rPr>
        <w:t xml:space="preserve"> thérapeutique.  </w:t>
      </w:r>
    </w:p>
    <w:p w14:paraId="26608142"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Hospitalisation en </w:t>
      </w:r>
      <w:r w:rsidRPr="0006272B">
        <w:rPr>
          <w:rFonts w:cs="Arial"/>
          <w:b/>
          <w:color w:val="0070C0"/>
        </w:rPr>
        <w:t>unité de soins intensifs pour monitoring</w:t>
      </w:r>
      <w:r w:rsidRPr="0006272B">
        <w:rPr>
          <w:rFonts w:cs="Arial"/>
          <w:color w:val="0070C0"/>
        </w:rPr>
        <w:t xml:space="preserve">. </w:t>
      </w:r>
    </w:p>
    <w:p w14:paraId="5F4B9305"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 xml:space="preserve">Anticoagulation curative </w:t>
      </w:r>
      <w:r w:rsidRPr="0006272B">
        <w:rPr>
          <w:rFonts w:cs="Arial"/>
          <w:color w:val="0070C0"/>
        </w:rPr>
        <w:t xml:space="preserve">: </w:t>
      </w:r>
    </w:p>
    <w:p w14:paraId="7154230B" w14:textId="77777777" w:rsidR="003720F8" w:rsidRPr="00062B26" w:rsidRDefault="003720F8">
      <w:pPr>
        <w:pStyle w:val="Paragraphedeliste"/>
        <w:numPr>
          <w:ilvl w:val="1"/>
          <w:numId w:val="25"/>
        </w:numPr>
        <w:spacing w:line="276" w:lineRule="auto"/>
        <w:ind w:left="284" w:hanging="142"/>
        <w:rPr>
          <w:rFonts w:cs="Arial"/>
          <w:color w:val="0070C0"/>
        </w:rPr>
      </w:pPr>
      <w:r w:rsidRPr="00062B26">
        <w:rPr>
          <w:rFonts w:cs="Arial"/>
          <w:color w:val="0070C0"/>
        </w:rPr>
        <w:t>HBPM sous-cutanée (1</w:t>
      </w:r>
      <w:r w:rsidRPr="00062B26">
        <w:rPr>
          <w:rFonts w:cs="Arial"/>
          <w:color w:val="0070C0"/>
          <w:vertAlign w:val="superscript"/>
        </w:rPr>
        <w:t>re</w:t>
      </w:r>
      <w:r w:rsidRPr="00062B26">
        <w:rPr>
          <w:rFonts w:cs="Arial"/>
          <w:color w:val="0070C0"/>
        </w:rPr>
        <w:t xml:space="preserve"> intention) ou HNF IVSE (si HBPM contre-indiquée</w:t>
      </w:r>
      <w:r>
        <w:rPr>
          <w:rFonts w:cs="Arial"/>
          <w:color w:val="0070C0"/>
        </w:rPr>
        <w:t>s</w:t>
      </w:r>
      <w:r w:rsidRPr="00062B26">
        <w:rPr>
          <w:rFonts w:cs="Arial"/>
          <w:color w:val="0070C0"/>
        </w:rPr>
        <w:t>) pendant les 48 à 72</w:t>
      </w:r>
      <w:r>
        <w:rPr>
          <w:rFonts w:cs="Arial"/>
          <w:color w:val="0070C0"/>
        </w:rPr>
        <w:t> </w:t>
      </w:r>
      <w:r w:rsidRPr="00062B26">
        <w:rPr>
          <w:rFonts w:cs="Arial"/>
          <w:color w:val="0070C0"/>
        </w:rPr>
        <w:t>premières heures sans relai précoce par AVK</w:t>
      </w:r>
      <w:r>
        <w:rPr>
          <w:rFonts w:ascii="Arial" w:hAnsi="Arial" w:cs="Arial"/>
          <w:color w:val="0070C0"/>
        </w:rPr>
        <w:t> </w:t>
      </w:r>
      <w:r w:rsidRPr="00062B26">
        <w:rPr>
          <w:rFonts w:cs="Arial"/>
          <w:color w:val="0070C0"/>
        </w:rPr>
        <w:t xml:space="preserve">; pas d’AOD d’emblée. </w:t>
      </w:r>
    </w:p>
    <w:p w14:paraId="43D16358" w14:textId="77777777" w:rsidR="003720F8" w:rsidRPr="00062B26" w:rsidRDefault="003720F8">
      <w:pPr>
        <w:pStyle w:val="Paragraphedeliste"/>
        <w:numPr>
          <w:ilvl w:val="1"/>
          <w:numId w:val="25"/>
        </w:numPr>
        <w:spacing w:line="276" w:lineRule="auto"/>
        <w:ind w:left="284" w:hanging="142"/>
        <w:rPr>
          <w:rFonts w:cs="Arial"/>
          <w:color w:val="0070C0"/>
        </w:rPr>
      </w:pPr>
      <w:r>
        <w:rPr>
          <w:rFonts w:cs="Arial"/>
          <w:color w:val="0070C0"/>
        </w:rPr>
        <w:t>R</w:t>
      </w:r>
      <w:r w:rsidRPr="00062B26">
        <w:rPr>
          <w:rFonts w:cs="Arial"/>
          <w:color w:val="0070C0"/>
        </w:rPr>
        <w:t>elais AVK ou AOD à 48-72</w:t>
      </w:r>
      <w:r>
        <w:rPr>
          <w:rFonts w:cs="Arial"/>
          <w:color w:val="0070C0"/>
        </w:rPr>
        <w:t> </w:t>
      </w:r>
      <w:r w:rsidRPr="00062B26">
        <w:rPr>
          <w:rFonts w:cs="Arial"/>
          <w:color w:val="0070C0"/>
        </w:rPr>
        <w:t xml:space="preserve">heures après amélioration clinique. </w:t>
      </w:r>
    </w:p>
    <w:p w14:paraId="52DCF4AB"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b/>
          <w:color w:val="0070C0"/>
        </w:rPr>
        <w:t>Thrombolyse </w:t>
      </w:r>
      <w:r w:rsidRPr="0006272B">
        <w:rPr>
          <w:rFonts w:cs="Arial"/>
          <w:color w:val="0070C0"/>
        </w:rPr>
        <w:t>: en 2</w:t>
      </w:r>
      <w:r w:rsidRPr="0006272B">
        <w:rPr>
          <w:rFonts w:cs="Arial"/>
          <w:color w:val="0070C0"/>
          <w:vertAlign w:val="superscript"/>
        </w:rPr>
        <w:t>e</w:t>
      </w:r>
      <w:r>
        <w:rPr>
          <w:rFonts w:cs="Arial"/>
          <w:color w:val="0070C0"/>
        </w:rPr>
        <w:t> </w:t>
      </w:r>
      <w:r w:rsidRPr="0006272B">
        <w:rPr>
          <w:rFonts w:cs="Arial"/>
          <w:color w:val="0070C0"/>
        </w:rPr>
        <w:t>intention si évolution vers un état de choc.</w:t>
      </w:r>
    </w:p>
    <w:p w14:paraId="01A32BD3"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Mesures symptomatiques (oxygénothérapie). </w:t>
      </w:r>
    </w:p>
    <w:p w14:paraId="6BD5001D"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 xml:space="preserve">Repos strict au lit. </w:t>
      </w:r>
    </w:p>
    <w:p w14:paraId="657236CB" w14:textId="77777777" w:rsidR="003720F8" w:rsidRPr="00062B26" w:rsidRDefault="003720F8" w:rsidP="003720F8">
      <w:pPr>
        <w:widowControl w:val="0"/>
        <w:spacing w:line="276" w:lineRule="auto"/>
        <w:rPr>
          <w:rFonts w:cs="Arial"/>
          <w:i/>
          <w:iCs/>
        </w:rPr>
      </w:pPr>
    </w:p>
    <w:p w14:paraId="69AD0274" w14:textId="0DD51081" w:rsidR="003720F8" w:rsidRPr="0006272B" w:rsidRDefault="003720F8">
      <w:pPr>
        <w:pStyle w:val="titredesous-partie"/>
        <w:numPr>
          <w:ilvl w:val="0"/>
          <w:numId w:val="4"/>
        </w:numPr>
        <w:ind w:left="426" w:hanging="284"/>
      </w:pPr>
      <w:r w:rsidRPr="00062B26">
        <w:t>STRATEGIE THERAPEUTIQUE DE LA TVP</w:t>
      </w:r>
    </w:p>
    <w:p w14:paraId="2D440DE2" w14:textId="77777777" w:rsidR="003720F8" w:rsidRPr="00062B26" w:rsidRDefault="003720F8" w:rsidP="003720F8">
      <w:pPr>
        <w:spacing w:line="276" w:lineRule="auto"/>
        <w:rPr>
          <w:rFonts w:cs="Arial"/>
          <w:color w:val="0070C0"/>
        </w:rPr>
      </w:pPr>
      <w:r w:rsidRPr="00062B26">
        <w:rPr>
          <w:rFonts w:cs="Arial"/>
          <w:color w:val="0070C0"/>
        </w:rPr>
        <w:t>La majorité des patients avec une TVP est traitée en ambulatoire. L’hospitalisation est indiquée en cas de TVP sous traitement anticoagulant, insuffisance rénale sévère (&lt; 30</w:t>
      </w:r>
      <w:r>
        <w:rPr>
          <w:rFonts w:cs="Arial"/>
          <w:color w:val="0070C0"/>
        </w:rPr>
        <w:t> </w:t>
      </w:r>
      <w:proofErr w:type="spellStart"/>
      <w:r w:rsidRPr="00062B26">
        <w:rPr>
          <w:rFonts w:cs="Arial"/>
          <w:color w:val="0070C0"/>
        </w:rPr>
        <w:t>m</w:t>
      </w:r>
      <w:r>
        <w:rPr>
          <w:rFonts w:cs="Arial"/>
          <w:color w:val="0070C0"/>
        </w:rPr>
        <w:t>L</w:t>
      </w:r>
      <w:proofErr w:type="spellEnd"/>
      <w:r w:rsidRPr="00062B26">
        <w:rPr>
          <w:rFonts w:cs="Arial"/>
          <w:color w:val="0070C0"/>
        </w:rPr>
        <w:t>/min selon Cockcroft), comorbidités (cancer, maladie cardio-respiratoire sévère, sujet de plus de 75</w:t>
      </w:r>
      <w:r>
        <w:rPr>
          <w:rFonts w:cs="Arial"/>
          <w:color w:val="0070C0"/>
        </w:rPr>
        <w:t> </w:t>
      </w:r>
      <w:r w:rsidRPr="00062B26">
        <w:rPr>
          <w:rFonts w:cs="Arial"/>
          <w:color w:val="0070C0"/>
        </w:rPr>
        <w:t>ans), TVP sévère (</w:t>
      </w:r>
      <w:proofErr w:type="spellStart"/>
      <w:r w:rsidRPr="00062B26">
        <w:rPr>
          <w:rFonts w:cs="Arial"/>
          <w:color w:val="0070C0"/>
        </w:rPr>
        <w:t>phlegmatia</w:t>
      </w:r>
      <w:proofErr w:type="spellEnd"/>
      <w:r w:rsidRPr="00062B26">
        <w:rPr>
          <w:rFonts w:cs="Arial"/>
          <w:color w:val="0070C0"/>
        </w:rPr>
        <w:t xml:space="preserve"> </w:t>
      </w:r>
      <w:proofErr w:type="spellStart"/>
      <w:r w:rsidRPr="00062B26">
        <w:rPr>
          <w:rFonts w:cs="Arial"/>
          <w:color w:val="0070C0"/>
        </w:rPr>
        <w:t>cerulea</w:t>
      </w:r>
      <w:proofErr w:type="spellEnd"/>
      <w:r w:rsidRPr="00062B26">
        <w:rPr>
          <w:rFonts w:cs="Arial"/>
          <w:color w:val="0070C0"/>
        </w:rPr>
        <w:t xml:space="preserve"> ou phlébite bleue) ou TVP bilatérale, hémorragie active ou risque hémorragique majeur, impossibilité d’organiser une consultation ou contexte médico-social défavorable.</w:t>
      </w:r>
    </w:p>
    <w:p w14:paraId="26D5669A" w14:textId="77777777" w:rsidR="003720F8" w:rsidRPr="00062B26" w:rsidRDefault="003720F8" w:rsidP="003720F8">
      <w:pPr>
        <w:spacing w:line="276" w:lineRule="auto"/>
        <w:rPr>
          <w:rFonts w:cs="Arial"/>
          <w:b/>
          <w:color w:val="0070C0"/>
        </w:rPr>
      </w:pPr>
    </w:p>
    <w:p w14:paraId="63CDF111" w14:textId="77777777" w:rsidR="003720F8" w:rsidRPr="00062B26" w:rsidRDefault="003720F8" w:rsidP="003720F8">
      <w:pPr>
        <w:spacing w:line="276" w:lineRule="auto"/>
        <w:rPr>
          <w:rFonts w:cs="Arial"/>
          <w:b/>
          <w:color w:val="0070C0"/>
        </w:rPr>
      </w:pPr>
      <w:r w:rsidRPr="00062B26">
        <w:rPr>
          <w:rFonts w:cs="Arial"/>
          <w:b/>
          <w:color w:val="0070C0"/>
        </w:rPr>
        <w:lastRenderedPageBreak/>
        <w:t>Cas particulier de la thrombose veineuse superficielle (TVS) :</w:t>
      </w:r>
      <w:r w:rsidRPr="00062B26">
        <w:rPr>
          <w:rFonts w:cs="Arial"/>
          <w:color w:val="0070C0"/>
        </w:rPr>
        <w:t xml:space="preserve"> un diagnostic par échodoppler veineux est indispensable pour rechercher une TVP associée (présente dans 5</w:t>
      </w:r>
      <w:r>
        <w:rPr>
          <w:rFonts w:cs="Arial"/>
          <w:color w:val="0070C0"/>
        </w:rPr>
        <w:t> </w:t>
      </w:r>
      <w:r w:rsidRPr="00062B26">
        <w:rPr>
          <w:rFonts w:cs="Arial"/>
          <w:color w:val="0070C0"/>
        </w:rPr>
        <w:t>% des cas). En cas de TVS isolée de plus de 5</w:t>
      </w:r>
      <w:r>
        <w:rPr>
          <w:rFonts w:cs="Arial"/>
          <w:color w:val="0070C0"/>
        </w:rPr>
        <w:t> </w:t>
      </w:r>
      <w:r w:rsidRPr="00062B26">
        <w:rPr>
          <w:rFonts w:cs="Arial"/>
          <w:color w:val="0070C0"/>
        </w:rPr>
        <w:t>cm de longueur, située à plus de 3</w:t>
      </w:r>
      <w:r>
        <w:rPr>
          <w:rFonts w:cs="Arial"/>
          <w:color w:val="0070C0"/>
        </w:rPr>
        <w:t> </w:t>
      </w:r>
      <w:r w:rsidRPr="00062B26">
        <w:rPr>
          <w:rFonts w:cs="Arial"/>
          <w:color w:val="0070C0"/>
        </w:rPr>
        <w:t xml:space="preserve">cm de la jonction </w:t>
      </w:r>
      <w:proofErr w:type="spellStart"/>
      <w:r w:rsidRPr="00062B26">
        <w:rPr>
          <w:rFonts w:cs="Arial"/>
          <w:color w:val="0070C0"/>
        </w:rPr>
        <w:t>saphéno</w:t>
      </w:r>
      <w:proofErr w:type="spellEnd"/>
      <w:r w:rsidRPr="00062B26">
        <w:rPr>
          <w:rFonts w:cs="Arial"/>
          <w:color w:val="0070C0"/>
        </w:rPr>
        <w:t>-fémorale, le traitement médical repose sur le fondaparinux à dose préventive pendant 45</w:t>
      </w:r>
      <w:r>
        <w:rPr>
          <w:rFonts w:cs="Arial"/>
          <w:color w:val="0070C0"/>
        </w:rPr>
        <w:t> </w:t>
      </w:r>
      <w:r w:rsidRPr="00062B26">
        <w:rPr>
          <w:rFonts w:cs="Arial"/>
          <w:color w:val="0070C0"/>
        </w:rPr>
        <w:t>jours.</w:t>
      </w:r>
    </w:p>
    <w:p w14:paraId="6EA6122F" w14:textId="77777777" w:rsidR="003720F8" w:rsidRPr="00062B26" w:rsidRDefault="003720F8" w:rsidP="003720F8">
      <w:pPr>
        <w:spacing w:line="276" w:lineRule="auto"/>
        <w:rPr>
          <w:rFonts w:cs="Arial"/>
          <w:b/>
          <w:i/>
          <w:iCs/>
        </w:rPr>
      </w:pPr>
    </w:p>
    <w:p w14:paraId="74147C53" w14:textId="0F1263AE" w:rsidR="003720F8" w:rsidRPr="0006272B" w:rsidRDefault="003720F8">
      <w:pPr>
        <w:pStyle w:val="titredesous-partie"/>
        <w:numPr>
          <w:ilvl w:val="0"/>
          <w:numId w:val="4"/>
        </w:numPr>
        <w:ind w:left="426" w:hanging="284"/>
      </w:pPr>
      <w:r w:rsidRPr="00062B26">
        <w:t>DURÉE DE TRAITEMENT ANTICOAGULANT (EP et TVP proximale)</w:t>
      </w:r>
    </w:p>
    <w:p w14:paraId="50F261AE" w14:textId="77777777" w:rsidR="003720F8" w:rsidRPr="00062B26" w:rsidRDefault="003720F8" w:rsidP="003720F8">
      <w:pPr>
        <w:widowControl w:val="0"/>
        <w:spacing w:line="276" w:lineRule="auto"/>
        <w:rPr>
          <w:rFonts w:cs="Arial"/>
          <w:bCs/>
          <w:color w:val="0070C0"/>
        </w:rPr>
      </w:pPr>
      <w:r>
        <w:rPr>
          <w:rFonts w:cs="Arial"/>
          <w:bCs/>
          <w:color w:val="0070C0"/>
        </w:rPr>
        <w:t xml:space="preserve">- </w:t>
      </w:r>
      <w:r w:rsidRPr="00062B26">
        <w:rPr>
          <w:rFonts w:cs="Arial"/>
          <w:bCs/>
          <w:color w:val="0070C0"/>
        </w:rPr>
        <w:t xml:space="preserve">Durée minimale = </w:t>
      </w:r>
      <w:r w:rsidRPr="00062B26">
        <w:rPr>
          <w:rFonts w:cs="Arial"/>
          <w:b/>
          <w:bCs/>
          <w:color w:val="0070C0"/>
        </w:rPr>
        <w:t>3 mois.</w:t>
      </w:r>
      <w:r w:rsidRPr="00062B26">
        <w:rPr>
          <w:rFonts w:cs="Arial"/>
          <w:bCs/>
          <w:color w:val="0070C0"/>
        </w:rPr>
        <w:t xml:space="preserve"> </w:t>
      </w:r>
    </w:p>
    <w:p w14:paraId="7D9A2ED8" w14:textId="77777777" w:rsidR="003720F8" w:rsidRPr="00062B26" w:rsidRDefault="003720F8" w:rsidP="003720F8">
      <w:pPr>
        <w:widowControl w:val="0"/>
        <w:spacing w:line="276" w:lineRule="auto"/>
        <w:rPr>
          <w:rFonts w:cs="Arial"/>
          <w:bCs/>
          <w:color w:val="0070C0"/>
        </w:rPr>
      </w:pPr>
      <w:r>
        <w:rPr>
          <w:rFonts w:cs="Arial"/>
          <w:bCs/>
          <w:color w:val="0070C0"/>
        </w:rPr>
        <w:t xml:space="preserve">- </w:t>
      </w:r>
      <w:r w:rsidRPr="00062B26">
        <w:rPr>
          <w:rFonts w:cs="Arial"/>
          <w:bCs/>
          <w:color w:val="0070C0"/>
        </w:rPr>
        <w:t xml:space="preserve">La durée de traitement est identique pour une TVP proximale ou pour une EP. </w:t>
      </w:r>
    </w:p>
    <w:p w14:paraId="1F03FE1F" w14:textId="77777777" w:rsidR="003720F8" w:rsidRPr="00062B26" w:rsidRDefault="003720F8" w:rsidP="003720F8">
      <w:pPr>
        <w:widowControl w:val="0"/>
        <w:spacing w:line="276" w:lineRule="auto"/>
        <w:rPr>
          <w:rFonts w:cs="Arial"/>
          <w:b/>
          <w:bCs/>
          <w:color w:val="0070C0"/>
        </w:rPr>
      </w:pPr>
      <w:r>
        <w:rPr>
          <w:rFonts w:cs="Arial"/>
          <w:b/>
          <w:bCs/>
          <w:color w:val="0070C0"/>
        </w:rPr>
        <w:t xml:space="preserve">- </w:t>
      </w:r>
      <w:r w:rsidRPr="00062B26">
        <w:rPr>
          <w:rFonts w:cs="Arial"/>
          <w:b/>
          <w:bCs/>
          <w:color w:val="0070C0"/>
        </w:rPr>
        <w:t>Seulement 2</w:t>
      </w:r>
      <w:r>
        <w:rPr>
          <w:rFonts w:cs="Arial"/>
          <w:b/>
          <w:bCs/>
          <w:color w:val="0070C0"/>
        </w:rPr>
        <w:t> </w:t>
      </w:r>
      <w:r w:rsidRPr="00062B26">
        <w:rPr>
          <w:rFonts w:cs="Arial"/>
          <w:b/>
          <w:bCs/>
          <w:color w:val="0070C0"/>
        </w:rPr>
        <w:t>choix de durée possible :</w:t>
      </w:r>
    </w:p>
    <w:p w14:paraId="7738A33B" w14:textId="77777777" w:rsidR="003720F8" w:rsidRPr="00062B26" w:rsidRDefault="003720F8">
      <w:pPr>
        <w:pStyle w:val="Paragraphedeliste"/>
        <w:numPr>
          <w:ilvl w:val="1"/>
          <w:numId w:val="26"/>
        </w:numPr>
        <w:spacing w:line="276" w:lineRule="auto"/>
        <w:ind w:left="284" w:hanging="142"/>
        <w:rPr>
          <w:rFonts w:cs="Arial"/>
          <w:noProof/>
          <w:color w:val="0070C0"/>
        </w:rPr>
      </w:pPr>
      <w:r w:rsidRPr="00062B26">
        <w:rPr>
          <w:rFonts w:cs="Arial"/>
          <w:noProof/>
          <w:color w:val="0070C0"/>
        </w:rPr>
        <w:t>Traitement court (3 à 6</w:t>
      </w:r>
      <w:r>
        <w:rPr>
          <w:rFonts w:cs="Arial"/>
          <w:noProof/>
          <w:color w:val="0070C0"/>
        </w:rPr>
        <w:t> </w:t>
      </w:r>
      <w:r w:rsidRPr="00062B26">
        <w:rPr>
          <w:rFonts w:cs="Arial"/>
          <w:noProof/>
          <w:color w:val="0070C0"/>
        </w:rPr>
        <w:t>mois)</w:t>
      </w:r>
      <w:r>
        <w:rPr>
          <w:rFonts w:cs="Arial"/>
          <w:noProof/>
          <w:color w:val="0070C0"/>
        </w:rPr>
        <w:t> </w:t>
      </w:r>
      <w:r w:rsidRPr="00062B26">
        <w:rPr>
          <w:rFonts w:cs="Arial"/>
          <w:noProof/>
          <w:color w:val="0070C0"/>
        </w:rPr>
        <w:t>:</w:t>
      </w:r>
    </w:p>
    <w:p w14:paraId="52DB0292" w14:textId="77777777" w:rsidR="003720F8" w:rsidRPr="00062B26" w:rsidRDefault="003720F8">
      <w:pPr>
        <w:pStyle w:val="Paragraphedeliste"/>
        <w:numPr>
          <w:ilvl w:val="0"/>
          <w:numId w:val="27"/>
        </w:numPr>
        <w:tabs>
          <w:tab w:val="clear" w:pos="360"/>
        </w:tabs>
        <w:spacing w:line="276" w:lineRule="auto"/>
        <w:ind w:left="567" w:hanging="283"/>
        <w:rPr>
          <w:rFonts w:cs="Arial"/>
          <w:noProof/>
          <w:color w:val="0070C0"/>
          <w:lang w:val="pt-PT"/>
        </w:rPr>
      </w:pPr>
      <w:r w:rsidRPr="00062B26">
        <w:rPr>
          <w:rFonts w:cs="Arial"/>
          <w:noProof/>
          <w:color w:val="0070C0"/>
          <w:lang w:val="pt-PT"/>
        </w:rPr>
        <w:t>1</w:t>
      </w:r>
      <w:r w:rsidRPr="00062B26">
        <w:rPr>
          <w:rFonts w:cs="Arial"/>
          <w:noProof/>
          <w:color w:val="0070C0"/>
          <w:vertAlign w:val="superscript"/>
          <w:lang w:val="pt-PT"/>
        </w:rPr>
        <w:t>re</w:t>
      </w:r>
      <w:r w:rsidRPr="00062B26">
        <w:rPr>
          <w:rFonts w:cs="Arial"/>
          <w:noProof/>
          <w:color w:val="0070C0"/>
          <w:lang w:val="pt-PT"/>
        </w:rPr>
        <w:t xml:space="preserve"> EP ou TVP proximale :</w:t>
      </w:r>
    </w:p>
    <w:p w14:paraId="36FE89DC" w14:textId="77777777" w:rsidR="003720F8" w:rsidRPr="00062B26" w:rsidRDefault="003720F8">
      <w:pPr>
        <w:pStyle w:val="Paragraphedeliste"/>
        <w:numPr>
          <w:ilvl w:val="3"/>
          <w:numId w:val="28"/>
        </w:numPr>
        <w:spacing w:line="276" w:lineRule="auto"/>
        <w:ind w:left="851" w:hanging="284"/>
        <w:rPr>
          <w:rFonts w:cs="Arial"/>
          <w:noProof/>
          <w:color w:val="0070C0"/>
        </w:rPr>
      </w:pPr>
      <w:r>
        <w:rPr>
          <w:rFonts w:cs="Arial"/>
          <w:noProof/>
          <w:color w:val="0070C0"/>
        </w:rPr>
        <w:t>P</w:t>
      </w:r>
      <w:r w:rsidRPr="00062B26">
        <w:rPr>
          <w:rFonts w:cs="Arial"/>
          <w:noProof/>
          <w:color w:val="0070C0"/>
        </w:rPr>
        <w:t>rovoquée par un facteur majeur transitoire (tableau</w:t>
      </w:r>
      <w:r>
        <w:rPr>
          <w:rFonts w:cs="Arial"/>
          <w:noProof/>
          <w:color w:val="0070C0"/>
        </w:rPr>
        <w:t> </w:t>
      </w:r>
      <w:r w:rsidRPr="00062B26">
        <w:rPr>
          <w:rFonts w:cs="Arial"/>
          <w:noProof/>
          <w:color w:val="0070C0"/>
        </w:rPr>
        <w:t>1)</w:t>
      </w:r>
      <w:r>
        <w:rPr>
          <w:rFonts w:ascii="Arial" w:hAnsi="Arial" w:cs="Arial"/>
          <w:noProof/>
          <w:color w:val="0070C0"/>
        </w:rPr>
        <w:t> </w:t>
      </w:r>
      <w:r>
        <w:rPr>
          <w:rFonts w:cs="Arial"/>
          <w:noProof/>
          <w:color w:val="0070C0"/>
        </w:rPr>
        <w:t>;</w:t>
      </w:r>
    </w:p>
    <w:p w14:paraId="5DFB8933" w14:textId="77777777" w:rsidR="003720F8" w:rsidRPr="00062B26" w:rsidRDefault="003720F8">
      <w:pPr>
        <w:pStyle w:val="Paragraphedeliste"/>
        <w:numPr>
          <w:ilvl w:val="3"/>
          <w:numId w:val="28"/>
        </w:numPr>
        <w:spacing w:line="276" w:lineRule="auto"/>
        <w:ind w:left="851" w:hanging="284"/>
        <w:rPr>
          <w:rFonts w:cs="Arial"/>
          <w:noProof/>
          <w:color w:val="0070C0"/>
        </w:rPr>
      </w:pPr>
      <w:r>
        <w:rPr>
          <w:rFonts w:cs="Arial"/>
          <w:noProof/>
          <w:color w:val="0070C0"/>
        </w:rPr>
        <w:t>n</w:t>
      </w:r>
      <w:r w:rsidRPr="00062B26">
        <w:rPr>
          <w:rFonts w:cs="Arial"/>
          <w:noProof/>
          <w:color w:val="0070C0"/>
        </w:rPr>
        <w:t>on provoquée chez une femme &lt;</w:t>
      </w:r>
      <w:r>
        <w:rPr>
          <w:rFonts w:cs="Arial"/>
          <w:noProof/>
          <w:color w:val="0070C0"/>
        </w:rPr>
        <w:t xml:space="preserve"> </w:t>
      </w:r>
      <w:r w:rsidRPr="00062B26">
        <w:rPr>
          <w:rFonts w:cs="Arial"/>
          <w:noProof/>
          <w:color w:val="0070C0"/>
        </w:rPr>
        <w:t>50</w:t>
      </w:r>
      <w:r>
        <w:rPr>
          <w:rFonts w:cs="Arial"/>
          <w:noProof/>
          <w:color w:val="0070C0"/>
        </w:rPr>
        <w:t> </w:t>
      </w:r>
      <w:r w:rsidRPr="00062B26">
        <w:rPr>
          <w:rFonts w:cs="Arial"/>
          <w:noProof/>
          <w:color w:val="0070C0"/>
        </w:rPr>
        <w:t xml:space="preserve">ans. </w:t>
      </w:r>
    </w:p>
    <w:p w14:paraId="15CB3FEC" w14:textId="77777777" w:rsidR="003720F8" w:rsidRPr="00062B26" w:rsidRDefault="003720F8">
      <w:pPr>
        <w:pStyle w:val="Paragraphedeliste"/>
        <w:numPr>
          <w:ilvl w:val="0"/>
          <w:numId w:val="27"/>
        </w:numPr>
        <w:tabs>
          <w:tab w:val="clear" w:pos="360"/>
        </w:tabs>
        <w:spacing w:line="276" w:lineRule="auto"/>
        <w:ind w:left="567" w:hanging="283"/>
        <w:rPr>
          <w:rFonts w:cs="Arial"/>
          <w:noProof/>
          <w:color w:val="0070C0"/>
        </w:rPr>
      </w:pPr>
      <w:r>
        <w:rPr>
          <w:rFonts w:cs="Arial"/>
          <w:noProof/>
          <w:color w:val="0070C0"/>
        </w:rPr>
        <w:t>S</w:t>
      </w:r>
      <w:r w:rsidRPr="00062B26">
        <w:rPr>
          <w:rFonts w:cs="Arial"/>
          <w:noProof/>
          <w:color w:val="0070C0"/>
        </w:rPr>
        <w:t xml:space="preserve">i risque hémorragique élevé. </w:t>
      </w:r>
    </w:p>
    <w:p w14:paraId="316004C5" w14:textId="77777777" w:rsidR="003720F8" w:rsidRPr="00062B26" w:rsidRDefault="003720F8">
      <w:pPr>
        <w:pStyle w:val="Paragraphedeliste"/>
        <w:numPr>
          <w:ilvl w:val="1"/>
          <w:numId w:val="26"/>
        </w:numPr>
        <w:spacing w:line="276" w:lineRule="auto"/>
        <w:ind w:left="284" w:hanging="142"/>
        <w:rPr>
          <w:rFonts w:cs="Arial"/>
          <w:noProof/>
          <w:color w:val="0070C0"/>
        </w:rPr>
      </w:pPr>
      <w:r w:rsidRPr="00062B26">
        <w:rPr>
          <w:rFonts w:cs="Arial"/>
          <w:noProof/>
          <w:color w:val="0070C0"/>
        </w:rPr>
        <w:t xml:space="preserve">Traitement non limité </w:t>
      </w:r>
      <w:r w:rsidRPr="00062B26">
        <w:rPr>
          <w:rFonts w:cs="Arial"/>
          <w:bCs/>
          <w:color w:val="0070C0"/>
        </w:rPr>
        <w:t>(pas de prévision d’un arrêt de traitement)</w:t>
      </w:r>
      <w:r>
        <w:rPr>
          <w:rFonts w:cs="Arial"/>
          <w:bCs/>
          <w:color w:val="0070C0"/>
        </w:rPr>
        <w:t> </w:t>
      </w:r>
      <w:r w:rsidRPr="00062B26">
        <w:rPr>
          <w:rFonts w:cs="Arial"/>
          <w:noProof/>
          <w:color w:val="0070C0"/>
        </w:rPr>
        <w:t>:</w:t>
      </w:r>
    </w:p>
    <w:p w14:paraId="4BA3D0B5" w14:textId="77777777" w:rsidR="003720F8" w:rsidRPr="00062B26" w:rsidRDefault="003720F8">
      <w:pPr>
        <w:pStyle w:val="Paragraphedeliste"/>
        <w:numPr>
          <w:ilvl w:val="0"/>
          <w:numId w:val="27"/>
        </w:numPr>
        <w:tabs>
          <w:tab w:val="clear" w:pos="360"/>
        </w:tabs>
        <w:spacing w:line="276" w:lineRule="auto"/>
        <w:ind w:left="567" w:hanging="283"/>
        <w:rPr>
          <w:rFonts w:cs="Arial"/>
          <w:noProof/>
          <w:color w:val="0070C0"/>
        </w:rPr>
      </w:pPr>
      <w:r w:rsidRPr="00062B26">
        <w:rPr>
          <w:rFonts w:cs="Arial"/>
          <w:noProof/>
          <w:color w:val="0070C0"/>
        </w:rPr>
        <w:t>EP ou TVP proximale non provoquée récidivante</w:t>
      </w:r>
      <w:r>
        <w:rPr>
          <w:rFonts w:cs="Arial"/>
          <w:noProof/>
          <w:color w:val="0070C0"/>
        </w:rPr>
        <w:t>.</w:t>
      </w:r>
    </w:p>
    <w:p w14:paraId="668A931B" w14:textId="77777777" w:rsidR="003720F8" w:rsidRPr="00062B26" w:rsidRDefault="003720F8">
      <w:pPr>
        <w:pStyle w:val="Paragraphedeliste"/>
        <w:numPr>
          <w:ilvl w:val="0"/>
          <w:numId w:val="27"/>
        </w:numPr>
        <w:tabs>
          <w:tab w:val="clear" w:pos="360"/>
        </w:tabs>
        <w:spacing w:line="276" w:lineRule="auto"/>
        <w:ind w:left="567" w:hanging="283"/>
        <w:jc w:val="left"/>
        <w:rPr>
          <w:rFonts w:cs="Arial"/>
          <w:noProof/>
          <w:color w:val="0070C0"/>
        </w:rPr>
      </w:pPr>
      <w:r w:rsidRPr="00062B26">
        <w:rPr>
          <w:rFonts w:cs="Arial"/>
          <w:noProof/>
          <w:color w:val="0070C0"/>
        </w:rPr>
        <w:t>EP ou TVP proximale avec facteur persistant majeur (tableau</w:t>
      </w:r>
      <w:r>
        <w:rPr>
          <w:rFonts w:cs="Arial"/>
          <w:noProof/>
          <w:color w:val="0070C0"/>
        </w:rPr>
        <w:t> </w:t>
      </w:r>
      <w:r w:rsidRPr="00062B26">
        <w:rPr>
          <w:rFonts w:cs="Arial"/>
          <w:noProof/>
          <w:color w:val="0070C0"/>
        </w:rPr>
        <w:t>1)</w:t>
      </w:r>
      <w:r>
        <w:rPr>
          <w:rFonts w:cs="Arial"/>
          <w:noProof/>
          <w:color w:val="0070C0"/>
        </w:rPr>
        <w:t>.</w:t>
      </w:r>
    </w:p>
    <w:p w14:paraId="6D3A6D77" w14:textId="77777777" w:rsidR="003720F8" w:rsidRPr="00062B26" w:rsidRDefault="003720F8">
      <w:pPr>
        <w:pStyle w:val="Paragraphedeliste"/>
        <w:numPr>
          <w:ilvl w:val="0"/>
          <w:numId w:val="27"/>
        </w:numPr>
        <w:tabs>
          <w:tab w:val="clear" w:pos="360"/>
        </w:tabs>
        <w:spacing w:line="276" w:lineRule="auto"/>
        <w:ind w:left="567" w:hanging="283"/>
        <w:rPr>
          <w:rFonts w:cs="Arial"/>
          <w:noProof/>
          <w:color w:val="0070C0"/>
        </w:rPr>
      </w:pPr>
      <w:r w:rsidRPr="00062B26">
        <w:rPr>
          <w:rFonts w:cs="Arial"/>
          <w:noProof/>
          <w:color w:val="0070C0"/>
        </w:rPr>
        <w:t>1</w:t>
      </w:r>
      <w:r w:rsidRPr="00062B26">
        <w:rPr>
          <w:rFonts w:cs="Arial"/>
          <w:noProof/>
          <w:color w:val="0070C0"/>
          <w:vertAlign w:val="superscript"/>
        </w:rPr>
        <w:t>re</w:t>
      </w:r>
      <w:r w:rsidRPr="00062B26">
        <w:rPr>
          <w:rFonts w:cs="Arial"/>
          <w:noProof/>
          <w:color w:val="0070C0"/>
        </w:rPr>
        <w:t xml:space="preserve"> EP à haut risque de décès non provoquée</w:t>
      </w:r>
      <w:r>
        <w:rPr>
          <w:rFonts w:cs="Arial"/>
          <w:noProof/>
          <w:color w:val="0070C0"/>
        </w:rPr>
        <w:t>.</w:t>
      </w:r>
    </w:p>
    <w:p w14:paraId="75865554" w14:textId="77777777" w:rsidR="003720F8" w:rsidRPr="00062B26" w:rsidRDefault="003720F8">
      <w:pPr>
        <w:pStyle w:val="Paragraphedeliste"/>
        <w:numPr>
          <w:ilvl w:val="0"/>
          <w:numId w:val="27"/>
        </w:numPr>
        <w:tabs>
          <w:tab w:val="clear" w:pos="360"/>
        </w:tabs>
        <w:spacing w:line="276" w:lineRule="auto"/>
        <w:ind w:left="567" w:hanging="283"/>
        <w:rPr>
          <w:rFonts w:cs="Arial"/>
          <w:noProof/>
          <w:color w:val="0070C0"/>
        </w:rPr>
      </w:pPr>
      <w:r w:rsidRPr="00062B26">
        <w:rPr>
          <w:rFonts w:cs="Arial"/>
          <w:noProof/>
          <w:color w:val="0070C0"/>
        </w:rPr>
        <w:t xml:space="preserve">Si risque hémorragique faible ou modéré. </w:t>
      </w:r>
    </w:p>
    <w:p w14:paraId="3D847552" w14:textId="77777777" w:rsidR="003720F8" w:rsidRPr="00062B26" w:rsidRDefault="003720F8">
      <w:pPr>
        <w:pStyle w:val="Paragraphedeliste"/>
        <w:numPr>
          <w:ilvl w:val="1"/>
          <w:numId w:val="26"/>
        </w:numPr>
        <w:spacing w:line="276" w:lineRule="auto"/>
        <w:ind w:left="284" w:hanging="142"/>
        <w:rPr>
          <w:rFonts w:cs="Arial"/>
          <w:noProof/>
          <w:color w:val="0070C0"/>
        </w:rPr>
      </w:pPr>
      <w:r w:rsidRPr="00062B26">
        <w:rPr>
          <w:rFonts w:cs="Arial"/>
          <w:noProof/>
          <w:color w:val="0070C0"/>
        </w:rPr>
        <w:t>Durée incertaine (6 mois minimum ou non limitée)</w:t>
      </w:r>
    </w:p>
    <w:p w14:paraId="1D95A3BB" w14:textId="77777777" w:rsidR="003720F8" w:rsidRPr="00062B26" w:rsidRDefault="003720F8">
      <w:pPr>
        <w:numPr>
          <w:ilvl w:val="0"/>
          <w:numId w:val="27"/>
        </w:numPr>
        <w:tabs>
          <w:tab w:val="clear" w:pos="360"/>
        </w:tabs>
        <w:spacing w:line="276" w:lineRule="auto"/>
        <w:ind w:left="567" w:hanging="283"/>
        <w:rPr>
          <w:rFonts w:cs="Arial"/>
          <w:noProof/>
          <w:color w:val="0070C0"/>
        </w:rPr>
      </w:pPr>
      <w:r w:rsidRPr="00062B26">
        <w:rPr>
          <w:rFonts w:cs="Arial"/>
          <w:noProof/>
          <w:color w:val="0070C0"/>
        </w:rPr>
        <w:t>1</w:t>
      </w:r>
      <w:r w:rsidRPr="00062B26">
        <w:rPr>
          <w:rFonts w:cs="Arial"/>
          <w:noProof/>
          <w:color w:val="0070C0"/>
          <w:vertAlign w:val="superscript"/>
        </w:rPr>
        <w:t>re</w:t>
      </w:r>
      <w:r w:rsidRPr="00062B26">
        <w:rPr>
          <w:rFonts w:cs="Arial"/>
          <w:noProof/>
          <w:color w:val="0070C0"/>
        </w:rPr>
        <w:t xml:space="preserve"> EP à risque faible ou intermédiaire de décès ou TVP proximale isolée, non provoquée avec ou sans facteur mineur. </w:t>
      </w:r>
    </w:p>
    <w:p w14:paraId="10B707B7" w14:textId="77777777" w:rsidR="003720F8" w:rsidRPr="0006272B" w:rsidRDefault="003720F8" w:rsidP="003720F8">
      <w:pPr>
        <w:spacing w:line="276" w:lineRule="auto"/>
        <w:rPr>
          <w:rFonts w:cs="Arial"/>
          <w:noProof/>
          <w:color w:val="0070C0"/>
        </w:rPr>
      </w:pPr>
      <w:r>
        <w:rPr>
          <w:rFonts w:cs="Arial"/>
          <w:noProof/>
          <w:color w:val="0070C0"/>
        </w:rPr>
        <w:t xml:space="preserve">- </w:t>
      </w:r>
      <w:r w:rsidRPr="0006272B">
        <w:rPr>
          <w:rFonts w:cs="Arial"/>
          <w:noProof/>
          <w:color w:val="0070C0"/>
        </w:rPr>
        <w:t>La dose de traitement anticoagulant de référence au</w:t>
      </w:r>
      <w:r>
        <w:rPr>
          <w:rFonts w:cs="Arial"/>
          <w:noProof/>
          <w:color w:val="0070C0"/>
        </w:rPr>
        <w:t>-</w:t>
      </w:r>
      <w:r w:rsidRPr="0006272B">
        <w:rPr>
          <w:rFonts w:cs="Arial"/>
          <w:noProof/>
          <w:color w:val="0070C0"/>
        </w:rPr>
        <w:t>delà de 6</w:t>
      </w:r>
      <w:r>
        <w:rPr>
          <w:rFonts w:cs="Arial"/>
          <w:noProof/>
          <w:color w:val="0070C0"/>
        </w:rPr>
        <w:t> </w:t>
      </w:r>
      <w:r w:rsidRPr="0006272B">
        <w:rPr>
          <w:rFonts w:cs="Arial"/>
          <w:noProof/>
          <w:color w:val="0070C0"/>
        </w:rPr>
        <w:t>mois de traitement = dose réduite (50</w:t>
      </w:r>
      <w:r>
        <w:rPr>
          <w:rFonts w:cs="Arial"/>
          <w:noProof/>
          <w:color w:val="0070C0"/>
        </w:rPr>
        <w:t> </w:t>
      </w:r>
      <w:r w:rsidRPr="0006272B">
        <w:rPr>
          <w:rFonts w:cs="Arial"/>
          <w:noProof/>
          <w:color w:val="0070C0"/>
        </w:rPr>
        <w:t xml:space="preserve">% de la dose curative) excepté syndrome des antiphospholipides… </w:t>
      </w:r>
    </w:p>
    <w:p w14:paraId="58AFB598" w14:textId="77777777" w:rsidR="003720F8" w:rsidRPr="00062B26" w:rsidRDefault="003720F8" w:rsidP="003720F8">
      <w:pPr>
        <w:pStyle w:val="Paragraphedeliste"/>
        <w:spacing w:line="276" w:lineRule="auto"/>
        <w:ind w:left="1440"/>
        <w:rPr>
          <w:rFonts w:cs="Arial"/>
          <w:i/>
          <w:iCs/>
          <w:noProof/>
        </w:rPr>
      </w:pPr>
    </w:p>
    <w:p w14:paraId="67D6784F" w14:textId="7E80FD0F" w:rsidR="003720F8" w:rsidRPr="00062B26" w:rsidRDefault="003720F8" w:rsidP="003720F8">
      <w:pPr>
        <w:spacing w:line="276" w:lineRule="auto"/>
        <w:rPr>
          <w:rFonts w:cs="Arial"/>
          <w:b/>
          <w:color w:val="0070C0"/>
        </w:rPr>
      </w:pPr>
      <w:r w:rsidRPr="00062B26">
        <w:rPr>
          <w:rFonts w:cs="Arial"/>
          <w:b/>
          <w:color w:val="0070C0"/>
          <w:u w:val="single"/>
        </w:rPr>
        <w:t>CAS PARTICULIER</w:t>
      </w:r>
      <w:r w:rsidRPr="0006272B">
        <w:rPr>
          <w:rFonts w:cs="Arial"/>
          <w:b/>
          <w:color w:val="0070C0"/>
        </w:rPr>
        <w:t xml:space="preserve"> : </w:t>
      </w:r>
      <w:r w:rsidRPr="00062B26">
        <w:rPr>
          <w:rFonts w:cs="Arial"/>
          <w:b/>
          <w:color w:val="0070C0"/>
        </w:rPr>
        <w:t xml:space="preserve">Traitement de la </w:t>
      </w:r>
      <w:r w:rsidR="0026545F">
        <w:rPr>
          <w:rFonts w:cs="Arial"/>
          <w:b/>
          <w:color w:val="0070C0"/>
        </w:rPr>
        <w:t>MTEV</w:t>
      </w:r>
      <w:r w:rsidRPr="00062B26">
        <w:rPr>
          <w:rFonts w:cs="Arial"/>
          <w:b/>
          <w:color w:val="0070C0"/>
        </w:rPr>
        <w:t xml:space="preserve"> chez le patient cancéreux</w:t>
      </w:r>
    </w:p>
    <w:p w14:paraId="29D264B7" w14:textId="77777777" w:rsidR="003720F8" w:rsidRPr="0006272B" w:rsidRDefault="003720F8" w:rsidP="003720F8">
      <w:pPr>
        <w:spacing w:line="276" w:lineRule="auto"/>
        <w:rPr>
          <w:rFonts w:cs="Arial"/>
          <w:color w:val="0070C0"/>
        </w:rPr>
      </w:pPr>
      <w:r>
        <w:rPr>
          <w:rFonts w:cs="Arial"/>
          <w:b/>
          <w:color w:val="0070C0"/>
        </w:rPr>
        <w:t xml:space="preserve">- </w:t>
      </w:r>
      <w:r w:rsidRPr="0006272B">
        <w:rPr>
          <w:rFonts w:cs="Arial"/>
          <w:color w:val="0070C0"/>
        </w:rPr>
        <w:t>Sur les 3 à 6</w:t>
      </w:r>
      <w:r>
        <w:rPr>
          <w:rFonts w:cs="Arial"/>
          <w:color w:val="0070C0"/>
        </w:rPr>
        <w:t> </w:t>
      </w:r>
      <w:r w:rsidRPr="0006272B">
        <w:rPr>
          <w:rFonts w:cs="Arial"/>
          <w:color w:val="0070C0"/>
        </w:rPr>
        <w:t>premiers mois de traitement, les HBPM ou l’</w:t>
      </w:r>
      <w:proofErr w:type="spellStart"/>
      <w:r w:rsidRPr="0006272B">
        <w:rPr>
          <w:rFonts w:cs="Arial"/>
          <w:color w:val="0070C0"/>
        </w:rPr>
        <w:t>apixaban</w:t>
      </w:r>
      <w:proofErr w:type="spellEnd"/>
      <w:r w:rsidRPr="0006272B">
        <w:rPr>
          <w:rFonts w:cs="Arial"/>
          <w:color w:val="0070C0"/>
        </w:rPr>
        <w:t xml:space="preserve"> sont recommandés en 1</w:t>
      </w:r>
      <w:r w:rsidRPr="0006272B">
        <w:rPr>
          <w:rFonts w:cs="Arial"/>
          <w:color w:val="0070C0"/>
          <w:vertAlign w:val="superscript"/>
        </w:rPr>
        <w:t>re</w:t>
      </w:r>
      <w:r w:rsidRPr="0006272B">
        <w:rPr>
          <w:rFonts w:cs="Arial"/>
          <w:color w:val="0070C0"/>
        </w:rPr>
        <w:t xml:space="preserve"> intention (les HBPM sont plus efficaces que les AVK sur cette période, l’</w:t>
      </w:r>
      <w:proofErr w:type="spellStart"/>
      <w:r w:rsidRPr="0006272B">
        <w:rPr>
          <w:rFonts w:cs="Arial"/>
          <w:color w:val="0070C0"/>
        </w:rPr>
        <w:t>apixaban</w:t>
      </w:r>
      <w:proofErr w:type="spellEnd"/>
      <w:r w:rsidRPr="0006272B">
        <w:rPr>
          <w:rFonts w:cs="Arial"/>
          <w:color w:val="0070C0"/>
        </w:rPr>
        <w:t xml:space="preserve"> est non inférieur aux HBPM en termes d’efficacité et d’innocuité). Le </w:t>
      </w:r>
      <w:proofErr w:type="spellStart"/>
      <w:r w:rsidRPr="0006272B">
        <w:rPr>
          <w:rFonts w:cs="Arial"/>
          <w:color w:val="0070C0"/>
        </w:rPr>
        <w:t>rivaroxaban</w:t>
      </w:r>
      <w:proofErr w:type="spellEnd"/>
      <w:r w:rsidRPr="0006272B">
        <w:rPr>
          <w:rFonts w:cs="Arial"/>
          <w:color w:val="0070C0"/>
        </w:rPr>
        <w:t xml:space="preserve"> est suggéré en 2</w:t>
      </w:r>
      <w:r w:rsidRPr="0006272B">
        <w:rPr>
          <w:rFonts w:cs="Arial"/>
          <w:color w:val="0070C0"/>
          <w:vertAlign w:val="superscript"/>
        </w:rPr>
        <w:t>e</w:t>
      </w:r>
      <w:r>
        <w:rPr>
          <w:rFonts w:cs="Arial"/>
          <w:color w:val="0070C0"/>
        </w:rPr>
        <w:t> </w:t>
      </w:r>
      <w:r w:rsidRPr="0006272B">
        <w:rPr>
          <w:rFonts w:cs="Arial"/>
          <w:color w:val="0070C0"/>
        </w:rPr>
        <w:t>intention en l’absence de cancer digestif ou uro-génital. Les AVK restent indiqués en cas de contre-indication aux HBPM ou AOD (insuffisance rénale sévère).</w:t>
      </w:r>
    </w:p>
    <w:p w14:paraId="076E772F" w14:textId="77777777" w:rsidR="003720F8" w:rsidRPr="0006272B" w:rsidRDefault="003720F8" w:rsidP="003720F8">
      <w:pPr>
        <w:widowControl w:val="0"/>
        <w:spacing w:line="276" w:lineRule="auto"/>
        <w:rPr>
          <w:rFonts w:cs="Arial"/>
          <w:color w:val="0070C0"/>
        </w:rPr>
      </w:pPr>
      <w:r>
        <w:rPr>
          <w:rFonts w:cs="Arial"/>
          <w:color w:val="0070C0"/>
        </w:rPr>
        <w:t xml:space="preserve">- </w:t>
      </w:r>
      <w:r w:rsidRPr="0006272B">
        <w:rPr>
          <w:rFonts w:cs="Arial"/>
          <w:color w:val="0070C0"/>
        </w:rPr>
        <w:t>Au-delà de 6</w:t>
      </w:r>
      <w:r>
        <w:rPr>
          <w:rFonts w:cs="Arial"/>
          <w:color w:val="0070C0"/>
        </w:rPr>
        <w:t> </w:t>
      </w:r>
      <w:r w:rsidRPr="0006272B">
        <w:rPr>
          <w:rFonts w:cs="Arial"/>
          <w:color w:val="0070C0"/>
        </w:rPr>
        <w:t>mois, le traitement anticoagulant (par HBPM ou AOD ou AVK selon tolérance)</w:t>
      </w:r>
      <w:r w:rsidRPr="0006272B" w:rsidDel="00B634C6">
        <w:rPr>
          <w:rFonts w:cs="Arial"/>
          <w:color w:val="0070C0"/>
        </w:rPr>
        <w:t xml:space="preserve"> </w:t>
      </w:r>
      <w:r w:rsidRPr="0006272B">
        <w:rPr>
          <w:rFonts w:cs="Arial"/>
          <w:color w:val="0070C0"/>
        </w:rPr>
        <w:t xml:space="preserve">est poursuivi tant que le cancer est actif ou traité (chimiothérapie, hormonothérapie). En cas de poursuite du traitement par </w:t>
      </w:r>
      <w:proofErr w:type="spellStart"/>
      <w:r w:rsidRPr="0006272B">
        <w:rPr>
          <w:rFonts w:cs="Arial"/>
          <w:color w:val="0070C0"/>
        </w:rPr>
        <w:t>apixaban</w:t>
      </w:r>
      <w:proofErr w:type="spellEnd"/>
      <w:r w:rsidRPr="0006272B">
        <w:rPr>
          <w:rFonts w:cs="Arial"/>
          <w:color w:val="0070C0"/>
        </w:rPr>
        <w:t>, la dose journalière est réduite de 50</w:t>
      </w:r>
      <w:r>
        <w:rPr>
          <w:rFonts w:cs="Arial"/>
          <w:color w:val="0070C0"/>
        </w:rPr>
        <w:t> </w:t>
      </w:r>
      <w:r w:rsidRPr="0006272B">
        <w:rPr>
          <w:rFonts w:cs="Arial"/>
          <w:color w:val="0070C0"/>
        </w:rPr>
        <w:t xml:space="preserve">% (pas de données avec le </w:t>
      </w:r>
      <w:proofErr w:type="spellStart"/>
      <w:r w:rsidRPr="0006272B">
        <w:rPr>
          <w:rFonts w:cs="Arial"/>
          <w:color w:val="0070C0"/>
        </w:rPr>
        <w:t>rivaroxaban</w:t>
      </w:r>
      <w:proofErr w:type="spellEnd"/>
      <w:r w:rsidRPr="0006272B">
        <w:rPr>
          <w:rFonts w:cs="Arial"/>
          <w:color w:val="0070C0"/>
        </w:rPr>
        <w:t>).</w:t>
      </w:r>
    </w:p>
    <w:p w14:paraId="33DEEA1E" w14:textId="77777777" w:rsidR="003720F8" w:rsidRPr="0006272B" w:rsidRDefault="003720F8" w:rsidP="003720F8">
      <w:pPr>
        <w:spacing w:line="276" w:lineRule="auto"/>
        <w:rPr>
          <w:rFonts w:cs="Arial"/>
          <w:color w:val="0070C0"/>
        </w:rPr>
      </w:pPr>
      <w:r>
        <w:rPr>
          <w:rFonts w:cs="Arial"/>
          <w:color w:val="0070C0"/>
        </w:rPr>
        <w:t xml:space="preserve">- </w:t>
      </w:r>
      <w:r w:rsidRPr="0006272B">
        <w:rPr>
          <w:rFonts w:cs="Arial"/>
          <w:color w:val="0070C0"/>
        </w:rPr>
        <w:t>En cas de thrombopénie survenant au décours d’une chimiothérapie (plaquettes &lt; 30</w:t>
      </w:r>
      <w:r>
        <w:rPr>
          <w:rFonts w:cs="Arial"/>
          <w:color w:val="0070C0"/>
        </w:rPr>
        <w:t> </w:t>
      </w:r>
      <w:r w:rsidRPr="0006272B">
        <w:rPr>
          <w:rFonts w:cs="Arial"/>
          <w:color w:val="0070C0"/>
        </w:rPr>
        <w:t>G/L), le traitement par HBPM est stoppé et repris quand la numération des plaquettes est &gt; 30</w:t>
      </w:r>
      <w:r>
        <w:rPr>
          <w:rFonts w:cs="Arial"/>
          <w:color w:val="0070C0"/>
        </w:rPr>
        <w:t> </w:t>
      </w:r>
      <w:r w:rsidRPr="0006272B">
        <w:rPr>
          <w:rFonts w:cs="Arial"/>
          <w:color w:val="0070C0"/>
        </w:rPr>
        <w:t>G/L.</w:t>
      </w:r>
    </w:p>
    <w:p w14:paraId="304CB996" w14:textId="77777777" w:rsidR="003720F8" w:rsidRPr="00062B26" w:rsidRDefault="003720F8" w:rsidP="003720F8">
      <w:pPr>
        <w:spacing w:line="276" w:lineRule="auto"/>
        <w:rPr>
          <w:rFonts w:cs="Arial"/>
          <w:b/>
          <w:i/>
          <w:iCs/>
          <w:caps/>
          <w:u w:val="single"/>
        </w:rPr>
      </w:pPr>
    </w:p>
    <w:p w14:paraId="0A7877CD" w14:textId="4764AD16" w:rsidR="003720F8" w:rsidRPr="003819D6" w:rsidRDefault="003720F8">
      <w:pPr>
        <w:pStyle w:val="titredesous-partie"/>
        <w:numPr>
          <w:ilvl w:val="0"/>
          <w:numId w:val="4"/>
        </w:numPr>
        <w:ind w:left="426" w:hanging="284"/>
      </w:pPr>
      <w:r w:rsidRPr="003819D6">
        <w:t>Traitement prophylactique</w:t>
      </w:r>
    </w:p>
    <w:p w14:paraId="4A98B1D0" w14:textId="77777777" w:rsidR="003720F8" w:rsidRPr="003819D6" w:rsidRDefault="003720F8" w:rsidP="004278AD">
      <w:pPr>
        <w:pStyle w:val="lgende"/>
      </w:pPr>
      <w:r w:rsidRPr="00062B26">
        <w:t>Tableau</w:t>
      </w:r>
      <w:r>
        <w:t> </w:t>
      </w:r>
      <w:r w:rsidRPr="00062B26">
        <w:t xml:space="preserve">7 : </w:t>
      </w:r>
      <w:r>
        <w:t>T</w:t>
      </w:r>
      <w:r w:rsidRPr="00062B26">
        <w:t>raitement prophylactique en post-opératoire</w:t>
      </w:r>
      <w:r>
        <w:t>.</w:t>
      </w: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1E0" w:firstRow="1" w:lastRow="1" w:firstColumn="1" w:lastColumn="1" w:noHBand="0" w:noVBand="0"/>
      </w:tblPr>
      <w:tblGrid>
        <w:gridCol w:w="2819"/>
        <w:gridCol w:w="2848"/>
        <w:gridCol w:w="3395"/>
      </w:tblGrid>
      <w:tr w:rsidR="003720F8" w:rsidRPr="004278AD" w14:paraId="531A5C97" w14:textId="77777777" w:rsidTr="004278AD">
        <w:tc>
          <w:tcPr>
            <w:tcW w:w="3070" w:type="dxa"/>
            <w:shd w:val="clear" w:color="auto" w:fill="D1D1D1" w:themeFill="background2" w:themeFillShade="E6"/>
          </w:tcPr>
          <w:p w14:paraId="5EEA5732" w14:textId="77777777" w:rsidR="003720F8" w:rsidRPr="004278AD" w:rsidRDefault="003720F8" w:rsidP="003720F8">
            <w:pPr>
              <w:spacing w:line="276" w:lineRule="auto"/>
              <w:jc w:val="center"/>
              <w:rPr>
                <w:rFonts w:ascii="Calibri" w:hAnsi="Calibri" w:cs="Calibri"/>
                <w:b/>
                <w:color w:val="000000" w:themeColor="text1"/>
                <w:szCs w:val="22"/>
              </w:rPr>
            </w:pPr>
            <w:r w:rsidRPr="004278AD">
              <w:rPr>
                <w:rFonts w:ascii="Calibri" w:hAnsi="Calibri" w:cs="Calibri"/>
                <w:b/>
                <w:color w:val="000000" w:themeColor="text1"/>
                <w:szCs w:val="22"/>
              </w:rPr>
              <w:t>Risque faible</w:t>
            </w:r>
          </w:p>
        </w:tc>
        <w:tc>
          <w:tcPr>
            <w:tcW w:w="3071" w:type="dxa"/>
            <w:shd w:val="clear" w:color="auto" w:fill="D1D1D1" w:themeFill="background2" w:themeFillShade="E6"/>
          </w:tcPr>
          <w:p w14:paraId="5F2002D0" w14:textId="77777777" w:rsidR="003720F8" w:rsidRPr="004278AD" w:rsidRDefault="003720F8" w:rsidP="003720F8">
            <w:pPr>
              <w:spacing w:line="276" w:lineRule="auto"/>
              <w:jc w:val="center"/>
              <w:rPr>
                <w:rFonts w:ascii="Calibri" w:hAnsi="Calibri" w:cs="Calibri"/>
                <w:b/>
                <w:color w:val="000000" w:themeColor="text1"/>
                <w:szCs w:val="22"/>
              </w:rPr>
            </w:pPr>
            <w:r w:rsidRPr="004278AD">
              <w:rPr>
                <w:rFonts w:ascii="Calibri" w:hAnsi="Calibri" w:cs="Calibri"/>
                <w:b/>
                <w:color w:val="000000" w:themeColor="text1"/>
                <w:szCs w:val="22"/>
              </w:rPr>
              <w:t>Risque modéré</w:t>
            </w:r>
          </w:p>
        </w:tc>
        <w:tc>
          <w:tcPr>
            <w:tcW w:w="3687" w:type="dxa"/>
            <w:shd w:val="clear" w:color="auto" w:fill="D1D1D1" w:themeFill="background2" w:themeFillShade="E6"/>
          </w:tcPr>
          <w:p w14:paraId="6A18C3BF" w14:textId="77777777" w:rsidR="003720F8" w:rsidRPr="004278AD" w:rsidRDefault="003720F8" w:rsidP="003720F8">
            <w:pPr>
              <w:spacing w:line="276" w:lineRule="auto"/>
              <w:jc w:val="center"/>
              <w:rPr>
                <w:rFonts w:ascii="Calibri" w:hAnsi="Calibri" w:cs="Calibri"/>
                <w:b/>
                <w:color w:val="000000" w:themeColor="text1"/>
                <w:szCs w:val="22"/>
              </w:rPr>
            </w:pPr>
            <w:r w:rsidRPr="004278AD">
              <w:rPr>
                <w:rFonts w:ascii="Calibri" w:hAnsi="Calibri" w:cs="Calibri"/>
                <w:b/>
                <w:color w:val="000000" w:themeColor="text1"/>
                <w:szCs w:val="22"/>
              </w:rPr>
              <w:t>Risque élevé</w:t>
            </w:r>
          </w:p>
        </w:tc>
      </w:tr>
      <w:tr w:rsidR="003720F8" w:rsidRPr="004278AD" w14:paraId="11F51C7B" w14:textId="77777777" w:rsidTr="00F44AC4">
        <w:tc>
          <w:tcPr>
            <w:tcW w:w="3070" w:type="dxa"/>
            <w:vAlign w:val="center"/>
          </w:tcPr>
          <w:p w14:paraId="355EDD68" w14:textId="77777777" w:rsidR="003720F8" w:rsidRPr="004278AD" w:rsidRDefault="003720F8" w:rsidP="003720F8">
            <w:pPr>
              <w:spacing w:line="276" w:lineRule="auto"/>
              <w:jc w:val="left"/>
              <w:rPr>
                <w:rFonts w:ascii="Calibri" w:hAnsi="Calibri" w:cs="Calibri"/>
                <w:szCs w:val="22"/>
              </w:rPr>
            </w:pPr>
            <w:r w:rsidRPr="004278AD">
              <w:rPr>
                <w:rFonts w:ascii="Calibri" w:hAnsi="Calibri" w:cs="Calibri"/>
                <w:szCs w:val="22"/>
              </w:rPr>
              <w:lastRenderedPageBreak/>
              <w:t>Chirurgie générale ou mineure + âge &lt; 40 ans sans facteur de risque</w:t>
            </w:r>
          </w:p>
        </w:tc>
        <w:tc>
          <w:tcPr>
            <w:tcW w:w="3071" w:type="dxa"/>
            <w:vAlign w:val="center"/>
          </w:tcPr>
          <w:p w14:paraId="13609C60" w14:textId="77777777" w:rsidR="003720F8" w:rsidRPr="004278AD" w:rsidRDefault="003720F8" w:rsidP="003720F8">
            <w:pPr>
              <w:spacing w:line="276" w:lineRule="auto"/>
              <w:jc w:val="left"/>
              <w:rPr>
                <w:rFonts w:ascii="Calibri" w:hAnsi="Calibri" w:cs="Calibri"/>
                <w:szCs w:val="22"/>
              </w:rPr>
            </w:pPr>
            <w:r w:rsidRPr="004278AD">
              <w:rPr>
                <w:rFonts w:ascii="Calibri" w:hAnsi="Calibri" w:cs="Calibri"/>
                <w:szCs w:val="22"/>
              </w:rPr>
              <w:t>Chirurgie générale + âge &gt; 40 ans sans facteur de risque</w:t>
            </w:r>
          </w:p>
        </w:tc>
        <w:tc>
          <w:tcPr>
            <w:tcW w:w="3687" w:type="dxa"/>
            <w:vAlign w:val="center"/>
          </w:tcPr>
          <w:p w14:paraId="7C5BCE30" w14:textId="77777777" w:rsidR="003720F8" w:rsidRPr="004278AD" w:rsidRDefault="003720F8" w:rsidP="003720F8">
            <w:pPr>
              <w:tabs>
                <w:tab w:val="num" w:pos="159"/>
              </w:tabs>
              <w:spacing w:line="276" w:lineRule="auto"/>
              <w:jc w:val="left"/>
              <w:rPr>
                <w:rFonts w:ascii="Calibri" w:hAnsi="Calibri" w:cs="Calibri"/>
                <w:szCs w:val="22"/>
              </w:rPr>
            </w:pPr>
            <w:r w:rsidRPr="004278AD">
              <w:rPr>
                <w:rFonts w:ascii="Calibri" w:hAnsi="Calibri" w:cs="Calibri"/>
                <w:szCs w:val="22"/>
              </w:rPr>
              <w:t>Chirurgie de hanche ou du genou</w:t>
            </w:r>
          </w:p>
          <w:p w14:paraId="6901F3EE" w14:textId="77777777" w:rsidR="003720F8" w:rsidRPr="004278AD" w:rsidRDefault="003720F8" w:rsidP="003720F8">
            <w:pPr>
              <w:tabs>
                <w:tab w:val="num" w:pos="159"/>
              </w:tabs>
              <w:spacing w:line="276" w:lineRule="auto"/>
              <w:jc w:val="left"/>
              <w:rPr>
                <w:rFonts w:ascii="Calibri" w:hAnsi="Calibri" w:cs="Calibri"/>
                <w:szCs w:val="22"/>
              </w:rPr>
            </w:pPr>
            <w:r w:rsidRPr="004278AD">
              <w:rPr>
                <w:rFonts w:ascii="Calibri" w:hAnsi="Calibri" w:cs="Calibri"/>
                <w:szCs w:val="22"/>
              </w:rPr>
              <w:t>Chirurgie carcinologique</w:t>
            </w:r>
          </w:p>
          <w:p w14:paraId="0AF7F244" w14:textId="77777777" w:rsidR="003720F8" w:rsidRPr="004278AD" w:rsidRDefault="003720F8" w:rsidP="003720F8">
            <w:pPr>
              <w:tabs>
                <w:tab w:val="num" w:pos="159"/>
              </w:tabs>
              <w:spacing w:line="276" w:lineRule="auto"/>
              <w:jc w:val="left"/>
              <w:rPr>
                <w:rFonts w:ascii="Calibri" w:hAnsi="Calibri" w:cs="Calibri"/>
                <w:szCs w:val="22"/>
              </w:rPr>
            </w:pPr>
            <w:r w:rsidRPr="004278AD">
              <w:rPr>
                <w:rFonts w:ascii="Calibri" w:hAnsi="Calibri" w:cs="Calibri"/>
                <w:szCs w:val="22"/>
              </w:rPr>
              <w:t>Anomalie de coagulation</w:t>
            </w:r>
          </w:p>
          <w:p w14:paraId="6515D765" w14:textId="021F772E" w:rsidR="003720F8" w:rsidRPr="004278AD" w:rsidRDefault="003720F8" w:rsidP="003720F8">
            <w:pPr>
              <w:tabs>
                <w:tab w:val="num" w:pos="159"/>
              </w:tabs>
              <w:spacing w:line="276" w:lineRule="auto"/>
              <w:jc w:val="left"/>
              <w:rPr>
                <w:rFonts w:ascii="Calibri" w:hAnsi="Calibri" w:cs="Calibri"/>
                <w:szCs w:val="22"/>
              </w:rPr>
            </w:pPr>
            <w:r w:rsidRPr="004278AD">
              <w:rPr>
                <w:rFonts w:ascii="Calibri" w:hAnsi="Calibri" w:cs="Calibri"/>
                <w:szCs w:val="22"/>
              </w:rPr>
              <w:t xml:space="preserve">Âge &gt; 40 ans + antécédent de </w:t>
            </w:r>
            <w:r w:rsidR="0026545F">
              <w:rPr>
                <w:rFonts w:ascii="Calibri" w:hAnsi="Calibri" w:cs="Calibri"/>
                <w:szCs w:val="22"/>
              </w:rPr>
              <w:t>MTEV</w:t>
            </w:r>
          </w:p>
        </w:tc>
      </w:tr>
      <w:tr w:rsidR="003720F8" w:rsidRPr="004278AD" w14:paraId="105BDA14" w14:textId="77777777" w:rsidTr="00F44AC4">
        <w:tc>
          <w:tcPr>
            <w:tcW w:w="3070" w:type="dxa"/>
            <w:vAlign w:val="center"/>
          </w:tcPr>
          <w:p w14:paraId="0352458C" w14:textId="77777777" w:rsidR="003720F8" w:rsidRPr="004278AD" w:rsidRDefault="003720F8" w:rsidP="003720F8">
            <w:pPr>
              <w:spacing w:line="276" w:lineRule="auto"/>
              <w:jc w:val="left"/>
              <w:rPr>
                <w:rFonts w:ascii="Calibri" w:hAnsi="Calibri" w:cs="Calibri"/>
                <w:szCs w:val="22"/>
              </w:rPr>
            </w:pPr>
            <w:r w:rsidRPr="004278AD">
              <w:rPr>
                <w:rFonts w:ascii="Calibri" w:hAnsi="Calibri" w:cs="Calibri"/>
                <w:szCs w:val="22"/>
              </w:rPr>
              <w:t>Pas de prévention</w:t>
            </w:r>
          </w:p>
        </w:tc>
        <w:tc>
          <w:tcPr>
            <w:tcW w:w="3071" w:type="dxa"/>
            <w:vAlign w:val="center"/>
          </w:tcPr>
          <w:p w14:paraId="0642BB71" w14:textId="77777777" w:rsidR="003720F8" w:rsidRPr="004278AD" w:rsidRDefault="003720F8" w:rsidP="003720F8">
            <w:pPr>
              <w:spacing w:line="276" w:lineRule="auto"/>
              <w:jc w:val="left"/>
              <w:rPr>
                <w:rFonts w:ascii="Calibri" w:hAnsi="Calibri" w:cs="Calibri"/>
                <w:szCs w:val="22"/>
              </w:rPr>
            </w:pPr>
            <w:r w:rsidRPr="004278AD">
              <w:rPr>
                <w:rFonts w:ascii="Calibri" w:hAnsi="Calibri" w:cs="Calibri"/>
                <w:szCs w:val="22"/>
              </w:rPr>
              <w:t>HNF, HBPM ou Fondaparinux à dose préventive</w:t>
            </w:r>
          </w:p>
        </w:tc>
        <w:tc>
          <w:tcPr>
            <w:tcW w:w="3687" w:type="dxa"/>
            <w:vAlign w:val="center"/>
          </w:tcPr>
          <w:p w14:paraId="491D9EA4" w14:textId="77777777" w:rsidR="003720F8" w:rsidRPr="004278AD" w:rsidRDefault="003720F8" w:rsidP="003720F8">
            <w:pPr>
              <w:spacing w:line="276" w:lineRule="auto"/>
              <w:jc w:val="left"/>
              <w:rPr>
                <w:rFonts w:ascii="Calibri" w:hAnsi="Calibri" w:cs="Calibri"/>
                <w:szCs w:val="22"/>
              </w:rPr>
            </w:pPr>
            <w:r w:rsidRPr="004278AD">
              <w:rPr>
                <w:rFonts w:ascii="Calibri" w:hAnsi="Calibri" w:cs="Calibri"/>
                <w:szCs w:val="22"/>
              </w:rPr>
              <w:t>HNF, HBPM, Fondaparinux à dose préventive, ou AOD à dose préventive</w:t>
            </w:r>
          </w:p>
        </w:tc>
      </w:tr>
    </w:tbl>
    <w:p w14:paraId="2EC9FA06" w14:textId="77777777" w:rsidR="003720F8" w:rsidRPr="00062B26" w:rsidRDefault="003720F8" w:rsidP="003720F8">
      <w:pPr>
        <w:spacing w:line="276" w:lineRule="auto"/>
        <w:rPr>
          <w:rFonts w:cs="Arial"/>
        </w:rPr>
      </w:pPr>
    </w:p>
    <w:p w14:paraId="158979F8" w14:textId="77777777" w:rsidR="003720F8" w:rsidRPr="00062B26" w:rsidRDefault="003720F8" w:rsidP="003720F8">
      <w:pPr>
        <w:spacing w:line="276" w:lineRule="auto"/>
        <w:rPr>
          <w:rFonts w:cs="Arial"/>
          <w:b/>
        </w:rPr>
      </w:pPr>
      <w:r w:rsidRPr="00062B26">
        <w:rPr>
          <w:rFonts w:cs="Arial"/>
          <w:b/>
        </w:rPr>
        <w:t>En milieu médical</w:t>
      </w:r>
      <w:r>
        <w:rPr>
          <w:rFonts w:cs="Arial"/>
          <w:b/>
        </w:rPr>
        <w:t> :</w:t>
      </w:r>
    </w:p>
    <w:p w14:paraId="5618E500" w14:textId="77777777" w:rsidR="003720F8" w:rsidRPr="00062B26" w:rsidRDefault="003720F8" w:rsidP="003720F8">
      <w:pPr>
        <w:spacing w:line="276" w:lineRule="auto"/>
        <w:rPr>
          <w:rFonts w:cs="Arial"/>
        </w:rPr>
      </w:pPr>
      <w:r>
        <w:rPr>
          <w:rFonts w:cs="Arial"/>
        </w:rPr>
        <w:t xml:space="preserve">- </w:t>
      </w:r>
      <w:r w:rsidRPr="00062B26">
        <w:rPr>
          <w:rFonts w:cs="Arial"/>
        </w:rPr>
        <w:t>Indications</w:t>
      </w:r>
      <w:r>
        <w:rPr>
          <w:rFonts w:cs="Arial"/>
        </w:rPr>
        <w:t> </w:t>
      </w:r>
      <w:r w:rsidRPr="00062B26">
        <w:rPr>
          <w:rFonts w:cs="Arial"/>
        </w:rPr>
        <w:t>:</w:t>
      </w:r>
    </w:p>
    <w:p w14:paraId="14161CE6" w14:textId="77777777" w:rsidR="003720F8" w:rsidRPr="00062B26" w:rsidRDefault="003720F8">
      <w:pPr>
        <w:widowControl w:val="0"/>
        <w:numPr>
          <w:ilvl w:val="0"/>
          <w:numId w:val="29"/>
        </w:numPr>
        <w:spacing w:line="276" w:lineRule="auto"/>
        <w:ind w:left="284" w:hanging="142"/>
        <w:rPr>
          <w:rFonts w:cs="Arial"/>
        </w:rPr>
      </w:pPr>
      <w:r w:rsidRPr="00062B26">
        <w:rPr>
          <w:rFonts w:cs="Arial"/>
        </w:rPr>
        <w:t>Infarctus du myocarde, AVC ischémique, insuffisance cardiaque ou respiratoire aiguë.</w:t>
      </w:r>
    </w:p>
    <w:p w14:paraId="2F5F6C9C" w14:textId="08C1C512" w:rsidR="003720F8" w:rsidRPr="00062B26" w:rsidRDefault="003720F8">
      <w:pPr>
        <w:widowControl w:val="0"/>
        <w:numPr>
          <w:ilvl w:val="0"/>
          <w:numId w:val="29"/>
        </w:numPr>
        <w:spacing w:line="276" w:lineRule="auto"/>
        <w:ind w:left="284" w:hanging="142"/>
        <w:rPr>
          <w:rFonts w:cs="Arial"/>
        </w:rPr>
      </w:pPr>
      <w:r w:rsidRPr="00062B26">
        <w:rPr>
          <w:rFonts w:cs="Arial"/>
        </w:rPr>
        <w:t>Affection rhumatologique, ou maladie inflammatoire intestinale, ou infection associée à l’un des facteurs de risque suivants</w:t>
      </w:r>
      <w:r>
        <w:rPr>
          <w:rFonts w:cs="Arial"/>
        </w:rPr>
        <w:t> </w:t>
      </w:r>
      <w:r w:rsidRPr="00062B26">
        <w:rPr>
          <w:rFonts w:cs="Arial"/>
        </w:rPr>
        <w:t xml:space="preserve">: âge &gt; 75 ans, cancer, antécédent </w:t>
      </w:r>
      <w:r w:rsidR="0026545F">
        <w:rPr>
          <w:rFonts w:cs="Arial"/>
        </w:rPr>
        <w:t>MTEV</w:t>
      </w:r>
      <w:r w:rsidRPr="00062B26">
        <w:rPr>
          <w:rFonts w:cs="Arial"/>
        </w:rPr>
        <w:t>, obésité, varices, œstroprogestatif, insuffisance respiratoire ou cardiaque chronique.</w:t>
      </w:r>
    </w:p>
    <w:p w14:paraId="7AD67A54" w14:textId="77777777" w:rsidR="003720F8" w:rsidRPr="00062B26" w:rsidRDefault="003720F8" w:rsidP="003720F8">
      <w:pPr>
        <w:spacing w:line="276" w:lineRule="auto"/>
        <w:rPr>
          <w:rFonts w:cs="Arial"/>
        </w:rPr>
      </w:pPr>
      <w:r>
        <w:rPr>
          <w:rFonts w:cs="Arial"/>
        </w:rPr>
        <w:t xml:space="preserve">- </w:t>
      </w:r>
      <w:r w:rsidRPr="00062B26">
        <w:rPr>
          <w:rFonts w:cs="Arial"/>
        </w:rPr>
        <w:t>Traitement : HBPM, HNF ou fondaparinux à dose préventive. Pendant</w:t>
      </w:r>
      <w:r>
        <w:rPr>
          <w:rFonts w:cs="Arial"/>
        </w:rPr>
        <w:t> </w:t>
      </w:r>
      <w:r w:rsidRPr="00062B26">
        <w:rPr>
          <w:rFonts w:cs="Arial"/>
        </w:rPr>
        <w:t>7 à 14</w:t>
      </w:r>
      <w:r>
        <w:rPr>
          <w:rFonts w:cs="Arial"/>
        </w:rPr>
        <w:t> </w:t>
      </w:r>
      <w:r w:rsidRPr="00062B26">
        <w:rPr>
          <w:rFonts w:cs="Arial"/>
        </w:rPr>
        <w:t>jours.</w:t>
      </w:r>
    </w:p>
    <w:p w14:paraId="111FEAAB" w14:textId="77777777" w:rsidR="003720F8" w:rsidRPr="00062B26" w:rsidRDefault="003720F8" w:rsidP="003720F8">
      <w:pPr>
        <w:spacing w:line="276" w:lineRule="auto"/>
        <w:rPr>
          <w:rFonts w:cs="Arial"/>
        </w:rPr>
      </w:pPr>
      <w:r>
        <w:rPr>
          <w:rFonts w:cs="Arial"/>
        </w:rPr>
        <w:t xml:space="preserve">- </w:t>
      </w:r>
      <w:r w:rsidRPr="00062B26">
        <w:rPr>
          <w:rFonts w:cs="Arial"/>
        </w:rPr>
        <w:t>Compression veineuse élastique proposée en cas de contre-indication aux anticoagulants.</w:t>
      </w:r>
    </w:p>
    <w:p w14:paraId="107A693B" w14:textId="77777777" w:rsidR="003720F8" w:rsidRPr="00062B26" w:rsidRDefault="003720F8" w:rsidP="003720F8">
      <w:pPr>
        <w:spacing w:line="276" w:lineRule="auto"/>
        <w:outlineLvl w:val="0"/>
        <w:rPr>
          <w:rFonts w:cs="Arial"/>
        </w:rPr>
      </w:pPr>
    </w:p>
    <w:p w14:paraId="650EBAA6" w14:textId="77777777" w:rsidR="00C8767D" w:rsidRDefault="00C8767D">
      <w:pPr>
        <w:spacing w:after="160"/>
        <w:jc w:val="left"/>
        <w:rPr>
          <w:b/>
          <w:bCs/>
          <w:caps/>
          <w:color w:val="FFFFFF"/>
          <w:sz w:val="24"/>
          <w:szCs w:val="24"/>
        </w:rPr>
      </w:pPr>
      <w:r>
        <w:br w:type="page"/>
      </w:r>
    </w:p>
    <w:p w14:paraId="4323BE5F" w14:textId="24A82FC3" w:rsidR="003720F8" w:rsidRPr="003819D6" w:rsidRDefault="003720F8" w:rsidP="004278AD">
      <w:pPr>
        <w:pStyle w:val="titredepartie"/>
      </w:pPr>
      <w:r w:rsidRPr="00062B26">
        <w:lastRenderedPageBreak/>
        <w:t>CONNAISSANCES +</w:t>
      </w:r>
      <w:r>
        <w:t xml:space="preserve"> : </w:t>
      </w:r>
      <w:r w:rsidRPr="00062B26">
        <w:t xml:space="preserve">BILAN ETIOLOGIQUE en cas de </w:t>
      </w:r>
      <w:r w:rsidR="0026545F">
        <w:t>MTEV</w:t>
      </w:r>
      <w:r w:rsidRPr="00062B26">
        <w:t xml:space="preserve"> non provoquee</w:t>
      </w:r>
    </w:p>
    <w:p w14:paraId="4D4B165B" w14:textId="77777777" w:rsidR="003720F8" w:rsidRPr="00062B26" w:rsidRDefault="003720F8" w:rsidP="003720F8">
      <w:pPr>
        <w:widowControl w:val="0"/>
        <w:spacing w:line="276" w:lineRule="auto"/>
        <w:rPr>
          <w:rFonts w:cs="Arial"/>
          <w:b/>
          <w:color w:val="0070C0"/>
        </w:rPr>
      </w:pPr>
      <w:r w:rsidRPr="00062B26">
        <w:rPr>
          <w:rFonts w:cs="Arial"/>
          <w:b/>
          <w:color w:val="0070C0"/>
        </w:rPr>
        <w:t>Recherche d’un cancer occulte (infraclinique)</w:t>
      </w:r>
      <w:r>
        <w:rPr>
          <w:rFonts w:cs="Arial"/>
          <w:b/>
          <w:color w:val="0070C0"/>
        </w:rPr>
        <w:t> :</w:t>
      </w:r>
    </w:p>
    <w:p w14:paraId="54A584B6" w14:textId="77777777" w:rsidR="003720F8" w:rsidRPr="00062B26" w:rsidRDefault="003720F8" w:rsidP="003720F8">
      <w:pPr>
        <w:widowControl w:val="0"/>
        <w:spacing w:line="276" w:lineRule="auto"/>
        <w:rPr>
          <w:rFonts w:cs="Arial"/>
          <w:color w:val="0070C0"/>
        </w:rPr>
      </w:pPr>
      <w:r>
        <w:rPr>
          <w:rFonts w:cs="Arial"/>
          <w:color w:val="0070C0"/>
        </w:rPr>
        <w:t xml:space="preserve">- </w:t>
      </w:r>
      <w:r w:rsidRPr="00062B26">
        <w:rPr>
          <w:rFonts w:cs="Arial"/>
          <w:color w:val="0070C0"/>
        </w:rPr>
        <w:t xml:space="preserve">Méthodes : </w:t>
      </w:r>
    </w:p>
    <w:p w14:paraId="6CE12A48" w14:textId="77777777" w:rsidR="003720F8" w:rsidRPr="00062B26" w:rsidRDefault="003720F8">
      <w:pPr>
        <w:widowControl w:val="0"/>
        <w:numPr>
          <w:ilvl w:val="1"/>
          <w:numId w:val="30"/>
        </w:numPr>
        <w:spacing w:line="276" w:lineRule="auto"/>
        <w:ind w:left="284" w:hanging="142"/>
        <w:rPr>
          <w:rFonts w:cs="Arial"/>
          <w:color w:val="0070C0"/>
        </w:rPr>
      </w:pPr>
      <w:r w:rsidRPr="00062B26">
        <w:rPr>
          <w:rFonts w:cs="Arial"/>
          <w:b/>
          <w:color w:val="0070C0"/>
          <w:u w:val="single"/>
        </w:rPr>
        <w:t>Examen clinique complet</w:t>
      </w:r>
      <w:r w:rsidRPr="00062B26">
        <w:rPr>
          <w:rFonts w:cs="Arial"/>
          <w:color w:val="0070C0"/>
        </w:rPr>
        <w:t xml:space="preserve"> avec touchers pelviens, interrogatoire</w:t>
      </w:r>
      <w:r>
        <w:rPr>
          <w:rFonts w:cs="Arial"/>
          <w:color w:val="0070C0"/>
        </w:rPr>
        <w:t>.</w:t>
      </w:r>
    </w:p>
    <w:p w14:paraId="15200924" w14:textId="77777777" w:rsidR="003720F8" w:rsidRPr="003819D6" w:rsidRDefault="003720F8">
      <w:pPr>
        <w:widowControl w:val="0"/>
        <w:numPr>
          <w:ilvl w:val="1"/>
          <w:numId w:val="30"/>
        </w:numPr>
        <w:spacing w:line="276" w:lineRule="auto"/>
        <w:ind w:left="284" w:hanging="142"/>
        <w:rPr>
          <w:rFonts w:cs="Arial"/>
          <w:color w:val="0070C0"/>
        </w:rPr>
      </w:pPr>
      <w:r w:rsidRPr="00062B26">
        <w:rPr>
          <w:rFonts w:cs="Arial"/>
          <w:color w:val="0070C0"/>
        </w:rPr>
        <w:t>NFS, plaquettes, VS, radiographie pulmonaire (si pas d’angioscanner</w:t>
      </w:r>
      <w:r>
        <w:rPr>
          <w:rFonts w:cs="Arial"/>
          <w:color w:val="0070C0"/>
        </w:rPr>
        <w:t>).</w:t>
      </w:r>
    </w:p>
    <w:p w14:paraId="090B5CA9" w14:textId="77777777" w:rsidR="003720F8" w:rsidRPr="00062B26" w:rsidRDefault="003720F8">
      <w:pPr>
        <w:widowControl w:val="0"/>
        <w:numPr>
          <w:ilvl w:val="1"/>
          <w:numId w:val="30"/>
        </w:numPr>
        <w:spacing w:line="276" w:lineRule="auto"/>
        <w:ind w:left="284" w:hanging="142"/>
        <w:rPr>
          <w:rFonts w:cs="Arial"/>
          <w:color w:val="0070C0"/>
        </w:rPr>
      </w:pPr>
      <w:r w:rsidRPr="00062B26">
        <w:rPr>
          <w:rFonts w:cs="Arial"/>
          <w:color w:val="0070C0"/>
        </w:rPr>
        <w:t>Mise à jour des dépistages recommandés dans la population générale (mammographie et frottis vaginal pour les femmes &gt; 50</w:t>
      </w:r>
      <w:r>
        <w:rPr>
          <w:rFonts w:cs="Arial"/>
          <w:color w:val="0070C0"/>
        </w:rPr>
        <w:t> </w:t>
      </w:r>
      <w:r w:rsidRPr="00062B26">
        <w:rPr>
          <w:rFonts w:cs="Arial"/>
          <w:color w:val="0070C0"/>
        </w:rPr>
        <w:t>ans, PSA pour les hommes &gt; 50</w:t>
      </w:r>
      <w:r>
        <w:rPr>
          <w:rFonts w:cs="Arial"/>
          <w:color w:val="0070C0"/>
        </w:rPr>
        <w:t> </w:t>
      </w:r>
      <w:r w:rsidRPr="00062B26">
        <w:rPr>
          <w:rFonts w:cs="Arial"/>
          <w:color w:val="0070C0"/>
        </w:rPr>
        <w:t>ans, colonoscopie si cancer colorectaux familiaux connus).</w:t>
      </w:r>
    </w:p>
    <w:p w14:paraId="13EE63D0" w14:textId="77777777" w:rsidR="003720F8" w:rsidRPr="00062B26" w:rsidRDefault="003720F8">
      <w:pPr>
        <w:widowControl w:val="0"/>
        <w:numPr>
          <w:ilvl w:val="1"/>
          <w:numId w:val="30"/>
        </w:numPr>
        <w:spacing w:line="276" w:lineRule="auto"/>
        <w:ind w:left="284" w:hanging="142"/>
        <w:rPr>
          <w:rFonts w:cs="Arial"/>
          <w:color w:val="0070C0"/>
        </w:rPr>
      </w:pPr>
      <w:r w:rsidRPr="00062B26">
        <w:rPr>
          <w:rFonts w:cs="Arial"/>
          <w:color w:val="0070C0"/>
        </w:rPr>
        <w:t xml:space="preserve">Pour tout autre examen paraclinique : </w:t>
      </w:r>
    </w:p>
    <w:p w14:paraId="3B77E0AE" w14:textId="77777777" w:rsidR="003720F8" w:rsidRPr="00062B26" w:rsidRDefault="003720F8">
      <w:pPr>
        <w:widowControl w:val="0"/>
        <w:numPr>
          <w:ilvl w:val="2"/>
          <w:numId w:val="31"/>
        </w:numPr>
        <w:spacing w:line="276" w:lineRule="auto"/>
        <w:ind w:left="567" w:hanging="283"/>
        <w:rPr>
          <w:rFonts w:cs="Arial"/>
          <w:color w:val="0070C0"/>
        </w:rPr>
      </w:pPr>
      <w:r>
        <w:rPr>
          <w:rFonts w:cs="Arial"/>
          <w:b/>
          <w:color w:val="0070C0"/>
        </w:rPr>
        <w:t>J</w:t>
      </w:r>
      <w:r w:rsidRPr="00062B26">
        <w:rPr>
          <w:rFonts w:cs="Arial"/>
          <w:b/>
          <w:color w:val="0070C0"/>
        </w:rPr>
        <w:t>amais systématique :</w:t>
      </w:r>
      <w:r w:rsidRPr="00062B26">
        <w:rPr>
          <w:rFonts w:cs="Arial"/>
          <w:color w:val="0070C0"/>
        </w:rPr>
        <w:t xml:space="preserve"> coûteux et sans impact pronostique</w:t>
      </w:r>
      <w:r>
        <w:rPr>
          <w:rFonts w:cs="Arial"/>
          <w:color w:val="0070C0"/>
        </w:rPr>
        <w:t>.</w:t>
      </w:r>
    </w:p>
    <w:p w14:paraId="00F33CF2" w14:textId="77777777" w:rsidR="003720F8" w:rsidRPr="00062B26" w:rsidRDefault="003720F8">
      <w:pPr>
        <w:widowControl w:val="0"/>
        <w:numPr>
          <w:ilvl w:val="2"/>
          <w:numId w:val="31"/>
        </w:numPr>
        <w:spacing w:line="276" w:lineRule="auto"/>
        <w:ind w:left="567" w:hanging="283"/>
        <w:rPr>
          <w:rFonts w:cs="Arial"/>
          <w:color w:val="0070C0"/>
        </w:rPr>
      </w:pPr>
      <w:r>
        <w:rPr>
          <w:rFonts w:cs="Arial"/>
          <w:color w:val="0070C0"/>
        </w:rPr>
        <w:t>P</w:t>
      </w:r>
      <w:r w:rsidRPr="00062B26">
        <w:rPr>
          <w:rFonts w:cs="Arial"/>
          <w:color w:val="0070C0"/>
        </w:rPr>
        <w:t xml:space="preserve">rescrit uniquement sur point d’appel clinique. </w:t>
      </w:r>
    </w:p>
    <w:p w14:paraId="0E75B934" w14:textId="77777777" w:rsidR="003720F8" w:rsidRPr="00062B26" w:rsidRDefault="003720F8" w:rsidP="003720F8">
      <w:pPr>
        <w:widowControl w:val="0"/>
        <w:spacing w:line="276" w:lineRule="auto"/>
        <w:ind w:left="360"/>
        <w:rPr>
          <w:rFonts w:cs="Arial"/>
          <w:color w:val="0070C0"/>
        </w:rPr>
      </w:pPr>
    </w:p>
    <w:p w14:paraId="554EB697" w14:textId="77777777" w:rsidR="003720F8" w:rsidRPr="00062B26" w:rsidRDefault="003720F8" w:rsidP="003720F8">
      <w:pPr>
        <w:widowControl w:val="0"/>
        <w:spacing w:line="276" w:lineRule="auto"/>
        <w:rPr>
          <w:rFonts w:cs="Arial"/>
          <w:color w:val="0070C0"/>
        </w:rPr>
      </w:pPr>
      <w:r w:rsidRPr="00062B26">
        <w:rPr>
          <w:rFonts w:cs="Arial"/>
          <w:b/>
          <w:color w:val="0070C0"/>
        </w:rPr>
        <w:t>Bilan de thrombophilie</w:t>
      </w:r>
      <w:r w:rsidRPr="00062B26">
        <w:rPr>
          <w:rFonts w:cs="Arial"/>
          <w:color w:val="0070C0"/>
        </w:rPr>
        <w:t xml:space="preserve"> : </w:t>
      </w:r>
    </w:p>
    <w:p w14:paraId="47BF94C3" w14:textId="6F59C674" w:rsidR="003720F8" w:rsidRPr="00062B26" w:rsidRDefault="003720F8" w:rsidP="003720F8">
      <w:pPr>
        <w:widowControl w:val="0"/>
        <w:spacing w:line="276" w:lineRule="auto"/>
        <w:rPr>
          <w:rFonts w:cs="Arial"/>
          <w:color w:val="0070C0"/>
        </w:rPr>
      </w:pPr>
      <w:r>
        <w:rPr>
          <w:rFonts w:cs="Arial"/>
          <w:color w:val="0070C0"/>
        </w:rPr>
        <w:t xml:space="preserve">- </w:t>
      </w:r>
      <w:r w:rsidRPr="00062B26">
        <w:rPr>
          <w:rFonts w:cs="Arial"/>
          <w:color w:val="0070C0"/>
        </w:rPr>
        <w:t xml:space="preserve">Indications : </w:t>
      </w:r>
      <w:r w:rsidR="0026545F">
        <w:rPr>
          <w:rFonts w:cs="Arial"/>
          <w:color w:val="0070C0"/>
        </w:rPr>
        <w:t>MTEV</w:t>
      </w:r>
      <w:r w:rsidRPr="00062B26">
        <w:rPr>
          <w:rFonts w:cs="Arial"/>
          <w:color w:val="0070C0"/>
        </w:rPr>
        <w:t xml:space="preserve"> non provoquée avant 50</w:t>
      </w:r>
      <w:r>
        <w:rPr>
          <w:rFonts w:cs="Arial"/>
          <w:color w:val="0070C0"/>
        </w:rPr>
        <w:t> </w:t>
      </w:r>
      <w:r w:rsidRPr="00062B26">
        <w:rPr>
          <w:rFonts w:cs="Arial"/>
          <w:color w:val="0070C0"/>
        </w:rPr>
        <w:t xml:space="preserve">ans et antécédents familiaux de </w:t>
      </w:r>
      <w:r w:rsidR="0026545F">
        <w:rPr>
          <w:rFonts w:cs="Arial"/>
          <w:color w:val="0070C0"/>
        </w:rPr>
        <w:t>MTEV</w:t>
      </w:r>
      <w:r w:rsidRPr="00062B26">
        <w:rPr>
          <w:rFonts w:cs="Arial"/>
          <w:color w:val="0070C0"/>
        </w:rPr>
        <w:t xml:space="preserve"> au 1</w:t>
      </w:r>
      <w:r w:rsidRPr="00062B26">
        <w:rPr>
          <w:rFonts w:cs="Arial"/>
          <w:color w:val="0070C0"/>
          <w:vertAlign w:val="superscript"/>
        </w:rPr>
        <w:t>er</w:t>
      </w:r>
      <w:r w:rsidRPr="00062B26">
        <w:rPr>
          <w:rFonts w:cs="Arial"/>
          <w:color w:val="0070C0"/>
        </w:rPr>
        <w:t xml:space="preserve"> degré, ou </w:t>
      </w:r>
      <w:r w:rsidR="0026545F">
        <w:rPr>
          <w:rFonts w:cs="Arial"/>
          <w:color w:val="0070C0"/>
        </w:rPr>
        <w:t>MTEV</w:t>
      </w:r>
      <w:r w:rsidRPr="00062B26">
        <w:rPr>
          <w:rFonts w:cs="Arial"/>
          <w:color w:val="0070C0"/>
        </w:rPr>
        <w:t xml:space="preserve"> récidivante dont un épisode avant 50</w:t>
      </w:r>
      <w:r>
        <w:rPr>
          <w:rFonts w:cs="Arial"/>
          <w:color w:val="0070C0"/>
        </w:rPr>
        <w:t> </w:t>
      </w:r>
      <w:r w:rsidRPr="00062B26">
        <w:rPr>
          <w:rFonts w:cs="Arial"/>
          <w:color w:val="0070C0"/>
        </w:rPr>
        <w:t>ans, ou TVP dans des sites atypiques (splanchnique, membre supérieur, cérébral).</w:t>
      </w:r>
    </w:p>
    <w:p w14:paraId="1BBACD2A" w14:textId="77777777" w:rsidR="003720F8" w:rsidRPr="00062B26" w:rsidRDefault="003720F8" w:rsidP="003720F8">
      <w:pPr>
        <w:widowControl w:val="0"/>
        <w:spacing w:line="276" w:lineRule="auto"/>
        <w:rPr>
          <w:rFonts w:cs="Arial"/>
          <w:color w:val="0070C0"/>
        </w:rPr>
      </w:pPr>
      <w:r>
        <w:rPr>
          <w:rFonts w:cs="Arial"/>
          <w:color w:val="0070C0"/>
        </w:rPr>
        <w:t xml:space="preserve">- </w:t>
      </w:r>
      <w:r w:rsidRPr="00062B26">
        <w:rPr>
          <w:rFonts w:cs="Arial"/>
          <w:color w:val="0070C0"/>
        </w:rPr>
        <w:t>Dosages réalisés à distance de l’épisode aigu (au moins 1</w:t>
      </w:r>
      <w:r>
        <w:rPr>
          <w:rFonts w:cs="Arial"/>
          <w:color w:val="0070C0"/>
        </w:rPr>
        <w:t> </w:t>
      </w:r>
      <w:r w:rsidRPr="00062B26">
        <w:rPr>
          <w:rFonts w:cs="Arial"/>
          <w:color w:val="0070C0"/>
        </w:rPr>
        <w:t>mois après)</w:t>
      </w:r>
      <w:r>
        <w:rPr>
          <w:rFonts w:cs="Arial"/>
          <w:color w:val="0070C0"/>
        </w:rPr>
        <w:t> </w:t>
      </w:r>
      <w:r w:rsidRPr="00062B26">
        <w:rPr>
          <w:rFonts w:cs="Arial"/>
          <w:color w:val="0070C0"/>
        </w:rPr>
        <w:t xml:space="preserve">: </w:t>
      </w:r>
    </w:p>
    <w:p w14:paraId="685D934E"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Protéine C, protéine S (en l’absence d’AVK)</w:t>
      </w:r>
      <w:r>
        <w:rPr>
          <w:rFonts w:cs="Arial"/>
          <w:color w:val="0070C0"/>
        </w:rPr>
        <w:t>.</w:t>
      </w:r>
    </w:p>
    <w:p w14:paraId="68E90960"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Antithrombine (en l’absence d’héparines ou AOD)</w:t>
      </w:r>
      <w:r>
        <w:rPr>
          <w:rFonts w:cs="Arial"/>
          <w:color w:val="0070C0"/>
        </w:rPr>
        <w:t>.</w:t>
      </w:r>
    </w:p>
    <w:p w14:paraId="4F19933F"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Mutation Leiden du facteur V et mutation G20210A du gène de la prothrombine (non faussé par l’anticoagulation)</w:t>
      </w:r>
      <w:r>
        <w:rPr>
          <w:rFonts w:cs="Arial"/>
          <w:color w:val="0070C0"/>
        </w:rPr>
        <w:t>.</w:t>
      </w:r>
    </w:p>
    <w:p w14:paraId="2332BCE4"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 xml:space="preserve">Recherche d’anticoagulant lupique (en l’absence d’anticoagulation) et d’anticorps </w:t>
      </w:r>
      <w:proofErr w:type="spellStart"/>
      <w:r w:rsidRPr="00062B26">
        <w:rPr>
          <w:rFonts w:cs="Arial"/>
          <w:color w:val="0070C0"/>
        </w:rPr>
        <w:t>anticardiolipine</w:t>
      </w:r>
      <w:proofErr w:type="spellEnd"/>
      <w:r w:rsidRPr="00062B26">
        <w:rPr>
          <w:rFonts w:cs="Arial"/>
          <w:color w:val="0070C0"/>
        </w:rPr>
        <w:t xml:space="preserve"> et anti-</w:t>
      </w:r>
      <w:r w:rsidRPr="00062B26">
        <w:rPr>
          <w:rFonts w:cs="Arial"/>
          <w:color w:val="0070C0"/>
        </w:rPr>
        <w:sym w:font="Symbol" w:char="F062"/>
      </w:r>
      <w:r w:rsidRPr="00062B26">
        <w:rPr>
          <w:rFonts w:cs="Arial"/>
          <w:color w:val="0070C0"/>
        </w:rPr>
        <w:t>2-glycoprotéine I (non faussé par l’anticoagulation) : ces dosages doivent être répétés à 3</w:t>
      </w:r>
      <w:r>
        <w:rPr>
          <w:rFonts w:cs="Arial"/>
          <w:color w:val="0070C0"/>
        </w:rPr>
        <w:t> </w:t>
      </w:r>
      <w:r w:rsidRPr="00062B26">
        <w:rPr>
          <w:rFonts w:cs="Arial"/>
          <w:color w:val="0070C0"/>
        </w:rPr>
        <w:t xml:space="preserve">mois pour confirmer un syndrome des </w:t>
      </w:r>
      <w:proofErr w:type="spellStart"/>
      <w:r w:rsidRPr="00062B26">
        <w:rPr>
          <w:rFonts w:cs="Arial"/>
          <w:color w:val="0070C0"/>
        </w:rPr>
        <w:t>antiphospholipides</w:t>
      </w:r>
      <w:proofErr w:type="spellEnd"/>
      <w:r w:rsidRPr="00062B26">
        <w:rPr>
          <w:rFonts w:cs="Arial"/>
          <w:color w:val="0070C0"/>
        </w:rPr>
        <w:t>.</w:t>
      </w:r>
    </w:p>
    <w:p w14:paraId="6C854AF8"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Pour les thrombophilies héréditaires : obtenir un consentement écrit des patients ou du responsable légal pour les mineurs.</w:t>
      </w:r>
    </w:p>
    <w:p w14:paraId="509A0B9F" w14:textId="77777777" w:rsidR="003720F8" w:rsidRPr="00062B26" w:rsidRDefault="003720F8" w:rsidP="003720F8">
      <w:pPr>
        <w:widowControl w:val="0"/>
        <w:spacing w:line="276" w:lineRule="auto"/>
        <w:rPr>
          <w:rFonts w:cs="Arial"/>
          <w:color w:val="0070C0"/>
        </w:rPr>
      </w:pPr>
      <w:r>
        <w:rPr>
          <w:rFonts w:cs="Arial"/>
          <w:color w:val="0070C0"/>
        </w:rPr>
        <w:t xml:space="preserve">- </w:t>
      </w:r>
      <w:r w:rsidRPr="00062B26">
        <w:rPr>
          <w:rFonts w:cs="Arial"/>
          <w:color w:val="0070C0"/>
        </w:rPr>
        <w:t xml:space="preserve">Utilité : </w:t>
      </w:r>
    </w:p>
    <w:p w14:paraId="40BCB298"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 xml:space="preserve">Syndrome des </w:t>
      </w:r>
      <w:proofErr w:type="spellStart"/>
      <w:r w:rsidRPr="00062B26">
        <w:rPr>
          <w:rFonts w:cs="Arial"/>
          <w:color w:val="0070C0"/>
        </w:rPr>
        <w:t>antiphospholipides</w:t>
      </w:r>
      <w:proofErr w:type="spellEnd"/>
      <w:r w:rsidRPr="00062B26">
        <w:rPr>
          <w:rFonts w:cs="Arial"/>
          <w:color w:val="0070C0"/>
        </w:rPr>
        <w:t xml:space="preserve"> : indication à un traitement </w:t>
      </w:r>
      <w:r w:rsidRPr="00062B26">
        <w:rPr>
          <w:rFonts w:cs="Arial"/>
          <w:b/>
          <w:color w:val="0070C0"/>
        </w:rPr>
        <w:t>par AVK</w:t>
      </w:r>
      <w:r w:rsidRPr="00062B26">
        <w:rPr>
          <w:rFonts w:cs="Arial"/>
          <w:color w:val="0070C0"/>
        </w:rPr>
        <w:t xml:space="preserve"> pour une durée non limitée.</w:t>
      </w:r>
    </w:p>
    <w:p w14:paraId="221C5746"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Antithrombine</w:t>
      </w:r>
      <w:r>
        <w:rPr>
          <w:rFonts w:cs="Arial"/>
          <w:color w:val="0070C0"/>
        </w:rPr>
        <w:t> </w:t>
      </w:r>
      <w:r w:rsidRPr="00062B26">
        <w:rPr>
          <w:rFonts w:cs="Arial"/>
          <w:color w:val="0070C0"/>
        </w:rPr>
        <w:t>: indication à un traitement anticoagulant pour une durée non limitée et intérêt pour le dépistage familial.</w:t>
      </w:r>
    </w:p>
    <w:p w14:paraId="344CDB0B" w14:textId="77777777" w:rsidR="003720F8" w:rsidRPr="00062B26" w:rsidRDefault="003720F8">
      <w:pPr>
        <w:widowControl w:val="0"/>
        <w:numPr>
          <w:ilvl w:val="1"/>
          <w:numId w:val="32"/>
        </w:numPr>
        <w:spacing w:line="276" w:lineRule="auto"/>
        <w:ind w:left="284" w:hanging="142"/>
        <w:rPr>
          <w:rFonts w:cs="Arial"/>
          <w:color w:val="0070C0"/>
        </w:rPr>
      </w:pPr>
      <w:r w:rsidRPr="00062B26">
        <w:rPr>
          <w:rFonts w:cs="Arial"/>
          <w:color w:val="0070C0"/>
        </w:rPr>
        <w:t>Déficit en protéine C, S, mutations Leiden et prothrombine : utilité modérée pour la durée de traitement et le dépistage familial.</w:t>
      </w:r>
    </w:p>
    <w:p w14:paraId="7A26AEBA" w14:textId="3F136D53" w:rsidR="004278AD" w:rsidRPr="00C8767D" w:rsidRDefault="003720F8" w:rsidP="00C8767D">
      <w:pPr>
        <w:spacing w:after="160"/>
        <w:jc w:val="left"/>
        <w:rPr>
          <w:rFonts w:ascii="Arial" w:hAnsi="Arial" w:cs="Arial"/>
          <w:color w:val="0070C0"/>
        </w:rPr>
      </w:pPr>
      <w:r w:rsidRPr="00062B26">
        <w:rPr>
          <w:rFonts w:ascii="Arial" w:hAnsi="Arial" w:cs="Arial"/>
          <w:color w:val="0070C0"/>
        </w:rPr>
        <w:br w:type="page"/>
      </w:r>
      <w:r w:rsidR="004278AD" w:rsidRPr="00FA1270">
        <w:rPr>
          <w:rFonts w:eastAsia="+mn-ea"/>
          <w:b/>
          <w:bCs/>
          <w:iCs/>
          <w:color w:val="0070C0"/>
          <w:sz w:val="24"/>
          <w:szCs w:val="24"/>
        </w:rPr>
        <w:lastRenderedPageBreak/>
        <w:t>QUESTIONS TOMBABLES</w:t>
      </w:r>
    </w:p>
    <w:p w14:paraId="390A13C0" w14:textId="77777777" w:rsidR="004278AD" w:rsidRDefault="004278AD" w:rsidP="004278AD">
      <w:pPr>
        <w:rPr>
          <w:rFonts w:ascii="Arial" w:eastAsia="+mn-ea" w:hAnsi="Arial" w:cs="Arial"/>
          <w:b/>
          <w:bCs/>
          <w:iCs/>
          <w:color w:val="3366FF"/>
          <w:sz w:val="22"/>
        </w:rPr>
      </w:pPr>
    </w:p>
    <w:p w14:paraId="52A48218" w14:textId="77777777" w:rsidR="004278AD" w:rsidRPr="00FF0ACE" w:rsidRDefault="004278AD">
      <w:pPr>
        <w:pStyle w:val="aaQ"/>
        <w:numPr>
          <w:ilvl w:val="0"/>
          <w:numId w:val="44"/>
        </w:numPr>
      </w:pPr>
      <w:r>
        <w:t>Q</w:t>
      </w:r>
      <w:r w:rsidRPr="00FF0ACE">
        <w:t>RU</w:t>
      </w:r>
    </w:p>
    <w:p w14:paraId="0C1FA84A" w14:textId="77777777" w:rsidR="004278AD" w:rsidRPr="00FF0ACE" w:rsidRDefault="004278AD" w:rsidP="004278AD">
      <w:pPr>
        <w:rPr>
          <w:rFonts w:cstheme="minorHAnsi"/>
          <w:bCs/>
        </w:rPr>
      </w:pPr>
      <w:r w:rsidRPr="00FF0ACE">
        <w:rPr>
          <w:rFonts w:cstheme="minorHAnsi"/>
          <w:bCs/>
        </w:rPr>
        <w:t>Vous recevez aux urgences une femme de 64</w:t>
      </w:r>
      <w:r>
        <w:rPr>
          <w:rFonts w:cstheme="minorHAnsi"/>
          <w:bCs/>
        </w:rPr>
        <w:t> </w:t>
      </w:r>
      <w:r w:rsidRPr="00FF0ACE">
        <w:rPr>
          <w:rFonts w:cstheme="minorHAnsi"/>
          <w:bCs/>
        </w:rPr>
        <w:t xml:space="preserve">ans, pour dyspnée et douleur thoracique. Vous évoquez une embolie pulmonaire avec une probabilité clinique intermédiaire. La pression artérielle est normale. </w:t>
      </w:r>
    </w:p>
    <w:p w14:paraId="3587E2FE" w14:textId="77777777" w:rsidR="004278AD" w:rsidRPr="00FF0ACE" w:rsidRDefault="004278AD" w:rsidP="004278AD">
      <w:pPr>
        <w:rPr>
          <w:rFonts w:cstheme="minorHAnsi"/>
          <w:bCs/>
        </w:rPr>
      </w:pPr>
      <w:r w:rsidRPr="00FF0ACE">
        <w:rPr>
          <w:rFonts w:cstheme="minorHAnsi"/>
          <w:bCs/>
        </w:rPr>
        <w:t>Quel examen à visée diagnostique demandez-vous en première intention pour éliminer le diagnostic d’embolie pulmonaire</w:t>
      </w:r>
      <w:r>
        <w:rPr>
          <w:rFonts w:ascii="Arial" w:hAnsi="Arial" w:cs="Arial"/>
          <w:bCs/>
        </w:rPr>
        <w:t> </w:t>
      </w:r>
      <w:r w:rsidRPr="00FF0ACE">
        <w:rPr>
          <w:rFonts w:cstheme="minorHAnsi"/>
          <w:bCs/>
        </w:rPr>
        <w:t>?</w:t>
      </w:r>
    </w:p>
    <w:p w14:paraId="391C0862" w14:textId="77777777" w:rsidR="004278AD" w:rsidRPr="00FF0ACE" w:rsidRDefault="004278AD">
      <w:pPr>
        <w:pStyle w:val="Paragraphedeliste"/>
        <w:numPr>
          <w:ilvl w:val="0"/>
          <w:numId w:val="40"/>
        </w:numPr>
        <w:spacing w:line="240" w:lineRule="auto"/>
        <w:rPr>
          <w:rFonts w:cstheme="minorHAnsi"/>
        </w:rPr>
      </w:pPr>
      <w:r w:rsidRPr="00FF0ACE">
        <w:rPr>
          <w:rFonts w:cstheme="minorHAnsi"/>
        </w:rPr>
        <w:t>Une radiographie thoracique</w:t>
      </w:r>
    </w:p>
    <w:p w14:paraId="037A76D7" w14:textId="77777777" w:rsidR="004278AD" w:rsidRPr="00FF0ACE" w:rsidRDefault="004278AD">
      <w:pPr>
        <w:pStyle w:val="Paragraphedeliste"/>
        <w:numPr>
          <w:ilvl w:val="0"/>
          <w:numId w:val="40"/>
        </w:numPr>
        <w:spacing w:line="240" w:lineRule="auto"/>
        <w:rPr>
          <w:rFonts w:cstheme="minorHAnsi"/>
        </w:rPr>
      </w:pPr>
      <w:r w:rsidRPr="00FF0ACE">
        <w:rPr>
          <w:rFonts w:cstheme="minorHAnsi"/>
        </w:rPr>
        <w:t>Des D-dimères</w:t>
      </w:r>
    </w:p>
    <w:p w14:paraId="0C2DC46A" w14:textId="77777777" w:rsidR="004278AD" w:rsidRPr="00FF0ACE" w:rsidRDefault="004278AD">
      <w:pPr>
        <w:pStyle w:val="Paragraphedeliste"/>
        <w:numPr>
          <w:ilvl w:val="0"/>
          <w:numId w:val="40"/>
        </w:numPr>
        <w:spacing w:line="240" w:lineRule="auto"/>
        <w:rPr>
          <w:rFonts w:cstheme="minorHAnsi"/>
        </w:rPr>
      </w:pPr>
      <w:r w:rsidRPr="00FF0ACE">
        <w:rPr>
          <w:rFonts w:cstheme="minorHAnsi"/>
        </w:rPr>
        <w:t xml:space="preserve">Un </w:t>
      </w:r>
      <w:proofErr w:type="spellStart"/>
      <w:r w:rsidRPr="00FF0ACE">
        <w:rPr>
          <w:rFonts w:cstheme="minorHAnsi"/>
        </w:rPr>
        <w:t>écho-doppler</w:t>
      </w:r>
      <w:proofErr w:type="spellEnd"/>
      <w:r w:rsidRPr="00FF0ACE">
        <w:rPr>
          <w:rFonts w:cstheme="minorHAnsi"/>
        </w:rPr>
        <w:t xml:space="preserve"> veineux des membres inférieurs</w:t>
      </w:r>
    </w:p>
    <w:p w14:paraId="52D4D3B9" w14:textId="77777777" w:rsidR="004278AD" w:rsidRPr="00FF0ACE" w:rsidRDefault="004278AD">
      <w:pPr>
        <w:pStyle w:val="Paragraphedeliste"/>
        <w:numPr>
          <w:ilvl w:val="0"/>
          <w:numId w:val="40"/>
        </w:numPr>
        <w:spacing w:line="240" w:lineRule="auto"/>
        <w:rPr>
          <w:rFonts w:cstheme="minorHAnsi"/>
        </w:rPr>
      </w:pPr>
      <w:r w:rsidRPr="00FF0ACE">
        <w:rPr>
          <w:rFonts w:cstheme="minorHAnsi"/>
        </w:rPr>
        <w:t>Un angioscanner thoracique</w:t>
      </w:r>
    </w:p>
    <w:p w14:paraId="49CB4968" w14:textId="77777777" w:rsidR="004278AD" w:rsidRDefault="004278AD">
      <w:pPr>
        <w:pStyle w:val="Paragraphedeliste"/>
        <w:numPr>
          <w:ilvl w:val="0"/>
          <w:numId w:val="40"/>
        </w:numPr>
        <w:spacing w:line="240" w:lineRule="auto"/>
        <w:rPr>
          <w:rFonts w:cstheme="minorHAnsi"/>
        </w:rPr>
      </w:pPr>
      <w:r w:rsidRPr="00FF0ACE">
        <w:rPr>
          <w:rFonts w:cstheme="minorHAnsi"/>
        </w:rPr>
        <w:t>Une scintigraphie pulmonaire de ventilation-perfusion</w:t>
      </w:r>
    </w:p>
    <w:p w14:paraId="16CBF586" w14:textId="77777777" w:rsidR="004278AD" w:rsidRPr="00FF0ACE" w:rsidRDefault="004278AD" w:rsidP="004278AD">
      <w:pPr>
        <w:pStyle w:val="Paragraphedeliste"/>
        <w:spacing w:line="240" w:lineRule="auto"/>
        <w:rPr>
          <w:rFonts w:cstheme="minorHAnsi"/>
        </w:rPr>
      </w:pPr>
    </w:p>
    <w:p w14:paraId="2996C7E2" w14:textId="77777777" w:rsidR="004278AD" w:rsidRPr="00FF0ACE" w:rsidRDefault="004278AD" w:rsidP="004278AD">
      <w:pPr>
        <w:pStyle w:val="aaQ"/>
        <w:jc w:val="both"/>
      </w:pPr>
      <w:r>
        <w:t>Q</w:t>
      </w:r>
      <w:r w:rsidRPr="00FF0ACE">
        <w:t>RM</w:t>
      </w:r>
    </w:p>
    <w:p w14:paraId="187EF768" w14:textId="77777777" w:rsidR="004278AD" w:rsidRPr="00FF0ACE" w:rsidRDefault="004278AD" w:rsidP="004278AD">
      <w:pPr>
        <w:rPr>
          <w:rFonts w:cstheme="minorHAnsi"/>
        </w:rPr>
      </w:pPr>
      <w:r w:rsidRPr="00FF0ACE">
        <w:rPr>
          <w:rFonts w:cstheme="minorHAnsi"/>
        </w:rPr>
        <w:t>En cas d’embolie pulmonaire associée à des signes de choc, quelle(s) proposition(s) est(sont) exacte(s)</w:t>
      </w:r>
      <w:r>
        <w:rPr>
          <w:rFonts w:ascii="Arial" w:hAnsi="Arial" w:cs="Arial"/>
        </w:rPr>
        <w:t> </w:t>
      </w:r>
      <w:r w:rsidRPr="00FF0ACE">
        <w:rPr>
          <w:rFonts w:cstheme="minorHAnsi"/>
        </w:rPr>
        <w:t>?</w:t>
      </w:r>
    </w:p>
    <w:p w14:paraId="59E5FD23" w14:textId="77777777" w:rsidR="004278AD" w:rsidRPr="00FF0ACE" w:rsidRDefault="004278AD">
      <w:pPr>
        <w:pStyle w:val="Paragraphedeliste"/>
        <w:numPr>
          <w:ilvl w:val="0"/>
          <w:numId w:val="41"/>
        </w:numPr>
        <w:spacing w:line="240" w:lineRule="auto"/>
        <w:rPr>
          <w:rFonts w:cstheme="minorHAnsi"/>
        </w:rPr>
      </w:pPr>
      <w:r w:rsidRPr="00FF0ACE">
        <w:rPr>
          <w:rFonts w:cstheme="minorHAnsi"/>
        </w:rPr>
        <w:t>La mortalité est de l’ordre de 5</w:t>
      </w:r>
      <w:r>
        <w:rPr>
          <w:rFonts w:cstheme="minorHAnsi"/>
        </w:rPr>
        <w:t> </w:t>
      </w:r>
      <w:r w:rsidRPr="00FF0ACE">
        <w:rPr>
          <w:rFonts w:cstheme="minorHAnsi"/>
        </w:rPr>
        <w:t>%</w:t>
      </w:r>
    </w:p>
    <w:p w14:paraId="672D15EF" w14:textId="77777777" w:rsidR="004278AD" w:rsidRPr="00FF0ACE" w:rsidRDefault="004278AD">
      <w:pPr>
        <w:pStyle w:val="Paragraphedeliste"/>
        <w:numPr>
          <w:ilvl w:val="0"/>
          <w:numId w:val="41"/>
        </w:numPr>
        <w:spacing w:line="240" w:lineRule="auto"/>
        <w:rPr>
          <w:rFonts w:cstheme="minorHAnsi"/>
        </w:rPr>
      </w:pPr>
      <w:r w:rsidRPr="00FF0ACE">
        <w:rPr>
          <w:rFonts w:cstheme="minorHAnsi"/>
        </w:rPr>
        <w:t>Une thrombolyse doit être réalisée en urgence en l’absence de contre-indication</w:t>
      </w:r>
    </w:p>
    <w:p w14:paraId="47AF5315" w14:textId="77777777" w:rsidR="004278AD" w:rsidRPr="00FF0ACE" w:rsidRDefault="004278AD">
      <w:pPr>
        <w:pStyle w:val="Paragraphedeliste"/>
        <w:numPr>
          <w:ilvl w:val="0"/>
          <w:numId w:val="41"/>
        </w:numPr>
        <w:spacing w:line="240" w:lineRule="auto"/>
        <w:rPr>
          <w:rFonts w:cstheme="minorHAnsi"/>
        </w:rPr>
      </w:pPr>
      <w:r w:rsidRPr="00FF0ACE">
        <w:rPr>
          <w:rFonts w:cstheme="minorHAnsi"/>
        </w:rPr>
        <w:t>Une embolectomie percutanée ou chirurgicale est proposée en cas d’échec ou de contre-indication à la thrombolyse</w:t>
      </w:r>
    </w:p>
    <w:p w14:paraId="2C131DA1" w14:textId="77777777" w:rsidR="004278AD" w:rsidRPr="00FF0ACE" w:rsidRDefault="004278AD">
      <w:pPr>
        <w:pStyle w:val="Paragraphedeliste"/>
        <w:numPr>
          <w:ilvl w:val="0"/>
          <w:numId w:val="41"/>
        </w:numPr>
        <w:spacing w:line="240" w:lineRule="auto"/>
        <w:rPr>
          <w:rFonts w:cstheme="minorHAnsi"/>
        </w:rPr>
      </w:pPr>
      <w:r w:rsidRPr="00FF0ACE">
        <w:rPr>
          <w:rFonts w:cstheme="minorHAnsi"/>
        </w:rPr>
        <w:t>L’anticoagulation est impérativement une héparine non fractionnée</w:t>
      </w:r>
    </w:p>
    <w:p w14:paraId="74646A86" w14:textId="77777777" w:rsidR="004278AD" w:rsidRDefault="004278AD">
      <w:pPr>
        <w:pStyle w:val="Paragraphedeliste"/>
        <w:numPr>
          <w:ilvl w:val="0"/>
          <w:numId w:val="41"/>
        </w:numPr>
        <w:spacing w:line="240" w:lineRule="auto"/>
        <w:jc w:val="left"/>
        <w:rPr>
          <w:rFonts w:cstheme="minorHAnsi"/>
        </w:rPr>
      </w:pPr>
      <w:r w:rsidRPr="00FF0ACE">
        <w:rPr>
          <w:rFonts w:cstheme="minorHAnsi"/>
        </w:rPr>
        <w:t>Le risque d’hypercapnie est majeur et l’oxygénothérapie est adaptée pour obtenir une SpO</w:t>
      </w:r>
      <w:r w:rsidRPr="00FF0ACE">
        <w:rPr>
          <w:rFonts w:cstheme="minorHAnsi"/>
          <w:vertAlign w:val="subscript"/>
        </w:rPr>
        <w:t>2</w:t>
      </w:r>
      <w:r w:rsidRPr="00FF0ACE">
        <w:rPr>
          <w:rFonts w:cstheme="minorHAnsi"/>
        </w:rPr>
        <w:t xml:space="preserve"> entre 88</w:t>
      </w:r>
      <w:r>
        <w:rPr>
          <w:rFonts w:cstheme="minorHAnsi"/>
        </w:rPr>
        <w:t> </w:t>
      </w:r>
      <w:r w:rsidRPr="00FF0ACE">
        <w:rPr>
          <w:rFonts w:cstheme="minorHAnsi"/>
        </w:rPr>
        <w:t>% et 92</w:t>
      </w:r>
      <w:r>
        <w:rPr>
          <w:rFonts w:cstheme="minorHAnsi"/>
        </w:rPr>
        <w:t> </w:t>
      </w:r>
      <w:r w:rsidRPr="00FF0ACE">
        <w:rPr>
          <w:rFonts w:cstheme="minorHAnsi"/>
        </w:rPr>
        <w:t>%</w:t>
      </w:r>
    </w:p>
    <w:p w14:paraId="4B5789FE" w14:textId="77777777" w:rsidR="004278AD" w:rsidRPr="00FF0ACE" w:rsidRDefault="004278AD" w:rsidP="004278AD">
      <w:pPr>
        <w:pStyle w:val="Paragraphedeliste"/>
        <w:spacing w:line="240" w:lineRule="auto"/>
        <w:jc w:val="left"/>
        <w:rPr>
          <w:rFonts w:cstheme="minorHAnsi"/>
        </w:rPr>
      </w:pPr>
    </w:p>
    <w:p w14:paraId="7855C417" w14:textId="77777777" w:rsidR="004278AD" w:rsidRPr="00FF0ACE" w:rsidRDefault="004278AD" w:rsidP="004278AD">
      <w:pPr>
        <w:pStyle w:val="aaQ"/>
      </w:pPr>
      <w:r>
        <w:t>Q</w:t>
      </w:r>
      <w:r w:rsidRPr="00FF0ACE">
        <w:t>RM</w:t>
      </w:r>
    </w:p>
    <w:p w14:paraId="0D509900" w14:textId="77777777" w:rsidR="004278AD" w:rsidRPr="00FF0ACE" w:rsidRDefault="004278AD" w:rsidP="004278AD">
      <w:pPr>
        <w:rPr>
          <w:rFonts w:cstheme="minorHAnsi"/>
        </w:rPr>
      </w:pPr>
      <w:r w:rsidRPr="00FF0ACE">
        <w:rPr>
          <w:rFonts w:cstheme="minorHAnsi"/>
        </w:rPr>
        <w:t>En cas d’embolie pulmonaire de risque intermédiaire élevé survenant chez une jeune femme de 24</w:t>
      </w:r>
      <w:r>
        <w:rPr>
          <w:rFonts w:cstheme="minorHAnsi"/>
        </w:rPr>
        <w:t> </w:t>
      </w:r>
      <w:r w:rsidRPr="00FF0ACE">
        <w:rPr>
          <w:rFonts w:cstheme="minorHAnsi"/>
        </w:rPr>
        <w:t>ans sans antécédent, en post-partum, n</w:t>
      </w:r>
      <w:r>
        <w:rPr>
          <w:rFonts w:cstheme="minorHAnsi"/>
        </w:rPr>
        <w:t>’</w:t>
      </w:r>
      <w:r w:rsidRPr="00FF0ACE">
        <w:rPr>
          <w:rFonts w:cstheme="minorHAnsi"/>
        </w:rPr>
        <w:t>allaitant pas, quelle(s) proposition(s) est(sont) exacte(s)</w:t>
      </w:r>
      <w:r>
        <w:rPr>
          <w:rFonts w:ascii="Arial" w:hAnsi="Arial" w:cs="Arial"/>
        </w:rPr>
        <w:t> </w:t>
      </w:r>
      <w:r w:rsidRPr="00FF0ACE">
        <w:rPr>
          <w:rFonts w:cstheme="minorHAnsi"/>
        </w:rPr>
        <w:t xml:space="preserve">? </w:t>
      </w:r>
    </w:p>
    <w:p w14:paraId="680A452D" w14:textId="77777777" w:rsidR="004278AD" w:rsidRPr="00FF0ACE" w:rsidRDefault="004278AD">
      <w:pPr>
        <w:pStyle w:val="Paragraphedeliste"/>
        <w:numPr>
          <w:ilvl w:val="0"/>
          <w:numId w:val="42"/>
        </w:numPr>
        <w:spacing w:line="240" w:lineRule="auto"/>
        <w:jc w:val="left"/>
        <w:rPr>
          <w:rFonts w:cstheme="minorHAnsi"/>
        </w:rPr>
      </w:pPr>
      <w:r w:rsidRPr="00FF0ACE">
        <w:rPr>
          <w:rFonts w:cstheme="minorHAnsi"/>
        </w:rPr>
        <w:t>La patiente doit être hospitalisée en unité de soins intensifs</w:t>
      </w:r>
    </w:p>
    <w:p w14:paraId="6D0CC7AE" w14:textId="77777777" w:rsidR="004278AD" w:rsidRPr="00FF0ACE" w:rsidRDefault="004278AD">
      <w:pPr>
        <w:pStyle w:val="Paragraphedeliste"/>
        <w:numPr>
          <w:ilvl w:val="0"/>
          <w:numId w:val="42"/>
        </w:numPr>
        <w:spacing w:line="240" w:lineRule="auto"/>
        <w:jc w:val="left"/>
        <w:rPr>
          <w:rFonts w:cstheme="minorHAnsi"/>
        </w:rPr>
      </w:pPr>
      <w:r w:rsidRPr="00FF0ACE">
        <w:rPr>
          <w:rFonts w:cstheme="minorHAnsi"/>
        </w:rPr>
        <w:t>Une thrombolyse doit être réalisée en urgence</w:t>
      </w:r>
    </w:p>
    <w:p w14:paraId="1E55537A" w14:textId="77777777" w:rsidR="004278AD" w:rsidRPr="00FF0ACE" w:rsidRDefault="004278AD">
      <w:pPr>
        <w:pStyle w:val="Paragraphedeliste"/>
        <w:numPr>
          <w:ilvl w:val="0"/>
          <w:numId w:val="42"/>
        </w:numPr>
        <w:spacing w:line="240" w:lineRule="auto"/>
        <w:jc w:val="left"/>
        <w:rPr>
          <w:rFonts w:cstheme="minorHAnsi"/>
        </w:rPr>
      </w:pPr>
      <w:r w:rsidRPr="00FF0ACE">
        <w:rPr>
          <w:rFonts w:cstheme="minorHAnsi"/>
        </w:rPr>
        <w:t>Les héparines de bas poids moléculaires sont le traitement de 1</w:t>
      </w:r>
      <w:r w:rsidRPr="00FF0ACE">
        <w:rPr>
          <w:rFonts w:cstheme="minorHAnsi"/>
          <w:vertAlign w:val="superscript"/>
        </w:rPr>
        <w:t>re</w:t>
      </w:r>
      <w:r w:rsidRPr="00FF0ACE">
        <w:rPr>
          <w:rFonts w:cstheme="minorHAnsi"/>
        </w:rPr>
        <w:t xml:space="preserve"> intention</w:t>
      </w:r>
    </w:p>
    <w:p w14:paraId="4A702D23" w14:textId="77777777" w:rsidR="004278AD" w:rsidRPr="00FF0ACE" w:rsidRDefault="004278AD">
      <w:pPr>
        <w:pStyle w:val="Paragraphedeliste"/>
        <w:numPr>
          <w:ilvl w:val="0"/>
          <w:numId w:val="42"/>
        </w:numPr>
        <w:spacing w:line="240" w:lineRule="auto"/>
        <w:jc w:val="left"/>
        <w:rPr>
          <w:rFonts w:cstheme="minorHAnsi"/>
        </w:rPr>
      </w:pPr>
      <w:r w:rsidRPr="00FF0ACE">
        <w:rPr>
          <w:rFonts w:cstheme="minorHAnsi"/>
        </w:rPr>
        <w:t xml:space="preserve">Un </w:t>
      </w:r>
      <w:r>
        <w:rPr>
          <w:rFonts w:cstheme="minorHAnsi"/>
        </w:rPr>
        <w:t>relai</w:t>
      </w:r>
      <w:r w:rsidRPr="00FF0ACE">
        <w:rPr>
          <w:rFonts w:cstheme="minorHAnsi"/>
        </w:rPr>
        <w:t xml:space="preserve"> précoce par antivitamine k est recommandé</w:t>
      </w:r>
    </w:p>
    <w:p w14:paraId="4C806BEF" w14:textId="77777777" w:rsidR="004278AD" w:rsidRDefault="004278AD">
      <w:pPr>
        <w:pStyle w:val="Paragraphedeliste"/>
        <w:numPr>
          <w:ilvl w:val="0"/>
          <w:numId w:val="42"/>
        </w:numPr>
        <w:spacing w:line="240" w:lineRule="auto"/>
        <w:jc w:val="left"/>
        <w:rPr>
          <w:rFonts w:cstheme="minorHAnsi"/>
        </w:rPr>
      </w:pPr>
      <w:r w:rsidRPr="00FF0ACE">
        <w:rPr>
          <w:rFonts w:cstheme="minorHAnsi"/>
        </w:rPr>
        <w:t>Le traitement anticoagulant court (3 à 6</w:t>
      </w:r>
      <w:r>
        <w:rPr>
          <w:rFonts w:cstheme="minorHAnsi"/>
        </w:rPr>
        <w:t> </w:t>
      </w:r>
      <w:r w:rsidRPr="00FF0ACE">
        <w:rPr>
          <w:rFonts w:cstheme="minorHAnsi"/>
        </w:rPr>
        <w:t>mois) est indiqué</w:t>
      </w:r>
    </w:p>
    <w:p w14:paraId="75B98FF4" w14:textId="77777777" w:rsidR="004278AD" w:rsidRPr="00FF0ACE" w:rsidRDefault="004278AD" w:rsidP="004278AD">
      <w:pPr>
        <w:pStyle w:val="Paragraphedeliste"/>
        <w:spacing w:line="240" w:lineRule="auto"/>
        <w:jc w:val="left"/>
        <w:rPr>
          <w:rFonts w:cstheme="minorHAnsi"/>
        </w:rPr>
      </w:pPr>
    </w:p>
    <w:p w14:paraId="6AD48590" w14:textId="77777777" w:rsidR="004278AD" w:rsidRPr="00FF0ACE" w:rsidRDefault="004278AD" w:rsidP="004278AD">
      <w:pPr>
        <w:pStyle w:val="aaQ"/>
      </w:pPr>
      <w:r>
        <w:t>Q</w:t>
      </w:r>
      <w:r w:rsidRPr="00FF0ACE">
        <w:t>ROC</w:t>
      </w:r>
    </w:p>
    <w:p w14:paraId="7614E450" w14:textId="77777777" w:rsidR="004278AD" w:rsidRPr="00FF0ACE" w:rsidRDefault="004278AD" w:rsidP="004278AD">
      <w:pPr>
        <w:rPr>
          <w:rFonts w:cstheme="minorHAnsi"/>
        </w:rPr>
      </w:pPr>
      <w:r w:rsidRPr="00FF0ACE">
        <w:rPr>
          <w:rFonts w:cstheme="minorHAnsi"/>
        </w:rPr>
        <w:t>Vous êtes appelé le matin vers 9</w:t>
      </w:r>
      <w:r>
        <w:rPr>
          <w:rFonts w:cstheme="minorHAnsi"/>
        </w:rPr>
        <w:t> </w:t>
      </w:r>
      <w:r w:rsidRPr="00FF0ACE">
        <w:rPr>
          <w:rFonts w:cstheme="minorHAnsi"/>
        </w:rPr>
        <w:t>h au chevet d’un homme de 65</w:t>
      </w:r>
      <w:r>
        <w:rPr>
          <w:rFonts w:cstheme="minorHAnsi"/>
        </w:rPr>
        <w:t> </w:t>
      </w:r>
      <w:r w:rsidRPr="00FF0ACE">
        <w:rPr>
          <w:rFonts w:cstheme="minorHAnsi"/>
        </w:rPr>
        <w:t>ans, hospitalisé depuis 72</w:t>
      </w:r>
      <w:r>
        <w:rPr>
          <w:rFonts w:cstheme="minorHAnsi"/>
        </w:rPr>
        <w:t> </w:t>
      </w:r>
      <w:r w:rsidRPr="00FF0ACE">
        <w:rPr>
          <w:rFonts w:cstheme="minorHAnsi"/>
        </w:rPr>
        <w:t>h pour embolie pulmonaire de risque intermédiaire élevé, associée à une thrombose veineuse profonde proximale. Il est anticoagulé par HBPM (dernière injection réalisée la veille au soir). Il présente un méléna. Sa pression artérielle est mesurée à 94/55</w:t>
      </w:r>
      <w:r>
        <w:rPr>
          <w:rFonts w:cstheme="minorHAnsi"/>
        </w:rPr>
        <w:t> </w:t>
      </w:r>
      <w:proofErr w:type="spellStart"/>
      <w:r w:rsidRPr="00FF0ACE">
        <w:rPr>
          <w:rFonts w:cstheme="minorHAnsi"/>
        </w:rPr>
        <w:t>mmHg</w:t>
      </w:r>
      <w:proofErr w:type="spellEnd"/>
      <w:r w:rsidRPr="00FF0ACE">
        <w:rPr>
          <w:rFonts w:cstheme="minorHAnsi"/>
        </w:rPr>
        <w:t>, la fréquence cardiaque est à 110/min. L’hémoglobine est à 8</w:t>
      </w:r>
      <w:r>
        <w:rPr>
          <w:rFonts w:cstheme="minorHAnsi"/>
        </w:rPr>
        <w:t> </w:t>
      </w:r>
      <w:r w:rsidRPr="00FF0ACE">
        <w:rPr>
          <w:rFonts w:cstheme="minorHAnsi"/>
        </w:rPr>
        <w:t>g/</w:t>
      </w:r>
      <w:proofErr w:type="spellStart"/>
      <w:r w:rsidRPr="00FF0ACE">
        <w:rPr>
          <w:rFonts w:cstheme="minorHAnsi"/>
        </w:rPr>
        <w:t>dL</w:t>
      </w:r>
      <w:proofErr w:type="spellEnd"/>
      <w:r w:rsidRPr="00FF0ACE">
        <w:rPr>
          <w:rFonts w:cstheme="minorHAnsi"/>
        </w:rPr>
        <w:t xml:space="preserve"> alors qu’elle était à 14</w:t>
      </w:r>
      <w:r>
        <w:rPr>
          <w:rFonts w:cstheme="minorHAnsi"/>
        </w:rPr>
        <w:t> </w:t>
      </w:r>
      <w:r w:rsidRPr="00FF0ACE">
        <w:rPr>
          <w:rFonts w:cstheme="minorHAnsi"/>
        </w:rPr>
        <w:t>g/</w:t>
      </w:r>
      <w:proofErr w:type="spellStart"/>
      <w:r w:rsidRPr="00FF0ACE">
        <w:rPr>
          <w:rFonts w:cstheme="minorHAnsi"/>
        </w:rPr>
        <w:t>dL</w:t>
      </w:r>
      <w:proofErr w:type="spellEnd"/>
      <w:r w:rsidRPr="00FF0ACE">
        <w:rPr>
          <w:rFonts w:cstheme="minorHAnsi"/>
        </w:rPr>
        <w:t xml:space="preserve"> hier. Vous suspendez la prescription d</w:t>
      </w:r>
      <w:r>
        <w:rPr>
          <w:rFonts w:cstheme="minorHAnsi"/>
        </w:rPr>
        <w:t>’</w:t>
      </w:r>
      <w:r w:rsidRPr="00FF0ACE">
        <w:rPr>
          <w:rFonts w:cstheme="minorHAnsi"/>
        </w:rPr>
        <w:t>HBPM, transfusez le patient et réalisez une endoscopie digestive en urgence qui met en évidence des ulcères gastriques avec saignement actif. Des clips sont mis en place au cours de l’endoscopie permettant un contrôle partiel du saignement. L’hémoglobine de contrôle après transfusion est à 10</w:t>
      </w:r>
      <w:r>
        <w:rPr>
          <w:rFonts w:cstheme="minorHAnsi"/>
        </w:rPr>
        <w:t> </w:t>
      </w:r>
      <w:r w:rsidRPr="00FF0ACE">
        <w:rPr>
          <w:rFonts w:cstheme="minorHAnsi"/>
        </w:rPr>
        <w:t>g/</w:t>
      </w:r>
      <w:proofErr w:type="spellStart"/>
      <w:r w:rsidRPr="00FF0ACE">
        <w:rPr>
          <w:rFonts w:cstheme="minorHAnsi"/>
        </w:rPr>
        <w:t>dL</w:t>
      </w:r>
      <w:proofErr w:type="spellEnd"/>
      <w:r w:rsidRPr="00FF0ACE">
        <w:rPr>
          <w:rFonts w:cstheme="minorHAnsi"/>
        </w:rPr>
        <w:t>, la pression artérielle est à 110/60</w:t>
      </w:r>
      <w:r>
        <w:rPr>
          <w:rFonts w:cstheme="minorHAnsi"/>
        </w:rPr>
        <w:t> </w:t>
      </w:r>
      <w:proofErr w:type="spellStart"/>
      <w:r w:rsidRPr="00FF0ACE">
        <w:rPr>
          <w:rFonts w:cstheme="minorHAnsi"/>
        </w:rPr>
        <w:t>mmHg</w:t>
      </w:r>
      <w:proofErr w:type="spellEnd"/>
      <w:r w:rsidRPr="00FF0ACE">
        <w:rPr>
          <w:rFonts w:cstheme="minorHAnsi"/>
        </w:rPr>
        <w:t>, la fréquence cardiaque est à 90/min.</w:t>
      </w:r>
    </w:p>
    <w:p w14:paraId="1A87CCC6" w14:textId="77777777" w:rsidR="004278AD" w:rsidRDefault="004278AD" w:rsidP="004278AD">
      <w:r>
        <w:t>À</w:t>
      </w:r>
      <w:r w:rsidRPr="00FF0ACE">
        <w:t xml:space="preserve"> ce stade</w:t>
      </w:r>
      <w:r>
        <w:t>,</w:t>
      </w:r>
      <w:r w:rsidRPr="00FF0ACE">
        <w:t xml:space="preserve"> quelle stratégie proposez-vous pour éviter la récidive de l’embolie pulmonaire et de la thrombose veineuse profonde</w:t>
      </w:r>
      <w:r>
        <w:rPr>
          <w:rFonts w:ascii="Arial" w:hAnsi="Arial" w:cs="Arial"/>
        </w:rPr>
        <w:t> </w:t>
      </w:r>
      <w:r w:rsidRPr="00FF0ACE">
        <w:t xml:space="preserve">? </w:t>
      </w:r>
    </w:p>
    <w:p w14:paraId="66C77735" w14:textId="77777777" w:rsidR="004278AD" w:rsidRPr="00FF0ACE" w:rsidRDefault="004278AD" w:rsidP="004278AD"/>
    <w:p w14:paraId="32DE8355" w14:textId="77777777" w:rsidR="004278AD" w:rsidRDefault="004278AD">
      <w:pPr>
        <w:spacing w:after="160"/>
        <w:jc w:val="left"/>
        <w:rPr>
          <w:rFonts w:eastAsiaTheme="majorEastAsia" w:cs="Arial"/>
          <w:b/>
          <w:bCs/>
          <w:color w:val="0070C0"/>
          <w:spacing w:val="-4"/>
          <w:szCs w:val="14"/>
        </w:rPr>
      </w:pPr>
      <w:r>
        <w:rPr>
          <w:color w:val="0070C0"/>
          <w:szCs w:val="14"/>
        </w:rPr>
        <w:br w:type="page"/>
      </w:r>
    </w:p>
    <w:p w14:paraId="0D351DB3" w14:textId="5DB63A11" w:rsidR="004278AD" w:rsidRPr="008C7C73" w:rsidRDefault="004278AD" w:rsidP="004278AD">
      <w:pPr>
        <w:pStyle w:val="PointsCls0"/>
        <w:spacing w:before="0" w:after="0"/>
        <w:outlineLvl w:val="9"/>
        <w:rPr>
          <w:color w:val="0070C0"/>
          <w:sz w:val="20"/>
          <w:szCs w:val="14"/>
        </w:rPr>
      </w:pPr>
      <w:r w:rsidRPr="008C7C73">
        <w:rPr>
          <w:color w:val="0070C0"/>
          <w:sz w:val="20"/>
          <w:szCs w:val="14"/>
        </w:rPr>
        <w:lastRenderedPageBreak/>
        <w:t>KFP</w:t>
      </w:r>
    </w:p>
    <w:p w14:paraId="49C10FA7" w14:textId="77777777" w:rsidR="004278AD" w:rsidRPr="00FF0ACE" w:rsidRDefault="004278AD" w:rsidP="004278AD">
      <w:pPr>
        <w:pStyle w:val="aaQ"/>
      </w:pPr>
      <w:r>
        <w:t>Q</w:t>
      </w:r>
      <w:r w:rsidRPr="00FF0ACE">
        <w:t xml:space="preserve">RP </w:t>
      </w:r>
      <w:bookmarkStart w:id="1" w:name="_Hlk133655426"/>
      <w:r w:rsidRPr="00FF0ACE">
        <w:t>(2 réponses)</w:t>
      </w:r>
      <w:bookmarkEnd w:id="1"/>
    </w:p>
    <w:p w14:paraId="0E825948" w14:textId="77777777" w:rsidR="004278AD" w:rsidRPr="00FF0ACE" w:rsidRDefault="004278AD" w:rsidP="004278AD">
      <w:pPr>
        <w:rPr>
          <w:rFonts w:cstheme="minorHAnsi"/>
        </w:rPr>
      </w:pPr>
      <w:r w:rsidRPr="00FF0ACE">
        <w:rPr>
          <w:rFonts w:cstheme="minorHAnsi"/>
        </w:rPr>
        <w:t>Vous recevez aux urgences un homme de 62</w:t>
      </w:r>
      <w:r>
        <w:rPr>
          <w:rFonts w:cstheme="minorHAnsi"/>
        </w:rPr>
        <w:t> </w:t>
      </w:r>
      <w:r w:rsidRPr="00FF0ACE">
        <w:rPr>
          <w:rFonts w:cstheme="minorHAnsi"/>
        </w:rPr>
        <w:t xml:space="preserve">ans, pour une douleur basithoracique droite et </w:t>
      </w:r>
      <w:proofErr w:type="gramStart"/>
      <w:r w:rsidRPr="00FF0ACE">
        <w:rPr>
          <w:rFonts w:cstheme="minorHAnsi"/>
        </w:rPr>
        <w:t>une dyspnée apparues</w:t>
      </w:r>
      <w:proofErr w:type="gramEnd"/>
      <w:r w:rsidRPr="00FF0ACE">
        <w:rPr>
          <w:rFonts w:cstheme="minorHAnsi"/>
        </w:rPr>
        <w:t xml:space="preserve"> durant l’après-midi. Il est fumeur actif avec un tabagisme estimé à 50</w:t>
      </w:r>
      <w:r>
        <w:rPr>
          <w:rFonts w:cstheme="minorHAnsi"/>
        </w:rPr>
        <w:t> </w:t>
      </w:r>
      <w:r w:rsidRPr="00FF0ACE">
        <w:rPr>
          <w:rFonts w:cstheme="minorHAnsi"/>
        </w:rPr>
        <w:t>paquets-années. Son seul traitement actuel est du Ramipril. Ses constantes à l’arrivée sont : T° 37,6</w:t>
      </w:r>
      <w:r>
        <w:rPr>
          <w:rFonts w:cstheme="minorHAnsi"/>
        </w:rPr>
        <w:t> </w:t>
      </w:r>
      <w:r w:rsidRPr="00FF0ACE">
        <w:rPr>
          <w:rFonts w:cstheme="minorHAnsi"/>
        </w:rPr>
        <w:t>°C, FC 80/min, PA</w:t>
      </w:r>
      <w:r>
        <w:rPr>
          <w:rFonts w:cstheme="minorHAnsi"/>
        </w:rPr>
        <w:t> </w:t>
      </w:r>
      <w:r w:rsidRPr="00FF0ACE">
        <w:rPr>
          <w:rFonts w:cstheme="minorHAnsi"/>
        </w:rPr>
        <w:t>115/65</w:t>
      </w:r>
      <w:r>
        <w:rPr>
          <w:rFonts w:cstheme="minorHAnsi"/>
        </w:rPr>
        <w:t> </w:t>
      </w:r>
      <w:proofErr w:type="spellStart"/>
      <w:r w:rsidRPr="00FF0ACE">
        <w:rPr>
          <w:rFonts w:cstheme="minorHAnsi"/>
        </w:rPr>
        <w:t>mmHg</w:t>
      </w:r>
      <w:proofErr w:type="spellEnd"/>
      <w:r w:rsidRPr="00FF0ACE">
        <w:rPr>
          <w:rFonts w:cstheme="minorHAnsi"/>
        </w:rPr>
        <w:t>, SpO</w:t>
      </w:r>
      <w:r w:rsidRPr="00FF0ACE">
        <w:rPr>
          <w:rFonts w:cstheme="minorHAnsi"/>
          <w:vertAlign w:val="subscript"/>
        </w:rPr>
        <w:t>2</w:t>
      </w:r>
      <w:r w:rsidRPr="00FF0ACE">
        <w:rPr>
          <w:rFonts w:cstheme="minorHAnsi"/>
        </w:rPr>
        <w:t xml:space="preserve"> 94</w:t>
      </w:r>
      <w:r>
        <w:rPr>
          <w:rFonts w:cstheme="minorHAnsi"/>
        </w:rPr>
        <w:t> </w:t>
      </w:r>
      <w:r w:rsidRPr="00FF0ACE">
        <w:rPr>
          <w:rFonts w:cstheme="minorHAnsi"/>
        </w:rPr>
        <w:t>% en air, FR</w:t>
      </w:r>
      <w:r>
        <w:rPr>
          <w:rFonts w:cstheme="minorHAnsi"/>
        </w:rPr>
        <w:t> </w:t>
      </w:r>
      <w:r w:rsidRPr="00FF0ACE">
        <w:rPr>
          <w:rFonts w:cstheme="minorHAnsi"/>
        </w:rPr>
        <w:t>26/min. Le patient a une dyspnée d’effort sans signe de détresse respiratoire. La douleur augmente à l’inspiration, sans irradiation, avec une EVA à 6/10. Il n’a pas de toux ni d’expectoration. L’auscultation pulmonaire est normale. Les bruits du cœur sont réguliers sans souffle. Les mollets sont souples et indolores. Vous évoquez la possibilité d’une embolie pulmonaire. Parmi cette liste d’examens, quels sont les 2</w:t>
      </w:r>
      <w:r>
        <w:rPr>
          <w:rFonts w:cstheme="minorHAnsi"/>
        </w:rPr>
        <w:t> </w:t>
      </w:r>
      <w:r w:rsidRPr="00FF0ACE">
        <w:rPr>
          <w:rFonts w:cstheme="minorHAnsi"/>
        </w:rPr>
        <w:t>examens que vous demandez en première intention aux urgences devant ce tableau de douleur thoracique et dyspnée d’apparition brutale</w:t>
      </w:r>
      <w:r>
        <w:rPr>
          <w:rFonts w:ascii="Arial" w:hAnsi="Arial" w:cs="Arial"/>
        </w:rPr>
        <w:t> </w:t>
      </w:r>
      <w:r w:rsidRPr="00FF0ACE">
        <w:rPr>
          <w:rFonts w:cstheme="minorHAnsi"/>
        </w:rPr>
        <w:t>?</w:t>
      </w:r>
    </w:p>
    <w:p w14:paraId="39A7C9F1" w14:textId="77777777" w:rsidR="004278AD" w:rsidRPr="00FF0ACE" w:rsidRDefault="004278AD">
      <w:pPr>
        <w:pStyle w:val="Paragraphedeliste"/>
        <w:numPr>
          <w:ilvl w:val="0"/>
          <w:numId w:val="43"/>
        </w:numPr>
        <w:spacing w:line="240" w:lineRule="auto"/>
        <w:rPr>
          <w:rFonts w:cstheme="minorHAnsi"/>
        </w:rPr>
      </w:pPr>
      <w:r w:rsidRPr="00FF0ACE">
        <w:rPr>
          <w:rFonts w:cstheme="minorHAnsi"/>
        </w:rPr>
        <w:t>Radiographie de thorax</w:t>
      </w:r>
    </w:p>
    <w:p w14:paraId="74FAF186" w14:textId="77777777" w:rsidR="004278AD" w:rsidRPr="00FF0ACE" w:rsidRDefault="004278AD">
      <w:pPr>
        <w:pStyle w:val="Paragraphedeliste"/>
        <w:numPr>
          <w:ilvl w:val="0"/>
          <w:numId w:val="43"/>
        </w:numPr>
        <w:spacing w:line="240" w:lineRule="auto"/>
        <w:rPr>
          <w:rFonts w:cstheme="minorHAnsi"/>
        </w:rPr>
      </w:pPr>
      <w:r w:rsidRPr="00FF0ACE">
        <w:rPr>
          <w:rFonts w:cstheme="minorHAnsi"/>
        </w:rPr>
        <w:t>Angioscanner-thoracique</w:t>
      </w:r>
    </w:p>
    <w:p w14:paraId="5A108CC0" w14:textId="77777777" w:rsidR="004278AD" w:rsidRPr="00FF0ACE" w:rsidRDefault="004278AD">
      <w:pPr>
        <w:pStyle w:val="Paragraphedeliste"/>
        <w:numPr>
          <w:ilvl w:val="0"/>
          <w:numId w:val="43"/>
        </w:numPr>
        <w:spacing w:line="240" w:lineRule="auto"/>
        <w:rPr>
          <w:rFonts w:cstheme="minorHAnsi"/>
        </w:rPr>
      </w:pPr>
      <w:r w:rsidRPr="00FF0ACE">
        <w:rPr>
          <w:rFonts w:cstheme="minorHAnsi"/>
        </w:rPr>
        <w:t>Scintigraphie pulmonaire de ventilation-perfusion</w:t>
      </w:r>
    </w:p>
    <w:p w14:paraId="47F49151" w14:textId="77777777" w:rsidR="004278AD" w:rsidRPr="00FF0ACE" w:rsidRDefault="004278AD">
      <w:pPr>
        <w:pStyle w:val="Paragraphedeliste"/>
        <w:numPr>
          <w:ilvl w:val="0"/>
          <w:numId w:val="43"/>
        </w:numPr>
        <w:spacing w:line="240" w:lineRule="auto"/>
        <w:rPr>
          <w:rFonts w:cstheme="minorHAnsi"/>
        </w:rPr>
      </w:pPr>
      <w:r w:rsidRPr="00FF0ACE">
        <w:rPr>
          <w:rFonts w:cstheme="minorHAnsi"/>
        </w:rPr>
        <w:t>ECG</w:t>
      </w:r>
    </w:p>
    <w:p w14:paraId="0C77BC07" w14:textId="77777777" w:rsidR="004278AD" w:rsidRPr="00FF0ACE" w:rsidRDefault="004278AD">
      <w:pPr>
        <w:pStyle w:val="Paragraphedeliste"/>
        <w:numPr>
          <w:ilvl w:val="0"/>
          <w:numId w:val="43"/>
        </w:numPr>
        <w:spacing w:line="240" w:lineRule="auto"/>
        <w:rPr>
          <w:rFonts w:cstheme="minorHAnsi"/>
        </w:rPr>
      </w:pPr>
      <w:r w:rsidRPr="00FF0ACE">
        <w:rPr>
          <w:rFonts w:cstheme="minorHAnsi"/>
        </w:rPr>
        <w:t>Gaz du sang</w:t>
      </w:r>
    </w:p>
    <w:p w14:paraId="687505B9" w14:textId="77777777" w:rsidR="004278AD" w:rsidRPr="00FF0ACE" w:rsidRDefault="004278AD">
      <w:pPr>
        <w:pStyle w:val="Paragraphedeliste"/>
        <w:numPr>
          <w:ilvl w:val="0"/>
          <w:numId w:val="43"/>
        </w:numPr>
        <w:spacing w:line="240" w:lineRule="auto"/>
        <w:rPr>
          <w:rFonts w:cstheme="minorHAnsi"/>
        </w:rPr>
      </w:pPr>
      <w:r>
        <w:rPr>
          <w:rFonts w:cstheme="minorHAnsi"/>
        </w:rPr>
        <w:t>É</w:t>
      </w:r>
      <w:r w:rsidRPr="00FF0ACE">
        <w:rPr>
          <w:rFonts w:cstheme="minorHAnsi"/>
        </w:rPr>
        <w:t>chographie-doppler des membres inférieurs</w:t>
      </w:r>
    </w:p>
    <w:p w14:paraId="6C697859" w14:textId="77777777" w:rsidR="004278AD" w:rsidRPr="00FF0ACE" w:rsidRDefault="004278AD">
      <w:pPr>
        <w:pStyle w:val="Paragraphedeliste"/>
        <w:numPr>
          <w:ilvl w:val="0"/>
          <w:numId w:val="43"/>
        </w:numPr>
        <w:spacing w:line="240" w:lineRule="auto"/>
        <w:rPr>
          <w:rFonts w:cstheme="minorHAnsi"/>
        </w:rPr>
      </w:pPr>
      <w:r>
        <w:rPr>
          <w:rFonts w:cstheme="minorHAnsi"/>
        </w:rPr>
        <w:t>É</w:t>
      </w:r>
      <w:r w:rsidRPr="00FF0ACE">
        <w:rPr>
          <w:rFonts w:cstheme="minorHAnsi"/>
        </w:rPr>
        <w:t>chographie cardiaque transthoracique</w:t>
      </w:r>
    </w:p>
    <w:p w14:paraId="253AEEFC" w14:textId="77777777" w:rsidR="004278AD" w:rsidRPr="00FF0ACE" w:rsidRDefault="004278AD">
      <w:pPr>
        <w:pStyle w:val="Paragraphedeliste"/>
        <w:numPr>
          <w:ilvl w:val="0"/>
          <w:numId w:val="43"/>
        </w:numPr>
        <w:spacing w:line="240" w:lineRule="auto"/>
        <w:rPr>
          <w:rFonts w:cstheme="minorHAnsi"/>
        </w:rPr>
      </w:pPr>
      <w:r w:rsidRPr="00FF0ACE">
        <w:rPr>
          <w:rFonts w:cstheme="minorHAnsi"/>
        </w:rPr>
        <w:t>D-dimères</w:t>
      </w:r>
    </w:p>
    <w:p w14:paraId="60EF0EBD" w14:textId="77777777" w:rsidR="004278AD" w:rsidRPr="00FF0ACE" w:rsidRDefault="004278AD">
      <w:pPr>
        <w:pStyle w:val="Paragraphedeliste"/>
        <w:numPr>
          <w:ilvl w:val="0"/>
          <w:numId w:val="43"/>
        </w:numPr>
        <w:spacing w:line="240" w:lineRule="auto"/>
        <w:rPr>
          <w:rFonts w:cstheme="minorHAnsi"/>
        </w:rPr>
      </w:pPr>
      <w:r w:rsidRPr="00FF0ACE">
        <w:rPr>
          <w:rFonts w:cstheme="minorHAnsi"/>
        </w:rPr>
        <w:t>Bilan biologique de coagulation</w:t>
      </w:r>
    </w:p>
    <w:p w14:paraId="4E1556A8" w14:textId="77777777" w:rsidR="004278AD" w:rsidRDefault="004278AD">
      <w:pPr>
        <w:pStyle w:val="Paragraphedeliste"/>
        <w:numPr>
          <w:ilvl w:val="0"/>
          <w:numId w:val="43"/>
        </w:numPr>
        <w:spacing w:line="240" w:lineRule="auto"/>
        <w:rPr>
          <w:rFonts w:cstheme="minorHAnsi"/>
        </w:rPr>
      </w:pPr>
      <w:r w:rsidRPr="00FF0ACE">
        <w:rPr>
          <w:rFonts w:cstheme="minorHAnsi"/>
        </w:rPr>
        <w:t>ECBC</w:t>
      </w:r>
    </w:p>
    <w:p w14:paraId="23AA3763" w14:textId="77777777" w:rsidR="004278AD" w:rsidRPr="00FF0ACE" w:rsidRDefault="004278AD" w:rsidP="004278AD">
      <w:pPr>
        <w:pStyle w:val="Paragraphedeliste"/>
        <w:spacing w:line="240" w:lineRule="auto"/>
        <w:rPr>
          <w:rFonts w:cstheme="minorHAnsi"/>
        </w:rPr>
      </w:pPr>
    </w:p>
    <w:p w14:paraId="541B87F6" w14:textId="77777777" w:rsidR="004278AD" w:rsidRPr="00FF0ACE" w:rsidRDefault="004278AD" w:rsidP="004278AD">
      <w:pPr>
        <w:pStyle w:val="aaQ"/>
      </w:pPr>
      <w:r>
        <w:t>Q</w:t>
      </w:r>
      <w:r w:rsidRPr="00FF0ACE">
        <w:t>ROC</w:t>
      </w:r>
    </w:p>
    <w:p w14:paraId="3F3BCEA5" w14:textId="77777777" w:rsidR="004278AD" w:rsidRDefault="004278AD" w:rsidP="004278AD">
      <w:pPr>
        <w:rPr>
          <w:rFonts w:cstheme="minorHAnsi"/>
        </w:rPr>
      </w:pPr>
      <w:r w:rsidRPr="00FF0ACE">
        <w:rPr>
          <w:rFonts w:cstheme="minorHAnsi"/>
        </w:rPr>
        <w:t>La radiographie de thorax est normale, l’ECG montre une tachycardie sinusale. Vous estimez que la probabilité clinique d’embolie pulmonaire est intermédiaire. Quel examen allez-vous demander à cette étape pour avancer dans le diagnostic d’embolie pulmonaire.</w:t>
      </w:r>
    </w:p>
    <w:p w14:paraId="74736774" w14:textId="77777777" w:rsidR="004278AD" w:rsidRPr="00FF0ACE" w:rsidRDefault="004278AD" w:rsidP="004278AD">
      <w:pPr>
        <w:rPr>
          <w:rFonts w:cstheme="minorHAnsi"/>
        </w:rPr>
      </w:pPr>
    </w:p>
    <w:p w14:paraId="0A54D357" w14:textId="77777777" w:rsidR="004278AD" w:rsidRPr="00FF0ACE" w:rsidRDefault="004278AD" w:rsidP="004278AD">
      <w:pPr>
        <w:pStyle w:val="aaQ"/>
      </w:pPr>
      <w:r>
        <w:t>ZAP</w:t>
      </w:r>
    </w:p>
    <w:p w14:paraId="733C705E" w14:textId="77777777" w:rsidR="004278AD" w:rsidRPr="00FF0ACE" w:rsidRDefault="004278AD" w:rsidP="004278AD">
      <w:pPr>
        <w:rPr>
          <w:rFonts w:cstheme="minorHAnsi"/>
        </w:rPr>
      </w:pPr>
      <w:r w:rsidRPr="00FF0ACE">
        <w:rPr>
          <w:rFonts w:cstheme="minorHAnsi"/>
          <w:noProof/>
        </w:rPr>
        <w:drawing>
          <wp:anchor distT="0" distB="0" distL="114300" distR="114300" simplePos="0" relativeHeight="251803648" behindDoc="0" locked="0" layoutInCell="1" allowOverlap="1" wp14:anchorId="69107F2D" wp14:editId="38EBD26A">
            <wp:simplePos x="0" y="0"/>
            <wp:positionH relativeFrom="margin">
              <wp:align>right</wp:align>
            </wp:positionH>
            <wp:positionV relativeFrom="paragraph">
              <wp:posOffset>5770</wp:posOffset>
            </wp:positionV>
            <wp:extent cx="3528000" cy="2438342"/>
            <wp:effectExtent l="0" t="0" r="0" b="635"/>
            <wp:wrapSquare wrapText="bothSides"/>
            <wp:docPr id="1779079727" name="Image 1" descr="Une image contenant monochrome, Photographie monochrome, noir et blanc, film radio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079727" name="Image 1" descr="Une image contenant monochrome, Photographie monochrome, noir et blanc, film radiographique&#10;&#10;Description générée automatiquement"/>
                    <pic:cNvPicPr>
                      <a:picLocks noChangeAspect="1" noChangeArrowheads="1"/>
                    </pic:cNvPicPr>
                  </pic:nvPicPr>
                  <pic:blipFill>
                    <a:blip r:embed="rId28" cstate="email">
                      <a:extLst>
                        <a:ext uri="{28A0092B-C50C-407E-A947-70E740481C1C}">
                          <a14:useLocalDpi xmlns:a14="http://schemas.microsoft.com/office/drawing/2010/main" val="0"/>
                        </a:ext>
                      </a:extLst>
                    </a:blip>
                    <a:srcRect/>
                    <a:stretch>
                      <a:fillRect/>
                    </a:stretch>
                  </pic:blipFill>
                  <pic:spPr bwMode="auto">
                    <a:xfrm>
                      <a:off x="0" y="0"/>
                      <a:ext cx="3528000" cy="2438342"/>
                    </a:xfrm>
                    <a:prstGeom prst="rect">
                      <a:avLst/>
                    </a:prstGeom>
                    <a:noFill/>
                    <a:ln>
                      <a:noFill/>
                    </a:ln>
                  </pic:spPr>
                </pic:pic>
              </a:graphicData>
            </a:graphic>
          </wp:anchor>
        </w:drawing>
      </w:r>
      <w:r w:rsidRPr="00FF0ACE">
        <w:rPr>
          <w:rFonts w:cstheme="minorHAnsi"/>
        </w:rPr>
        <w:t>Les D-dimères sont à 800</w:t>
      </w:r>
      <w:r>
        <w:rPr>
          <w:rFonts w:cstheme="minorHAnsi"/>
        </w:rPr>
        <w:t> </w:t>
      </w:r>
      <w:proofErr w:type="spellStart"/>
      <w:r w:rsidRPr="00FF0ACE">
        <w:rPr>
          <w:rFonts w:cstheme="minorHAnsi"/>
        </w:rPr>
        <w:t>ng</w:t>
      </w:r>
      <w:proofErr w:type="spellEnd"/>
      <w:r w:rsidRPr="00FF0ACE">
        <w:rPr>
          <w:rFonts w:cstheme="minorHAnsi"/>
        </w:rPr>
        <w:t>/</w:t>
      </w:r>
      <w:proofErr w:type="spellStart"/>
      <w:r w:rsidRPr="00FF0ACE">
        <w:rPr>
          <w:rFonts w:cstheme="minorHAnsi"/>
        </w:rPr>
        <w:t>mL</w:t>
      </w:r>
      <w:proofErr w:type="spellEnd"/>
      <w:r w:rsidRPr="00FF0ACE">
        <w:rPr>
          <w:rFonts w:cstheme="minorHAnsi"/>
        </w:rPr>
        <w:t xml:space="preserve">. Vous réalisez un angioscanner thoracique. </w:t>
      </w:r>
    </w:p>
    <w:p w14:paraId="70AFB617" w14:textId="77777777" w:rsidR="004278AD" w:rsidRPr="00FF0ACE" w:rsidRDefault="004278AD" w:rsidP="004278AD">
      <w:pPr>
        <w:jc w:val="center"/>
        <w:rPr>
          <w:rFonts w:cstheme="minorHAnsi"/>
        </w:rPr>
      </w:pPr>
    </w:p>
    <w:p w14:paraId="1FE97895" w14:textId="77777777" w:rsidR="004278AD" w:rsidRPr="00FF0ACE" w:rsidRDefault="004278AD" w:rsidP="004278AD">
      <w:pPr>
        <w:rPr>
          <w:rFonts w:cstheme="minorHAnsi"/>
        </w:rPr>
      </w:pPr>
      <w:r w:rsidRPr="00FF0ACE">
        <w:rPr>
          <w:rFonts w:cstheme="minorHAnsi"/>
        </w:rPr>
        <w:t>Pointez l’anomalie principale sur ce scanner.</w:t>
      </w:r>
    </w:p>
    <w:p w14:paraId="5AC3B914" w14:textId="77777777" w:rsidR="004278AD" w:rsidRDefault="004278AD" w:rsidP="004278AD">
      <w:pPr>
        <w:jc w:val="left"/>
        <w:rPr>
          <w:rFonts w:eastAsia="+mn-ea"/>
          <w:b/>
          <w:bCs/>
          <w:iCs/>
          <w:color w:val="0070C0"/>
          <w:sz w:val="24"/>
          <w:szCs w:val="24"/>
        </w:rPr>
      </w:pPr>
      <w:r>
        <w:rPr>
          <w:rFonts w:eastAsia="+mn-ea"/>
          <w:b/>
          <w:bCs/>
          <w:iCs/>
          <w:color w:val="0070C0"/>
          <w:sz w:val="24"/>
          <w:szCs w:val="24"/>
        </w:rPr>
        <w:br w:type="page"/>
      </w:r>
    </w:p>
    <w:p w14:paraId="21A02303" w14:textId="77777777" w:rsidR="004278AD" w:rsidRPr="00C31FE9" w:rsidRDefault="004278AD" w:rsidP="004278AD">
      <w:pPr>
        <w:rPr>
          <w:rFonts w:eastAsia="+mn-ea"/>
          <w:b/>
          <w:bCs/>
          <w:iCs/>
          <w:color w:val="3366FF"/>
        </w:rPr>
      </w:pPr>
      <w:r w:rsidRPr="007C663F">
        <w:rPr>
          <w:rFonts w:eastAsia="+mn-ea"/>
          <w:b/>
          <w:bCs/>
          <w:iCs/>
          <w:color w:val="0070C0"/>
          <w:sz w:val="24"/>
          <w:szCs w:val="24"/>
        </w:rPr>
        <w:lastRenderedPageBreak/>
        <w:t>REPONSES</w:t>
      </w:r>
    </w:p>
    <w:p w14:paraId="176BEF67" w14:textId="77777777" w:rsidR="004278AD" w:rsidRPr="00672569" w:rsidRDefault="004278AD" w:rsidP="004278AD">
      <w:pPr>
        <w:jc w:val="center"/>
        <w:rPr>
          <w:rFonts w:eastAsia="+mn-ea"/>
          <w:b/>
          <w:bCs/>
          <w:iCs/>
          <w:color w:val="3366FF"/>
        </w:rPr>
      </w:pPr>
    </w:p>
    <w:p w14:paraId="22CBF692" w14:textId="77777777" w:rsidR="004278AD" w:rsidRPr="00FF0ACE" w:rsidRDefault="004278AD">
      <w:pPr>
        <w:pStyle w:val="aaQ"/>
        <w:numPr>
          <w:ilvl w:val="0"/>
          <w:numId w:val="45"/>
        </w:numPr>
      </w:pPr>
      <w:r>
        <w:t>Q</w:t>
      </w:r>
      <w:r w:rsidRPr="00FF0ACE">
        <w:t>RU</w:t>
      </w:r>
    </w:p>
    <w:p w14:paraId="05BF02B4" w14:textId="77777777" w:rsidR="004278AD" w:rsidRPr="00FF0ACE" w:rsidRDefault="004278AD" w:rsidP="004278AD">
      <w:pPr>
        <w:rPr>
          <w:rFonts w:cstheme="minorHAnsi"/>
          <w:bCs/>
        </w:rPr>
      </w:pPr>
      <w:r w:rsidRPr="00FF0ACE">
        <w:rPr>
          <w:rFonts w:cstheme="minorHAnsi"/>
          <w:bCs/>
        </w:rPr>
        <w:t>Réponse : B</w:t>
      </w:r>
    </w:p>
    <w:p w14:paraId="0BD767B2" w14:textId="77777777" w:rsidR="004278AD" w:rsidRPr="00FF0ACE" w:rsidRDefault="004278AD" w:rsidP="004278AD">
      <w:pPr>
        <w:rPr>
          <w:rFonts w:cstheme="minorHAnsi"/>
        </w:rPr>
      </w:pPr>
      <w:r w:rsidRPr="00FF0ACE">
        <w:rPr>
          <w:rFonts w:cstheme="minorHAnsi"/>
        </w:rPr>
        <w:t xml:space="preserve">Commentaire : pas de piège. </w:t>
      </w:r>
    </w:p>
    <w:p w14:paraId="61B1C2E5" w14:textId="77777777" w:rsidR="004278AD" w:rsidRDefault="004278AD" w:rsidP="004278AD">
      <w:pPr>
        <w:pStyle w:val="Texte2"/>
        <w:numPr>
          <w:ilvl w:val="0"/>
          <w:numId w:val="0"/>
        </w:numPr>
      </w:pPr>
      <w:r w:rsidRPr="00FF0ACE">
        <w:t>Les D-dimères ne sont dosés que si l’on suspecte une embolie pulmonaire, après examen clinique et réalisation d’examens complémentaires de base (radiographie de thorax, ECG), et en fonction de la probabilité clinique d’embolie pulmonaire.</w:t>
      </w:r>
    </w:p>
    <w:p w14:paraId="7B8EC3F9" w14:textId="77777777" w:rsidR="004278AD" w:rsidRPr="00FF0ACE" w:rsidRDefault="004278AD" w:rsidP="004278AD">
      <w:pPr>
        <w:pStyle w:val="Texte2"/>
        <w:numPr>
          <w:ilvl w:val="0"/>
          <w:numId w:val="0"/>
        </w:numPr>
      </w:pPr>
    </w:p>
    <w:p w14:paraId="2F01202B" w14:textId="77777777" w:rsidR="004278AD" w:rsidRPr="00FF0ACE" w:rsidRDefault="004278AD" w:rsidP="004278AD">
      <w:pPr>
        <w:pStyle w:val="aaQ"/>
      </w:pPr>
      <w:r>
        <w:t>Q</w:t>
      </w:r>
      <w:r w:rsidRPr="00FF0ACE">
        <w:t>RM</w:t>
      </w:r>
    </w:p>
    <w:p w14:paraId="593BDD13" w14:textId="77777777" w:rsidR="004278AD" w:rsidRPr="00FF0ACE" w:rsidRDefault="004278AD" w:rsidP="004278AD">
      <w:pPr>
        <w:rPr>
          <w:rFonts w:cstheme="minorHAnsi"/>
        </w:rPr>
      </w:pPr>
      <w:r w:rsidRPr="00FF0ACE">
        <w:rPr>
          <w:rFonts w:cstheme="minorHAnsi"/>
        </w:rPr>
        <w:t>Réponse : BCD</w:t>
      </w:r>
    </w:p>
    <w:p w14:paraId="689CF85E" w14:textId="77777777" w:rsidR="004278AD" w:rsidRDefault="004278AD" w:rsidP="004278AD">
      <w:pPr>
        <w:rPr>
          <w:rFonts w:cstheme="minorHAnsi"/>
        </w:rPr>
      </w:pPr>
      <w:r w:rsidRPr="00FF0ACE">
        <w:rPr>
          <w:rFonts w:cstheme="minorHAnsi"/>
        </w:rPr>
        <w:t xml:space="preserve">Commentaires : </w:t>
      </w:r>
    </w:p>
    <w:p w14:paraId="68F11F83" w14:textId="77777777" w:rsidR="004278AD" w:rsidRDefault="004278AD" w:rsidP="004278AD">
      <w:pPr>
        <w:rPr>
          <w:rFonts w:cstheme="minorHAnsi"/>
          <w:bCs/>
          <w:iCs/>
        </w:rPr>
      </w:pPr>
      <w:r w:rsidRPr="00FF0ACE">
        <w:rPr>
          <w:rFonts w:cstheme="minorHAnsi"/>
          <w:bCs/>
          <w:iCs/>
        </w:rPr>
        <w:t>Risque élevé de mortalité si état de choc (mortalité &gt; à 25</w:t>
      </w:r>
      <w:r>
        <w:rPr>
          <w:rFonts w:cstheme="minorHAnsi"/>
          <w:bCs/>
          <w:iCs/>
        </w:rPr>
        <w:t> </w:t>
      </w:r>
      <w:r w:rsidRPr="00FF0ACE">
        <w:rPr>
          <w:rFonts w:cstheme="minorHAnsi"/>
          <w:bCs/>
          <w:iCs/>
        </w:rPr>
        <w:t>%) = EP grave. EP à haut risque de mortalité : Anticoagulation curative : HNF IVSE</w:t>
      </w:r>
    </w:p>
    <w:p w14:paraId="0552DDFA" w14:textId="77777777" w:rsidR="004278AD" w:rsidRPr="00FF0ACE" w:rsidRDefault="004278AD" w:rsidP="004278AD">
      <w:pPr>
        <w:rPr>
          <w:rFonts w:cstheme="minorHAnsi"/>
          <w:bCs/>
          <w:iCs/>
        </w:rPr>
      </w:pPr>
    </w:p>
    <w:p w14:paraId="571A7D2F" w14:textId="77777777" w:rsidR="004278AD" w:rsidRPr="00FF0ACE" w:rsidRDefault="004278AD" w:rsidP="004278AD">
      <w:pPr>
        <w:pStyle w:val="aaQ"/>
      </w:pPr>
      <w:r>
        <w:t>Q</w:t>
      </w:r>
      <w:r w:rsidRPr="00FF0ACE">
        <w:t>RM</w:t>
      </w:r>
    </w:p>
    <w:p w14:paraId="2E416B36" w14:textId="77777777" w:rsidR="004278AD" w:rsidRPr="00FF0ACE" w:rsidRDefault="004278AD" w:rsidP="004278AD">
      <w:pPr>
        <w:rPr>
          <w:rFonts w:cstheme="minorHAnsi"/>
        </w:rPr>
      </w:pPr>
      <w:r w:rsidRPr="00FF0ACE">
        <w:rPr>
          <w:rFonts w:cstheme="minorHAnsi"/>
        </w:rPr>
        <w:t>Réponse : ACE</w:t>
      </w:r>
    </w:p>
    <w:p w14:paraId="1EBAC91E" w14:textId="77777777" w:rsidR="004278AD" w:rsidRDefault="004278AD" w:rsidP="004278AD">
      <w:pPr>
        <w:rPr>
          <w:rFonts w:cstheme="minorHAnsi"/>
        </w:rPr>
      </w:pPr>
      <w:r w:rsidRPr="00FF0ACE">
        <w:rPr>
          <w:rFonts w:cstheme="minorHAnsi"/>
        </w:rPr>
        <w:t xml:space="preserve">Commentaires : </w:t>
      </w:r>
    </w:p>
    <w:p w14:paraId="7EC236D9" w14:textId="77777777" w:rsidR="004278AD" w:rsidRDefault="004278AD" w:rsidP="004278AD">
      <w:pPr>
        <w:rPr>
          <w:rFonts w:cstheme="minorHAnsi"/>
          <w:bCs/>
        </w:rPr>
      </w:pPr>
      <w:r w:rsidRPr="00FF0ACE">
        <w:rPr>
          <w:rFonts w:cstheme="minorHAnsi"/>
        </w:rPr>
        <w:t>Embolectomie percutanée ou thrombolyse</w:t>
      </w:r>
      <w:r>
        <w:rPr>
          <w:rFonts w:cstheme="minorHAnsi"/>
        </w:rPr>
        <w:t> </w:t>
      </w:r>
      <w:r w:rsidRPr="00FF0ACE">
        <w:rPr>
          <w:rFonts w:cstheme="minorHAnsi"/>
        </w:rPr>
        <w:t>: en 2</w:t>
      </w:r>
      <w:r w:rsidRPr="00FF0ACE">
        <w:rPr>
          <w:rFonts w:cstheme="minorHAnsi"/>
          <w:vertAlign w:val="superscript"/>
        </w:rPr>
        <w:t>e</w:t>
      </w:r>
      <w:r>
        <w:rPr>
          <w:rFonts w:cstheme="minorHAnsi"/>
        </w:rPr>
        <w:t> </w:t>
      </w:r>
      <w:r w:rsidRPr="00FF0ACE">
        <w:rPr>
          <w:rFonts w:cstheme="minorHAnsi"/>
        </w:rPr>
        <w:t>intention si évolution vers un état de choc</w:t>
      </w:r>
      <w:r>
        <w:rPr>
          <w:rFonts w:ascii="Arial" w:hAnsi="Arial" w:cs="Arial"/>
        </w:rPr>
        <w:t> </w:t>
      </w:r>
      <w:r w:rsidRPr="00FF0ACE">
        <w:rPr>
          <w:rFonts w:cstheme="minorHAnsi"/>
        </w:rPr>
        <w:t xml:space="preserve">; </w:t>
      </w:r>
      <w:r w:rsidRPr="00FF0ACE">
        <w:rPr>
          <w:rFonts w:cstheme="minorHAnsi"/>
          <w:bCs/>
        </w:rPr>
        <w:t>Anticoagulation curative : HBPM sous-cutanée (1</w:t>
      </w:r>
      <w:r w:rsidRPr="00FF0ACE">
        <w:rPr>
          <w:rFonts w:cstheme="minorHAnsi"/>
          <w:bCs/>
          <w:vertAlign w:val="superscript"/>
        </w:rPr>
        <w:t>re</w:t>
      </w:r>
      <w:r>
        <w:rPr>
          <w:rFonts w:cstheme="minorHAnsi"/>
          <w:bCs/>
        </w:rPr>
        <w:t> </w:t>
      </w:r>
      <w:r w:rsidRPr="00FF0ACE">
        <w:rPr>
          <w:rFonts w:cstheme="minorHAnsi"/>
          <w:bCs/>
        </w:rPr>
        <w:t>intention) ou HNF IVSE (si HBPM contre-indiquées) pendant les 48 à 72</w:t>
      </w:r>
      <w:r>
        <w:rPr>
          <w:rFonts w:cstheme="minorHAnsi"/>
          <w:bCs/>
        </w:rPr>
        <w:t> </w:t>
      </w:r>
      <w:r w:rsidRPr="00FF0ACE">
        <w:rPr>
          <w:rFonts w:cstheme="minorHAnsi"/>
          <w:bCs/>
        </w:rPr>
        <w:t>premières heures</w:t>
      </w:r>
      <w:r>
        <w:rPr>
          <w:rFonts w:ascii="Arial" w:hAnsi="Arial" w:cs="Arial"/>
          <w:bCs/>
        </w:rPr>
        <w:t> </w:t>
      </w:r>
      <w:r w:rsidRPr="00FF0ACE">
        <w:rPr>
          <w:rFonts w:cstheme="minorHAnsi"/>
          <w:bCs/>
        </w:rPr>
        <w:t>; Pas de relai précoce par AVK</w:t>
      </w:r>
    </w:p>
    <w:p w14:paraId="7BBF1073" w14:textId="77777777" w:rsidR="004278AD" w:rsidRPr="00FF0ACE" w:rsidRDefault="004278AD" w:rsidP="004278AD">
      <w:pPr>
        <w:rPr>
          <w:rFonts w:cstheme="minorHAnsi"/>
          <w:bCs/>
        </w:rPr>
      </w:pPr>
    </w:p>
    <w:p w14:paraId="6BE70216" w14:textId="77777777" w:rsidR="004278AD" w:rsidRPr="00FF0ACE" w:rsidRDefault="004278AD" w:rsidP="004278AD">
      <w:pPr>
        <w:pStyle w:val="aaQ"/>
      </w:pPr>
      <w:r>
        <w:t>Q</w:t>
      </w:r>
      <w:r w:rsidRPr="00FF0ACE">
        <w:t>ROC</w:t>
      </w:r>
    </w:p>
    <w:p w14:paraId="1847FF01" w14:textId="77777777" w:rsidR="004278AD" w:rsidRPr="00FF0ACE" w:rsidRDefault="004278AD" w:rsidP="004278AD">
      <w:pPr>
        <w:rPr>
          <w:rFonts w:cstheme="minorHAnsi"/>
          <w:bCs/>
        </w:rPr>
      </w:pPr>
      <w:r w:rsidRPr="00FF0ACE">
        <w:rPr>
          <w:rFonts w:cstheme="minorHAnsi"/>
          <w:bCs/>
        </w:rPr>
        <w:t>Réponse acceptée : filtre cave</w:t>
      </w:r>
    </w:p>
    <w:p w14:paraId="1D0E8A54" w14:textId="77777777" w:rsidR="004278AD" w:rsidRPr="00FF0ACE" w:rsidRDefault="004278AD" w:rsidP="004278AD">
      <w:pPr>
        <w:rPr>
          <w:rFonts w:cstheme="minorHAnsi"/>
          <w:bCs/>
        </w:rPr>
      </w:pPr>
      <w:r w:rsidRPr="00FF0ACE">
        <w:rPr>
          <w:rFonts w:cstheme="minorHAnsi"/>
          <w:bCs/>
        </w:rPr>
        <w:t xml:space="preserve">Commentaires : </w:t>
      </w:r>
    </w:p>
    <w:p w14:paraId="51DD7E7F" w14:textId="77777777" w:rsidR="004278AD" w:rsidRPr="00FF0ACE" w:rsidRDefault="004278AD" w:rsidP="004278AD">
      <w:pPr>
        <w:pStyle w:val="Texte2"/>
        <w:numPr>
          <w:ilvl w:val="0"/>
          <w:numId w:val="0"/>
        </w:numPr>
      </w:pPr>
      <w:r>
        <w:t xml:space="preserve">- </w:t>
      </w:r>
      <w:r w:rsidRPr="00FF0ACE">
        <w:t>Filtre cave indiqué en cas de TVP proximale récente (&lt; 1</w:t>
      </w:r>
      <w:r>
        <w:t> </w:t>
      </w:r>
      <w:r w:rsidRPr="00FF0ACE">
        <w:t>mois), avec ou sans EP, et avec contre-indication formelle aux anticoagulants.</w:t>
      </w:r>
    </w:p>
    <w:p w14:paraId="394AC101" w14:textId="77777777" w:rsidR="004278AD" w:rsidRDefault="004278AD" w:rsidP="004278AD">
      <w:pPr>
        <w:pStyle w:val="Texte2"/>
        <w:numPr>
          <w:ilvl w:val="0"/>
          <w:numId w:val="0"/>
        </w:numPr>
      </w:pPr>
      <w:r>
        <w:t xml:space="preserve">- </w:t>
      </w:r>
      <w:r w:rsidRPr="00FF0ACE">
        <w:t>Ici l’hémorragie digestive non contrôlée constitue une contre-indication formelle aux anticoagulants puisqu’il s’agit d’une hémorragie active non facilement contrôlable.</w:t>
      </w:r>
    </w:p>
    <w:p w14:paraId="03DB084D" w14:textId="77777777" w:rsidR="004278AD" w:rsidRPr="00FF0ACE" w:rsidRDefault="004278AD" w:rsidP="004278AD">
      <w:pPr>
        <w:pStyle w:val="Texte2"/>
        <w:numPr>
          <w:ilvl w:val="0"/>
          <w:numId w:val="0"/>
        </w:numPr>
      </w:pPr>
    </w:p>
    <w:p w14:paraId="04DA29A6" w14:textId="77777777" w:rsidR="004278AD" w:rsidRPr="008C7C73" w:rsidRDefault="004278AD" w:rsidP="004278AD">
      <w:pPr>
        <w:pStyle w:val="PointsCls0"/>
        <w:numPr>
          <w:ilvl w:val="0"/>
          <w:numId w:val="0"/>
        </w:numPr>
        <w:spacing w:before="0" w:after="0"/>
        <w:outlineLvl w:val="9"/>
        <w:rPr>
          <w:color w:val="0070C0"/>
          <w:sz w:val="20"/>
          <w:szCs w:val="14"/>
        </w:rPr>
      </w:pPr>
      <w:r w:rsidRPr="008C7C73">
        <w:rPr>
          <w:color w:val="0070C0"/>
          <w:sz w:val="20"/>
          <w:szCs w:val="14"/>
        </w:rPr>
        <w:t>KFP</w:t>
      </w:r>
    </w:p>
    <w:p w14:paraId="407C7735" w14:textId="77777777" w:rsidR="004278AD" w:rsidRPr="00FF0ACE" w:rsidRDefault="004278AD" w:rsidP="004278AD">
      <w:pPr>
        <w:pStyle w:val="aaQ"/>
      </w:pPr>
      <w:r>
        <w:t>Q</w:t>
      </w:r>
      <w:r w:rsidRPr="00FF0ACE">
        <w:t>RP (2 réponses)</w:t>
      </w:r>
    </w:p>
    <w:p w14:paraId="01F6050C" w14:textId="77777777" w:rsidR="004278AD" w:rsidRPr="00FF0ACE" w:rsidRDefault="004278AD" w:rsidP="004278AD">
      <w:pPr>
        <w:rPr>
          <w:rFonts w:cstheme="minorHAnsi"/>
        </w:rPr>
      </w:pPr>
      <w:r w:rsidRPr="00FF0ACE">
        <w:rPr>
          <w:rFonts w:cstheme="minorHAnsi"/>
        </w:rPr>
        <w:t>Réponse : AD</w:t>
      </w:r>
    </w:p>
    <w:p w14:paraId="562C5A33" w14:textId="77777777" w:rsidR="004278AD" w:rsidRPr="00FF0ACE" w:rsidRDefault="004278AD" w:rsidP="004278AD">
      <w:pPr>
        <w:rPr>
          <w:rFonts w:cstheme="minorHAnsi"/>
        </w:rPr>
      </w:pPr>
      <w:r w:rsidRPr="00FF0ACE">
        <w:rPr>
          <w:rFonts w:cstheme="minorHAnsi"/>
        </w:rPr>
        <w:t xml:space="preserve">Commentaires : </w:t>
      </w:r>
    </w:p>
    <w:p w14:paraId="7E8D433F" w14:textId="77777777" w:rsidR="004278AD" w:rsidRPr="00FF0ACE" w:rsidRDefault="004278AD" w:rsidP="004278AD">
      <w:pPr>
        <w:pStyle w:val="Texte2"/>
        <w:numPr>
          <w:ilvl w:val="0"/>
          <w:numId w:val="0"/>
        </w:numPr>
      </w:pPr>
      <w:r>
        <w:t xml:space="preserve">- </w:t>
      </w:r>
      <w:r w:rsidRPr="00FF0ACE">
        <w:t>La première étape est de suspecter l’embolie pulmonaire et cela repose sur l’examen clinique et des examens complémentaires simples afin de rechercher les signes évocateurs d’embolie pulmonaire et d’éliminer les diagnostics différentiels les plus évidents.</w:t>
      </w:r>
    </w:p>
    <w:p w14:paraId="0C59CE3D" w14:textId="77777777" w:rsidR="004278AD" w:rsidRPr="00FF0ACE" w:rsidRDefault="004278AD" w:rsidP="004278AD">
      <w:pPr>
        <w:pStyle w:val="Texte2"/>
        <w:numPr>
          <w:ilvl w:val="0"/>
          <w:numId w:val="0"/>
        </w:numPr>
      </w:pPr>
      <w:r>
        <w:t xml:space="preserve">- </w:t>
      </w:r>
      <w:r w:rsidRPr="00FF0ACE">
        <w:t>La radiographie de thorax et l’ECG ne sont ni sensibles ni spécifiques pour le diagnostic d’EP</w:t>
      </w:r>
      <w:r>
        <w:t>,</w:t>
      </w:r>
      <w:r w:rsidRPr="00FF0ACE">
        <w:t xml:space="preserve"> mais sont indispensables en première intention pour exclure les diagnostics différentiels. En l’absence de diagnostic différentiel, cela renforce la suspicion d’embolie pulmonaire.</w:t>
      </w:r>
    </w:p>
    <w:p w14:paraId="6C49A17F" w14:textId="77777777" w:rsidR="004278AD" w:rsidRPr="00FF0ACE" w:rsidRDefault="004278AD" w:rsidP="004278AD">
      <w:pPr>
        <w:pStyle w:val="Texte2"/>
        <w:numPr>
          <w:ilvl w:val="0"/>
          <w:numId w:val="0"/>
        </w:numPr>
      </w:pPr>
      <w:r>
        <w:t xml:space="preserve">- </w:t>
      </w:r>
      <w:r w:rsidRPr="00FF0ACE">
        <w:t>Les gaz du sang sont non recommandés et inutiles</w:t>
      </w:r>
      <w:r>
        <w:t>,</w:t>
      </w:r>
      <w:r w:rsidRPr="00FF0ACE">
        <w:t xml:space="preserve"> car ni sensibles (parfois normaux) ni spécifiques (classiquement hypoxémie + hypocapnie) et potentiellement dangereux (si thrombolyse).</w:t>
      </w:r>
    </w:p>
    <w:p w14:paraId="5FC56CD6" w14:textId="77777777" w:rsidR="004278AD" w:rsidRPr="00FF0ACE" w:rsidRDefault="004278AD" w:rsidP="004278AD">
      <w:pPr>
        <w:pStyle w:val="Texte2"/>
        <w:numPr>
          <w:ilvl w:val="0"/>
          <w:numId w:val="0"/>
        </w:numPr>
      </w:pPr>
      <w:r>
        <w:t xml:space="preserve">- </w:t>
      </w:r>
      <w:r w:rsidRPr="00FF0ACE">
        <w:t xml:space="preserve">Les D-dimères ne sont dosés que si l’on suspecte une embolie pulmonaire, après examen clinique et réalisation d’examens complémentaires (radiographie de thorax, ECG), et en fonction de la probabilité clinique d’embolie pulmonaire. </w:t>
      </w:r>
    </w:p>
    <w:p w14:paraId="33ED3691" w14:textId="77777777" w:rsidR="004278AD" w:rsidRPr="00FF0ACE" w:rsidRDefault="004278AD" w:rsidP="004278AD">
      <w:pPr>
        <w:pStyle w:val="Texte2"/>
        <w:numPr>
          <w:ilvl w:val="0"/>
          <w:numId w:val="0"/>
        </w:numPr>
      </w:pPr>
      <w:r>
        <w:t xml:space="preserve">- </w:t>
      </w:r>
      <w:r w:rsidRPr="00FF0ACE">
        <w:t>L’angioscanner thoracique, la scintigraphie de ventilation perfusion et l’échographie doppler des membres inférieurs ne sont pas des examens de première intention</w:t>
      </w:r>
      <w:r>
        <w:t>,</w:t>
      </w:r>
      <w:r w:rsidRPr="00FF0ACE">
        <w:t xml:space="preserve"> mais seront réalisés qu’après avoir déterminé la probabilité clinique d’embolie pulmonaire et selon cette probabilité après avoir dosé ou non les D-dimères.</w:t>
      </w:r>
    </w:p>
    <w:p w14:paraId="2E5336F0" w14:textId="77777777" w:rsidR="004278AD" w:rsidRDefault="004278AD" w:rsidP="004278AD">
      <w:pPr>
        <w:pStyle w:val="Texte2"/>
        <w:numPr>
          <w:ilvl w:val="0"/>
          <w:numId w:val="0"/>
        </w:numPr>
      </w:pPr>
      <w:r>
        <w:lastRenderedPageBreak/>
        <w:t xml:space="preserve">- </w:t>
      </w:r>
      <w:r w:rsidRPr="00FF0ACE">
        <w:t>L’échographie cardiaque transthoracique n’est réalisée en première intention qu’en cas de suspicion d’embolie pulmonaire grave (état de choc).</w:t>
      </w:r>
    </w:p>
    <w:p w14:paraId="496F5BFF" w14:textId="77777777" w:rsidR="004278AD" w:rsidRPr="00FF0ACE" w:rsidRDefault="004278AD" w:rsidP="004278AD">
      <w:pPr>
        <w:pStyle w:val="Texte2"/>
        <w:numPr>
          <w:ilvl w:val="0"/>
          <w:numId w:val="0"/>
        </w:numPr>
      </w:pPr>
    </w:p>
    <w:p w14:paraId="50291210" w14:textId="77777777" w:rsidR="004278AD" w:rsidRPr="00FF0ACE" w:rsidRDefault="004278AD" w:rsidP="004278AD">
      <w:pPr>
        <w:pStyle w:val="aaQ"/>
      </w:pPr>
      <w:r>
        <w:t>Q</w:t>
      </w:r>
      <w:r w:rsidRPr="00FF0ACE">
        <w:t>ROC</w:t>
      </w:r>
    </w:p>
    <w:p w14:paraId="52A6D424" w14:textId="77777777" w:rsidR="004278AD" w:rsidRPr="00FF0ACE" w:rsidRDefault="004278AD" w:rsidP="004278AD">
      <w:pPr>
        <w:pStyle w:val="Paragraphedeliste"/>
        <w:ind w:left="0"/>
        <w:rPr>
          <w:rFonts w:cstheme="minorHAnsi"/>
        </w:rPr>
      </w:pPr>
      <w:r w:rsidRPr="00FF0ACE">
        <w:rPr>
          <w:rFonts w:cstheme="minorHAnsi"/>
        </w:rPr>
        <w:t>Réponse : D-dimères</w:t>
      </w:r>
    </w:p>
    <w:p w14:paraId="65254B3B" w14:textId="77777777" w:rsidR="004278AD" w:rsidRPr="00FF0ACE" w:rsidRDefault="004278AD" w:rsidP="004278AD">
      <w:pPr>
        <w:rPr>
          <w:rFonts w:cstheme="minorHAnsi"/>
        </w:rPr>
      </w:pPr>
      <w:r w:rsidRPr="00FF0ACE">
        <w:rPr>
          <w:rFonts w:cstheme="minorHAnsi"/>
        </w:rPr>
        <w:t>Commentaire : Les D-dimères sont dosés quand la probabilité clinique d’embolie pulmonaire est non forte (faible ou intermédiaire)</w:t>
      </w:r>
    </w:p>
    <w:p w14:paraId="62C414B0" w14:textId="1BBDDC39" w:rsidR="004278AD" w:rsidRPr="00FF0ACE" w:rsidRDefault="004278AD" w:rsidP="004278AD">
      <w:pPr>
        <w:jc w:val="left"/>
        <w:rPr>
          <w:rFonts w:cstheme="minorHAnsi"/>
          <w:b/>
          <w:bCs/>
          <w:color w:val="000000" w:themeColor="text1"/>
        </w:rPr>
      </w:pPr>
    </w:p>
    <w:p w14:paraId="175A8041" w14:textId="77777777" w:rsidR="004278AD" w:rsidRPr="00FF0ACE" w:rsidRDefault="004278AD" w:rsidP="004278AD">
      <w:pPr>
        <w:pStyle w:val="aaQ"/>
      </w:pPr>
      <w:r>
        <w:t>ZAP</w:t>
      </w:r>
    </w:p>
    <w:p w14:paraId="05F6E8B3" w14:textId="77777777" w:rsidR="004278AD" w:rsidRPr="00FF0ACE" w:rsidRDefault="004278AD" w:rsidP="004278AD">
      <w:pPr>
        <w:pStyle w:val="Paragraphedeliste"/>
        <w:ind w:left="0"/>
        <w:jc w:val="left"/>
        <w:rPr>
          <w:rFonts w:cstheme="minorHAnsi"/>
          <w:noProof/>
        </w:rPr>
      </w:pPr>
      <w:r w:rsidRPr="00FF0ACE">
        <w:rPr>
          <w:rFonts w:cstheme="minorHAnsi"/>
          <w:noProof/>
        </w:rPr>
        <w:drawing>
          <wp:anchor distT="0" distB="0" distL="114300" distR="114300" simplePos="0" relativeHeight="251804672" behindDoc="0" locked="0" layoutInCell="1" allowOverlap="1" wp14:anchorId="49F40A05" wp14:editId="32312FAB">
            <wp:simplePos x="0" y="0"/>
            <wp:positionH relativeFrom="margin">
              <wp:align>right</wp:align>
            </wp:positionH>
            <wp:positionV relativeFrom="paragraph">
              <wp:posOffset>11486</wp:posOffset>
            </wp:positionV>
            <wp:extent cx="3383280" cy="2474060"/>
            <wp:effectExtent l="0" t="0" r="7620" b="2540"/>
            <wp:wrapSquare wrapText="bothSides"/>
            <wp:docPr id="1247437819" name="Image 124743781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46542" name="Image 2" descr="Une image contenant texte&#10;&#10;Description générée automatiquement"/>
                    <pic:cNvPicPr>
                      <a:picLocks noChangeAspect="1" noChangeArrowheads="1"/>
                    </pic:cNvPicPr>
                  </pic:nvPicPr>
                  <pic:blipFill>
                    <a:blip r:embed="rId29" cstate="email">
                      <a:extLst>
                        <a:ext uri="{28A0092B-C50C-407E-A947-70E740481C1C}">
                          <a14:useLocalDpi xmlns:a14="http://schemas.microsoft.com/office/drawing/2010/main" val="0"/>
                        </a:ext>
                      </a:extLst>
                    </a:blip>
                    <a:srcRect/>
                    <a:stretch>
                      <a:fillRect/>
                    </a:stretch>
                  </pic:blipFill>
                  <pic:spPr bwMode="auto">
                    <a:xfrm>
                      <a:off x="0" y="0"/>
                      <a:ext cx="3383280" cy="2474060"/>
                    </a:xfrm>
                    <a:prstGeom prst="rect">
                      <a:avLst/>
                    </a:prstGeom>
                    <a:noFill/>
                    <a:ln>
                      <a:noFill/>
                    </a:ln>
                  </pic:spPr>
                </pic:pic>
              </a:graphicData>
            </a:graphic>
          </wp:anchor>
        </w:drawing>
      </w:r>
      <w:r w:rsidRPr="00FF0ACE">
        <w:rPr>
          <w:rFonts w:cstheme="minorHAnsi"/>
        </w:rPr>
        <w:t xml:space="preserve">Commentaire : angioscanner thoracique en coupe axiale en fenêtre médiastinale. Présence d’une lacune endovasculaire dans l’artère pulmonaire lobaire inférieure droite permettant de retenir le diagnostic d’embolie pulmonaire. </w:t>
      </w:r>
    </w:p>
    <w:p w14:paraId="1C54BEC1" w14:textId="77232E8D" w:rsidR="005F7E87" w:rsidRPr="004278AD" w:rsidRDefault="004278AD" w:rsidP="004278AD">
      <w:pPr>
        <w:jc w:val="left"/>
        <w:rPr>
          <w:rFonts w:eastAsia="+mn-ea"/>
          <w:b/>
          <w:bCs/>
          <w:iCs/>
          <w:color w:val="0070C0"/>
          <w:sz w:val="24"/>
          <w:szCs w:val="24"/>
        </w:rPr>
      </w:pPr>
      <w:r>
        <w:rPr>
          <w:rFonts w:eastAsia="+mn-ea"/>
          <w:b/>
          <w:bCs/>
          <w:iCs/>
          <w:color w:val="0070C0"/>
          <w:sz w:val="24"/>
          <w:szCs w:val="24"/>
        </w:rPr>
        <w:br w:type="page"/>
      </w:r>
    </w:p>
    <w:sectPr w:rsidR="005F7E87" w:rsidRPr="004278AD" w:rsidSect="00876EF8">
      <w:headerReference w:type="even" r:id="rId30"/>
      <w:headerReference w:type="default" r:id="rId31"/>
      <w:footerReference w:type="even" r:id="rId32"/>
      <w:footerReference w:type="default" r:id="rId33"/>
      <w:headerReference w:type="first" r:id="rId34"/>
      <w:footerReference w:type="first" r:id="rId35"/>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36F575" w14:textId="77777777" w:rsidR="0065543A" w:rsidRDefault="0065543A" w:rsidP="004A3D1B">
      <w:pPr>
        <w:spacing w:line="240" w:lineRule="auto"/>
      </w:pPr>
      <w:r>
        <w:separator/>
      </w:r>
    </w:p>
  </w:endnote>
  <w:endnote w:type="continuationSeparator" w:id="0">
    <w:p w14:paraId="646C6783" w14:textId="77777777" w:rsidR="0065543A" w:rsidRDefault="0065543A" w:rsidP="004A3D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A2DF4C" w14:textId="77777777" w:rsidR="004A3D1B" w:rsidRDefault="004A3D1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19DD7D" w14:textId="77777777" w:rsidR="004A3D1B" w:rsidRDefault="004A3D1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A6AB12" w14:textId="77777777" w:rsidR="004A3D1B" w:rsidRDefault="004A3D1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64D04C" w14:textId="77777777" w:rsidR="0065543A" w:rsidRDefault="0065543A" w:rsidP="004A3D1B">
      <w:pPr>
        <w:spacing w:line="240" w:lineRule="auto"/>
      </w:pPr>
      <w:r>
        <w:separator/>
      </w:r>
    </w:p>
  </w:footnote>
  <w:footnote w:type="continuationSeparator" w:id="0">
    <w:p w14:paraId="579CE4E6" w14:textId="77777777" w:rsidR="0065543A" w:rsidRDefault="0065543A" w:rsidP="004A3D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3FB75" w14:textId="77777777" w:rsidR="004A3D1B" w:rsidRDefault="004A3D1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309B06" w14:textId="77777777" w:rsidR="004A3D1B" w:rsidRPr="00F201C7" w:rsidRDefault="004A3D1B" w:rsidP="004A3D1B">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4C86A65D" w14:textId="77777777" w:rsidR="004A3D1B" w:rsidRDefault="004A3D1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B7CB4" w14:textId="77777777" w:rsidR="004A3D1B" w:rsidRDefault="004A3D1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623C6"/>
    <w:multiLevelType w:val="hybridMultilevel"/>
    <w:tmpl w:val="C2EA39BA"/>
    <w:lvl w:ilvl="0" w:tplc="FFFFFFFF">
      <w:start w:val="1"/>
      <w:numFmt w:val="bullet"/>
      <w:lvlText w:val="■"/>
      <w:lvlJc w:val="left"/>
      <w:pPr>
        <w:tabs>
          <w:tab w:val="num" w:pos="360"/>
        </w:tabs>
        <w:ind w:left="360" w:hanging="360"/>
      </w:pPr>
      <w:rPr>
        <w:rFonts w:ascii="Arial" w:hAnsi="Arial" w:hint="default"/>
        <w:b w:val="0"/>
        <w:i w:val="0"/>
        <w:color w:val="auto"/>
        <w:sz w:val="18"/>
        <w:szCs w:val="18"/>
      </w:rPr>
    </w:lvl>
    <w:lvl w:ilvl="1" w:tplc="1CB6F05E">
      <w:start w:val="1"/>
      <w:numFmt w:val="bullet"/>
      <w:lvlText w:val=""/>
      <w:lvlJc w:val="left"/>
      <w:pPr>
        <w:ind w:left="1440" w:hanging="360"/>
      </w:pPr>
      <w:rPr>
        <w:rFonts w:ascii="Wingdings 2" w:hAnsi="Wingdings 2" w:hint="default"/>
      </w:rPr>
    </w:lvl>
    <w:lvl w:ilvl="2" w:tplc="FFFFFFFF">
      <w:start w:val="1"/>
      <w:numFmt w:val="bullet"/>
      <w:lvlText w:val=""/>
      <w:lvlJc w:val="left"/>
      <w:pPr>
        <w:tabs>
          <w:tab w:val="num" w:pos="1800"/>
        </w:tabs>
        <w:ind w:left="1800" w:hanging="360"/>
      </w:pPr>
      <w:rPr>
        <w:rFonts w:ascii="Symbol" w:hAnsi="Symbol" w:hint="default"/>
        <w:b w:val="0"/>
        <w:i w:val="0"/>
        <w:color w:val="auto"/>
        <w:sz w:val="18"/>
        <w:szCs w:val="18"/>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3C4CA6"/>
    <w:multiLevelType w:val="hybridMultilevel"/>
    <w:tmpl w:val="BF5EEF00"/>
    <w:lvl w:ilvl="0" w:tplc="FFFFFFFF">
      <w:start w:val="1"/>
      <w:numFmt w:val="bullet"/>
      <w:lvlText w:val="−"/>
      <w:lvlJc w:val="left"/>
      <w:pPr>
        <w:tabs>
          <w:tab w:val="num" w:pos="1068"/>
        </w:tabs>
        <w:ind w:left="1068" w:hanging="360"/>
      </w:pPr>
      <w:rPr>
        <w:rFonts w:ascii="Arial" w:hAnsi="Arial" w:hint="default"/>
        <w:b/>
        <w:i w:val="0"/>
        <w:color w:val="auto"/>
        <w:sz w:val="18"/>
        <w:szCs w:val="18"/>
      </w:rPr>
    </w:lvl>
    <w:lvl w:ilvl="1" w:tplc="1CB6F05E">
      <w:start w:val="1"/>
      <w:numFmt w:val="bullet"/>
      <w:lvlText w:val=""/>
      <w:lvlJc w:val="left"/>
      <w:pPr>
        <w:ind w:left="1068" w:hanging="360"/>
      </w:pPr>
      <w:rPr>
        <w:rFonts w:ascii="Wingdings 2" w:hAnsi="Wingdings 2" w:hint="default"/>
      </w:rPr>
    </w:lvl>
    <w:lvl w:ilvl="2" w:tplc="FFFFFFFF">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638404F"/>
    <w:multiLevelType w:val="hybridMultilevel"/>
    <w:tmpl w:val="932A2D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280EE0"/>
    <w:multiLevelType w:val="multilevel"/>
    <w:tmpl w:val="01B4CB46"/>
    <w:lvl w:ilvl="0">
      <w:start w:val="1"/>
      <w:numFmt w:val="decimal"/>
      <w:lvlText w:val="%1."/>
      <w:lvlJc w:val="left"/>
      <w:pPr>
        <w:ind w:left="360" w:hanging="360"/>
      </w:pPr>
      <w:rPr>
        <w:b w:val="0"/>
        <w:bCs w:val="0"/>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CA3F35"/>
    <w:multiLevelType w:val="hybridMultilevel"/>
    <w:tmpl w:val="9ABCB97E"/>
    <w:lvl w:ilvl="0" w:tplc="FFFFFFFF">
      <w:start w:val="1"/>
      <w:numFmt w:val="bullet"/>
      <w:lvlText w:val="−"/>
      <w:lvlJc w:val="left"/>
      <w:pPr>
        <w:tabs>
          <w:tab w:val="num" w:pos="1068"/>
        </w:tabs>
        <w:ind w:left="1068" w:hanging="360"/>
      </w:pPr>
      <w:rPr>
        <w:rFonts w:ascii="Arial" w:hAnsi="Arial" w:hint="default"/>
        <w:b/>
        <w:i w:val="0"/>
        <w:color w:val="auto"/>
        <w:sz w:val="18"/>
        <w:szCs w:val="18"/>
      </w:rPr>
    </w:lvl>
    <w:lvl w:ilvl="1" w:tplc="FFFFFFFF">
      <w:start w:val="1"/>
      <w:numFmt w:val="bullet"/>
      <w:lvlText w:val="o"/>
      <w:lvlJc w:val="left"/>
      <w:pPr>
        <w:tabs>
          <w:tab w:val="num" w:pos="1788"/>
        </w:tabs>
        <w:ind w:left="1788" w:hanging="360"/>
      </w:pPr>
      <w:rPr>
        <w:rFonts w:ascii="Courier New" w:hAnsi="Courier New" w:cs="Courier New" w:hint="default"/>
      </w:rPr>
    </w:lvl>
    <w:lvl w:ilvl="2" w:tplc="040C0003">
      <w:start w:val="1"/>
      <w:numFmt w:val="bullet"/>
      <w:lvlText w:val="o"/>
      <w:lvlJc w:val="left"/>
      <w:pPr>
        <w:ind w:left="1788" w:hanging="360"/>
      </w:pPr>
      <w:rPr>
        <w:rFonts w:ascii="Courier New" w:hAnsi="Courier New" w:cs="Courier New"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45A793F"/>
    <w:multiLevelType w:val="hybridMultilevel"/>
    <w:tmpl w:val="89AE7C22"/>
    <w:lvl w:ilvl="0" w:tplc="4EE4EAC8">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 w15:restartNumberingAfterBreak="0">
    <w:nsid w:val="21F26BB3"/>
    <w:multiLevelType w:val="hybridMultilevel"/>
    <w:tmpl w:val="530674BA"/>
    <w:lvl w:ilvl="0" w:tplc="FFFFFFFF">
      <w:start w:val="1"/>
      <w:numFmt w:val="bullet"/>
      <w:lvlText w:val=""/>
      <w:lvlJc w:val="left"/>
      <w:pPr>
        <w:ind w:left="720" w:hanging="360"/>
      </w:pPr>
      <w:rPr>
        <w:rFonts w:ascii="Wingdings" w:hAnsi="Wingdings" w:hint="default"/>
      </w:rPr>
    </w:lvl>
    <w:lvl w:ilvl="1" w:tplc="040C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316F8B"/>
    <w:multiLevelType w:val="hybridMultilevel"/>
    <w:tmpl w:val="B2982410"/>
    <w:lvl w:ilvl="0" w:tplc="1CB6F05E">
      <w:start w:val="1"/>
      <w:numFmt w:val="bullet"/>
      <w:lvlText w:val=""/>
      <w:lvlJc w:val="left"/>
      <w:pPr>
        <w:ind w:left="1068" w:hanging="360"/>
      </w:pPr>
      <w:rPr>
        <w:rFonts w:ascii="Wingdings 2" w:hAnsi="Wingdings 2" w:hint="default"/>
        <w:b/>
        <w:i w:val="0"/>
        <w:color w:val="auto"/>
        <w:sz w:val="18"/>
        <w:szCs w:val="18"/>
      </w:rPr>
    </w:lvl>
    <w:lvl w:ilvl="1" w:tplc="FFFFFFFF">
      <w:start w:val="1"/>
      <w:numFmt w:val="bullet"/>
      <w:lvlText w:val=""/>
      <w:lvlJc w:val="left"/>
      <w:pPr>
        <w:ind w:left="1788" w:hanging="360"/>
      </w:pPr>
      <w:rPr>
        <w:rFonts w:ascii="Wingdings" w:hAnsi="Wingdings" w:hint="default"/>
      </w:rPr>
    </w:lvl>
    <w:lvl w:ilvl="2" w:tplc="FFFFFFFF">
      <w:start w:val="1"/>
      <w:numFmt w:val="bullet"/>
      <w:lvlText w:val=""/>
      <w:lvlJc w:val="left"/>
      <w:pPr>
        <w:ind w:left="2508" w:hanging="360"/>
      </w:pPr>
      <w:rPr>
        <w:rFonts w:ascii="Symbol" w:hAnsi="Symbol" w:hint="default"/>
        <w:color w:val="auto"/>
      </w:rPr>
    </w:lvl>
    <w:lvl w:ilvl="3" w:tplc="FFFFFFFF">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2A2341E8"/>
    <w:multiLevelType w:val="hybridMultilevel"/>
    <w:tmpl w:val="FEC2F73E"/>
    <w:lvl w:ilvl="0" w:tplc="FFFFFFFF">
      <w:start w:val="1"/>
      <w:numFmt w:val="bullet"/>
      <w:lvlText w:val="■"/>
      <w:lvlJc w:val="left"/>
      <w:pPr>
        <w:tabs>
          <w:tab w:val="num" w:pos="360"/>
        </w:tabs>
        <w:ind w:left="360" w:hanging="360"/>
      </w:pPr>
      <w:rPr>
        <w:rFonts w:ascii="Arial" w:hAnsi="Arial" w:hint="default"/>
        <w:b w:val="0"/>
        <w:i w:val="0"/>
        <w:color w:val="auto"/>
        <w:sz w:val="18"/>
        <w:szCs w:val="18"/>
      </w:rPr>
    </w:lvl>
    <w:lvl w:ilvl="1" w:tplc="1CB6F05E">
      <w:start w:val="1"/>
      <w:numFmt w:val="bullet"/>
      <w:lvlText w:val=""/>
      <w:lvlJc w:val="left"/>
      <w:pPr>
        <w:ind w:left="720" w:hanging="360"/>
      </w:pPr>
      <w:rPr>
        <w:rFonts w:ascii="Wingdings 2" w:hAnsi="Wingdings 2" w:hint="default"/>
      </w:rPr>
    </w:lvl>
    <w:lvl w:ilvl="2" w:tplc="FFFFFFFF">
      <w:start w:val="1"/>
      <w:numFmt w:val="bullet"/>
      <w:lvlText w:val=""/>
      <w:lvlJc w:val="left"/>
      <w:pPr>
        <w:tabs>
          <w:tab w:val="num" w:pos="1800"/>
        </w:tabs>
        <w:ind w:left="1800" w:hanging="360"/>
      </w:pPr>
      <w:rPr>
        <w:rFonts w:ascii="Symbol" w:hAnsi="Symbol" w:hint="default"/>
        <w:b w:val="0"/>
        <w:i w:val="0"/>
        <w:color w:val="auto"/>
        <w:sz w:val="18"/>
        <w:szCs w:val="18"/>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AF24C1"/>
    <w:multiLevelType w:val="multilevel"/>
    <w:tmpl w:val="21146EA2"/>
    <w:lvl w:ilvl="0">
      <w:start w:val="1"/>
      <w:numFmt w:val="decimal"/>
      <w:pStyle w:val="PointsCls1"/>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705" w:hanging="705"/>
      </w:pPr>
      <w:rPr>
        <w:rFonts w:hint="default"/>
      </w:rPr>
    </w:lvl>
    <w:lvl w:ilvl="2">
      <w:start w:val="2"/>
      <w:numFmt w:val="decimal"/>
      <w:isLgl/>
      <w:lvlText w:val="%1.%2.%3"/>
      <w:lvlJc w:val="left"/>
      <w:pPr>
        <w:ind w:left="72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BDE2C05"/>
    <w:multiLevelType w:val="hybridMultilevel"/>
    <w:tmpl w:val="9DE02D5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C3F30E1"/>
    <w:multiLevelType w:val="hybridMultilevel"/>
    <w:tmpl w:val="CC988C58"/>
    <w:lvl w:ilvl="0" w:tplc="535438FC">
      <w:start w:val="1"/>
      <w:numFmt w:val="decimal"/>
      <w:pStyle w:val="1titre"/>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7F2E4D"/>
    <w:multiLevelType w:val="hybridMultilevel"/>
    <w:tmpl w:val="045E0B0E"/>
    <w:lvl w:ilvl="0" w:tplc="1CB6F05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F0A5141"/>
    <w:multiLevelType w:val="hybridMultilevel"/>
    <w:tmpl w:val="CBD65D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6DA0E67"/>
    <w:multiLevelType w:val="hybridMultilevel"/>
    <w:tmpl w:val="59DEF6D0"/>
    <w:lvl w:ilvl="0" w:tplc="E38052D2">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81966E8"/>
    <w:multiLevelType w:val="hybridMultilevel"/>
    <w:tmpl w:val="D3EEDAA2"/>
    <w:lvl w:ilvl="0" w:tplc="FFFFFFFF">
      <w:start w:val="1"/>
      <w:numFmt w:val="bullet"/>
      <w:lvlText w:val=""/>
      <w:lvlJc w:val="left"/>
      <w:pPr>
        <w:ind w:left="360" w:hanging="360"/>
      </w:pPr>
      <w:rPr>
        <w:rFonts w:ascii="Symbol" w:hAnsi="Symbol" w:hint="default"/>
      </w:rPr>
    </w:lvl>
    <w:lvl w:ilvl="1" w:tplc="1CB6F05E">
      <w:start w:val="1"/>
      <w:numFmt w:val="bullet"/>
      <w:lvlText w:val=""/>
      <w:lvlJc w:val="left"/>
      <w:pPr>
        <w:ind w:left="720" w:hanging="360"/>
      </w:pPr>
      <w:rPr>
        <w:rFonts w:ascii="Wingdings 2" w:hAnsi="Wingdings 2"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82A70EE"/>
    <w:multiLevelType w:val="hybridMultilevel"/>
    <w:tmpl w:val="285A55D4"/>
    <w:lvl w:ilvl="0" w:tplc="200843CA">
      <w:start w:val="1"/>
      <w:numFmt w:val="decimal"/>
      <w:pStyle w:val="TITRE1GRA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9140473"/>
    <w:multiLevelType w:val="hybridMultilevel"/>
    <w:tmpl w:val="6268CA60"/>
    <w:lvl w:ilvl="0" w:tplc="FFFFFFFF">
      <w:start w:val="1"/>
      <w:numFmt w:val="bullet"/>
      <w:lvlText w:val="■"/>
      <w:lvlJc w:val="left"/>
      <w:pPr>
        <w:tabs>
          <w:tab w:val="num" w:pos="360"/>
        </w:tabs>
        <w:ind w:left="360" w:hanging="360"/>
      </w:pPr>
      <w:rPr>
        <w:rFonts w:ascii="Arial" w:hAnsi="Arial" w:hint="default"/>
        <w:b w:val="0"/>
        <w:i w:val="0"/>
        <w:color w:val="auto"/>
        <w:sz w:val="18"/>
        <w:szCs w:val="18"/>
      </w:rPr>
    </w:lvl>
    <w:lvl w:ilvl="1" w:tplc="1CB6F05E">
      <w:start w:val="1"/>
      <w:numFmt w:val="bullet"/>
      <w:lvlText w:val=""/>
      <w:lvlJc w:val="left"/>
      <w:pPr>
        <w:ind w:left="2136" w:hanging="360"/>
      </w:pPr>
      <w:rPr>
        <w:rFonts w:ascii="Wingdings 2" w:hAnsi="Wingdings 2" w:hint="default"/>
      </w:rPr>
    </w:lvl>
    <w:lvl w:ilvl="2" w:tplc="FFFFFFFF">
      <w:start w:val="1"/>
      <w:numFmt w:val="bullet"/>
      <w:lvlText w:val=""/>
      <w:lvlJc w:val="left"/>
      <w:pPr>
        <w:tabs>
          <w:tab w:val="num" w:pos="1800"/>
        </w:tabs>
        <w:ind w:left="1800" w:hanging="360"/>
      </w:pPr>
      <w:rPr>
        <w:rFonts w:ascii="Symbol" w:hAnsi="Symbol" w:hint="default"/>
        <w:b w:val="0"/>
        <w:i w:val="0"/>
        <w:color w:val="auto"/>
        <w:sz w:val="18"/>
        <w:szCs w:val="18"/>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9CB5CD7"/>
    <w:multiLevelType w:val="hybridMultilevel"/>
    <w:tmpl w:val="9FAC0CE4"/>
    <w:lvl w:ilvl="0" w:tplc="1CB6F05E">
      <w:start w:val="1"/>
      <w:numFmt w:val="bullet"/>
      <w:lvlText w:val=""/>
      <w:lvlJc w:val="left"/>
      <w:pPr>
        <w:tabs>
          <w:tab w:val="num" w:pos="1068"/>
        </w:tabs>
        <w:ind w:left="1068" w:hanging="360"/>
      </w:pPr>
      <w:rPr>
        <w:rFonts w:ascii="Wingdings 2" w:hAnsi="Wingdings 2" w:hint="default"/>
        <w:b/>
        <w:i w:val="0"/>
        <w:color w:val="auto"/>
        <w:sz w:val="18"/>
        <w:szCs w:val="18"/>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3A952A03"/>
    <w:multiLevelType w:val="hybridMultilevel"/>
    <w:tmpl w:val="F666447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B7D59ED"/>
    <w:multiLevelType w:val="hybridMultilevel"/>
    <w:tmpl w:val="46DCB9CE"/>
    <w:lvl w:ilvl="0" w:tplc="B70CE88E">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1" w15:restartNumberingAfterBreak="0">
    <w:nsid w:val="3BFE3D43"/>
    <w:multiLevelType w:val="multilevel"/>
    <w:tmpl w:val="89C6D2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8E3D3C"/>
    <w:multiLevelType w:val="hybridMultilevel"/>
    <w:tmpl w:val="32F66D48"/>
    <w:lvl w:ilvl="0" w:tplc="DA2AF50C">
      <w:start w:val="1"/>
      <w:numFmt w:val="bullet"/>
      <w:lvlText w:val="o"/>
      <w:lvlJc w:val="left"/>
      <w:pPr>
        <w:tabs>
          <w:tab w:val="num" w:pos="360"/>
        </w:tabs>
        <w:ind w:left="360" w:hanging="360"/>
      </w:pPr>
      <w:rPr>
        <w:rFonts w:ascii="Courier New" w:hAnsi="Courier New" w:cs="Courier New" w:hint="default"/>
        <w:b w:val="0"/>
        <w:i w:val="0"/>
        <w:color w:val="0070C0"/>
        <w:sz w:val="18"/>
        <w:szCs w:val="18"/>
      </w:rPr>
    </w:lvl>
    <w:lvl w:ilvl="1" w:tplc="FFFFFFFF">
      <w:start w:val="1"/>
      <w:numFmt w:val="bullet"/>
      <w:lvlText w:val="−"/>
      <w:lvlJc w:val="left"/>
      <w:pPr>
        <w:tabs>
          <w:tab w:val="num" w:pos="1080"/>
        </w:tabs>
        <w:ind w:left="1080" w:hanging="360"/>
      </w:pPr>
      <w:rPr>
        <w:rFonts w:ascii="Arial" w:hAnsi="Arial" w:hint="default"/>
        <w:b/>
        <w:i w:val="0"/>
        <w:color w:val="auto"/>
        <w:sz w:val="18"/>
        <w:szCs w:val="18"/>
      </w:rPr>
    </w:lvl>
    <w:lvl w:ilvl="2" w:tplc="FFFFFFFF">
      <w:start w:val="1"/>
      <w:numFmt w:val="bullet"/>
      <w:lvlText w:val=""/>
      <w:lvlJc w:val="left"/>
      <w:pPr>
        <w:tabs>
          <w:tab w:val="num" w:pos="1800"/>
        </w:tabs>
        <w:ind w:left="1800" w:hanging="360"/>
      </w:pPr>
      <w:rPr>
        <w:rFonts w:ascii="Symbol" w:hAnsi="Symbol" w:hint="default"/>
        <w:b w:val="0"/>
        <w:i w:val="0"/>
        <w:color w:val="auto"/>
        <w:sz w:val="18"/>
        <w:szCs w:val="18"/>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45E1E1B"/>
    <w:multiLevelType w:val="hybridMultilevel"/>
    <w:tmpl w:val="73C84550"/>
    <w:lvl w:ilvl="0" w:tplc="1CB6F05E">
      <w:start w:val="1"/>
      <w:numFmt w:val="bullet"/>
      <w:lvlText w:val=""/>
      <w:lvlJc w:val="left"/>
      <w:pPr>
        <w:ind w:left="2136" w:hanging="360"/>
      </w:pPr>
      <w:rPr>
        <w:rFonts w:ascii="Wingdings 2" w:hAnsi="Wingdings 2" w:hint="default"/>
      </w:rPr>
    </w:lvl>
    <w:lvl w:ilvl="1" w:tplc="040C0003">
      <w:start w:val="1"/>
      <w:numFmt w:val="bullet"/>
      <w:lvlText w:val="o"/>
      <w:lvlJc w:val="left"/>
      <w:pPr>
        <w:ind w:left="2856" w:hanging="360"/>
      </w:pPr>
      <w:rPr>
        <w:rFonts w:ascii="Courier New" w:hAnsi="Courier New" w:cs="Courier New" w:hint="default"/>
      </w:rPr>
    </w:lvl>
    <w:lvl w:ilvl="2" w:tplc="040C0005">
      <w:start w:val="1"/>
      <w:numFmt w:val="bullet"/>
      <w:lvlText w:val=""/>
      <w:lvlJc w:val="left"/>
      <w:pPr>
        <w:ind w:left="3576" w:hanging="360"/>
      </w:pPr>
      <w:rPr>
        <w:rFonts w:ascii="Wingdings" w:hAnsi="Wingdings" w:hint="default"/>
      </w:rPr>
    </w:lvl>
    <w:lvl w:ilvl="3" w:tplc="040C000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4" w15:restartNumberingAfterBreak="0">
    <w:nsid w:val="47AB234C"/>
    <w:multiLevelType w:val="hybridMultilevel"/>
    <w:tmpl w:val="0C742B48"/>
    <w:lvl w:ilvl="0" w:tplc="FFFFFFFF">
      <w:start w:val="1"/>
      <w:numFmt w:val="bullet"/>
      <w:lvlText w:val="■"/>
      <w:lvlJc w:val="left"/>
      <w:pPr>
        <w:tabs>
          <w:tab w:val="num" w:pos="360"/>
        </w:tabs>
        <w:ind w:left="360" w:hanging="360"/>
      </w:pPr>
      <w:rPr>
        <w:rFonts w:ascii="Arial" w:hAnsi="Arial" w:hint="default"/>
        <w:b w:val="0"/>
        <w:i w:val="0"/>
        <w:color w:val="auto"/>
        <w:sz w:val="18"/>
        <w:szCs w:val="18"/>
      </w:rPr>
    </w:lvl>
    <w:lvl w:ilvl="1" w:tplc="FFFFFFFF">
      <w:start w:val="1"/>
      <w:numFmt w:val="bullet"/>
      <w:lvlText w:val="−"/>
      <w:lvlJc w:val="left"/>
      <w:pPr>
        <w:tabs>
          <w:tab w:val="num" w:pos="1080"/>
        </w:tabs>
        <w:ind w:left="1080" w:hanging="360"/>
      </w:pPr>
      <w:rPr>
        <w:rFonts w:ascii="Arial" w:hAnsi="Arial" w:hint="default"/>
        <w:b/>
        <w:i w:val="0"/>
        <w:color w:val="auto"/>
        <w:sz w:val="18"/>
        <w:szCs w:val="18"/>
      </w:rPr>
    </w:lvl>
    <w:lvl w:ilvl="2" w:tplc="FFFFFFFF">
      <w:start w:val="1"/>
      <w:numFmt w:val="bullet"/>
      <w:lvlText w:val=""/>
      <w:lvlJc w:val="left"/>
      <w:pPr>
        <w:tabs>
          <w:tab w:val="num" w:pos="1800"/>
        </w:tabs>
        <w:ind w:left="1800" w:hanging="360"/>
      </w:pPr>
      <w:rPr>
        <w:rFonts w:ascii="Symbol" w:hAnsi="Symbol" w:hint="default"/>
        <w:b w:val="0"/>
        <w:i w:val="0"/>
        <w:color w:val="auto"/>
        <w:sz w:val="18"/>
        <w:szCs w:val="18"/>
      </w:rPr>
    </w:lvl>
    <w:lvl w:ilvl="3" w:tplc="040C0005">
      <w:start w:val="1"/>
      <w:numFmt w:val="bullet"/>
      <w:lvlText w:val=""/>
      <w:lvlJc w:val="left"/>
      <w:pPr>
        <w:ind w:left="1440" w:hanging="360"/>
      </w:pPr>
      <w:rPr>
        <w:rFonts w:ascii="Wingdings" w:hAnsi="Wingdings"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21077DD"/>
    <w:multiLevelType w:val="hybridMultilevel"/>
    <w:tmpl w:val="91D41FB0"/>
    <w:lvl w:ilvl="0" w:tplc="FFFFFFFF">
      <w:start w:val="1"/>
      <w:numFmt w:val="bullet"/>
      <w:lvlText w:val="−"/>
      <w:lvlJc w:val="left"/>
      <w:pPr>
        <w:tabs>
          <w:tab w:val="num" w:pos="1068"/>
        </w:tabs>
        <w:ind w:left="1068" w:hanging="360"/>
      </w:pPr>
      <w:rPr>
        <w:rFonts w:ascii="Arial" w:hAnsi="Arial" w:hint="default"/>
        <w:b/>
        <w:i w:val="0"/>
        <w:color w:val="auto"/>
        <w:sz w:val="18"/>
        <w:szCs w:val="18"/>
      </w:rPr>
    </w:lvl>
    <w:lvl w:ilvl="1" w:tplc="1CB6F05E">
      <w:start w:val="1"/>
      <w:numFmt w:val="bullet"/>
      <w:lvlText w:val=""/>
      <w:lvlJc w:val="left"/>
      <w:pPr>
        <w:ind w:left="1068" w:hanging="360"/>
      </w:pPr>
      <w:rPr>
        <w:rFonts w:ascii="Wingdings 2" w:hAnsi="Wingdings 2" w:hint="default"/>
      </w:rPr>
    </w:lvl>
    <w:lvl w:ilvl="2" w:tplc="FFFFFFFF">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6" w15:restartNumberingAfterBreak="0">
    <w:nsid w:val="524F6CEE"/>
    <w:multiLevelType w:val="hybridMultilevel"/>
    <w:tmpl w:val="93A6BAFC"/>
    <w:lvl w:ilvl="0" w:tplc="040C0003">
      <w:start w:val="1"/>
      <w:numFmt w:val="bullet"/>
      <w:lvlText w:val="o"/>
      <w:lvlJc w:val="left"/>
      <w:pPr>
        <w:ind w:left="1788" w:hanging="360"/>
      </w:pPr>
      <w:rPr>
        <w:rFonts w:ascii="Courier New" w:hAnsi="Courier New" w:cs="Courier New" w:hint="default"/>
      </w:rPr>
    </w:lvl>
    <w:lvl w:ilvl="1" w:tplc="040C0003">
      <w:start w:val="1"/>
      <w:numFmt w:val="bullet"/>
      <w:lvlText w:val="o"/>
      <w:lvlJc w:val="left"/>
      <w:pPr>
        <w:ind w:left="2508" w:hanging="360"/>
      </w:pPr>
      <w:rPr>
        <w:rFonts w:ascii="Courier New" w:hAnsi="Courier New" w:cs="Courier New" w:hint="default"/>
      </w:rPr>
    </w:lvl>
    <w:lvl w:ilvl="2" w:tplc="040C0005">
      <w:start w:val="1"/>
      <w:numFmt w:val="bullet"/>
      <w:lvlText w:val=""/>
      <w:lvlJc w:val="left"/>
      <w:pPr>
        <w:ind w:left="3228" w:hanging="360"/>
      </w:pPr>
      <w:rPr>
        <w:rFonts w:ascii="Wingdings" w:hAnsi="Wingdings" w:hint="default"/>
      </w:rPr>
    </w:lvl>
    <w:lvl w:ilvl="3" w:tplc="EABCE52C">
      <w:numFmt w:val="bullet"/>
      <w:lvlText w:val="-"/>
      <w:lvlJc w:val="left"/>
      <w:pPr>
        <w:ind w:left="3948" w:hanging="360"/>
      </w:pPr>
      <w:rPr>
        <w:rFonts w:ascii="Trebuchet MS" w:eastAsiaTheme="minorHAnsi" w:hAnsi="Trebuchet MS" w:cs="Aria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7" w15:restartNumberingAfterBreak="0">
    <w:nsid w:val="54AB785D"/>
    <w:multiLevelType w:val="hybridMultilevel"/>
    <w:tmpl w:val="5BA41F22"/>
    <w:lvl w:ilvl="0" w:tplc="BCD27F9A">
      <w:start w:val="1"/>
      <w:numFmt w:val="bullet"/>
      <w:pStyle w:val="Texte2"/>
      <w:lvlText w:val=""/>
      <w:lvlJc w:val="left"/>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0C0003">
      <w:start w:val="1"/>
      <w:numFmt w:val="bullet"/>
      <w:lvlText w:val="o"/>
      <w:lvlJc w:val="left"/>
      <w:pPr>
        <w:ind w:left="1363" w:hanging="360"/>
      </w:pPr>
      <w:rPr>
        <w:rFonts w:ascii="Courier New" w:hAnsi="Courier New" w:cs="Courier New" w:hint="default"/>
      </w:rPr>
    </w:lvl>
    <w:lvl w:ilvl="2" w:tplc="040C0005">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8" w15:restartNumberingAfterBreak="0">
    <w:nsid w:val="561074CE"/>
    <w:multiLevelType w:val="hybridMultilevel"/>
    <w:tmpl w:val="57C82818"/>
    <w:lvl w:ilvl="0" w:tplc="1CB6F05E">
      <w:start w:val="1"/>
      <w:numFmt w:val="bullet"/>
      <w:lvlText w:val=""/>
      <w:lvlJc w:val="left"/>
      <w:pPr>
        <w:ind w:left="1068" w:hanging="360"/>
      </w:pPr>
      <w:rPr>
        <w:rFonts w:ascii="Wingdings 2" w:hAnsi="Wingdings 2"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63F330BD"/>
    <w:multiLevelType w:val="hybridMultilevel"/>
    <w:tmpl w:val="FEA48FE8"/>
    <w:lvl w:ilvl="0" w:tplc="1CB6F05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51C3A87"/>
    <w:multiLevelType w:val="hybridMultilevel"/>
    <w:tmpl w:val="BF281B4C"/>
    <w:lvl w:ilvl="0" w:tplc="FFFFFFFF">
      <w:start w:val="1"/>
      <w:numFmt w:val="bullet"/>
      <w:lvlText w:val=""/>
      <w:lvlJc w:val="left"/>
      <w:pPr>
        <w:ind w:left="720" w:hanging="360"/>
      </w:pPr>
      <w:rPr>
        <w:rFonts w:ascii="Wingdings" w:hAnsi="Wingdings" w:hint="default"/>
      </w:rPr>
    </w:lvl>
    <w:lvl w:ilvl="1" w:tplc="1CB6F05E">
      <w:start w:val="1"/>
      <w:numFmt w:val="bullet"/>
      <w:lvlText w:val=""/>
      <w:lvlJc w:val="left"/>
      <w:pPr>
        <w:ind w:left="1440" w:hanging="360"/>
      </w:pPr>
      <w:rPr>
        <w:rFonts w:ascii="Wingdings 2" w:hAnsi="Wingdings 2"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6994786"/>
    <w:multiLevelType w:val="hybridMultilevel"/>
    <w:tmpl w:val="3934DEC4"/>
    <w:lvl w:ilvl="0" w:tplc="1CB6F05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130F51"/>
    <w:multiLevelType w:val="hybridMultilevel"/>
    <w:tmpl w:val="AE767A30"/>
    <w:lvl w:ilvl="0" w:tplc="16D68D08">
      <w:start w:val="1"/>
      <w:numFmt w:val="bullet"/>
      <w:lvlText w:val="−"/>
      <w:lvlJc w:val="left"/>
      <w:pPr>
        <w:tabs>
          <w:tab w:val="num" w:pos="1068"/>
        </w:tabs>
        <w:ind w:left="1068" w:hanging="360"/>
      </w:pPr>
      <w:rPr>
        <w:rFonts w:ascii="Arial" w:hAnsi="Arial" w:hint="default"/>
        <w:b/>
        <w:i w:val="0"/>
        <w:color w:val="auto"/>
        <w:sz w:val="18"/>
        <w:szCs w:val="18"/>
      </w:rPr>
    </w:lvl>
    <w:lvl w:ilvl="1" w:tplc="040C0003">
      <w:start w:val="1"/>
      <w:numFmt w:val="bullet"/>
      <w:lvlText w:val="o"/>
      <w:lvlJc w:val="left"/>
      <w:pPr>
        <w:tabs>
          <w:tab w:val="num" w:pos="1788"/>
        </w:tabs>
        <w:ind w:left="1788" w:hanging="360"/>
      </w:pPr>
      <w:rPr>
        <w:rFonts w:ascii="Courier New" w:hAnsi="Courier New" w:cs="Courier New" w:hint="default"/>
      </w:rPr>
    </w:lvl>
    <w:lvl w:ilvl="2" w:tplc="040C0005">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33" w15:restartNumberingAfterBreak="0">
    <w:nsid w:val="671C79C1"/>
    <w:multiLevelType w:val="hybridMultilevel"/>
    <w:tmpl w:val="6916CFA8"/>
    <w:lvl w:ilvl="0" w:tplc="8A242308">
      <w:start w:val="1"/>
      <w:numFmt w:val="bullet"/>
      <w:pStyle w:val="Style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7782A7F"/>
    <w:multiLevelType w:val="hybridMultilevel"/>
    <w:tmpl w:val="8724D462"/>
    <w:lvl w:ilvl="0" w:tplc="FFFFFFFF">
      <w:start w:val="1"/>
      <w:numFmt w:val="bullet"/>
      <w:lvlText w:val=""/>
      <w:lvlJc w:val="left"/>
      <w:pPr>
        <w:ind w:left="360" w:hanging="360"/>
      </w:pPr>
      <w:rPr>
        <w:rFonts w:ascii="Symbol" w:hAnsi="Symbol" w:hint="default"/>
      </w:rPr>
    </w:lvl>
    <w:lvl w:ilvl="1" w:tplc="1CB6F05E">
      <w:start w:val="1"/>
      <w:numFmt w:val="bullet"/>
      <w:lvlText w:val=""/>
      <w:lvlJc w:val="left"/>
      <w:pPr>
        <w:ind w:left="720" w:hanging="360"/>
      </w:pPr>
      <w:rPr>
        <w:rFonts w:ascii="Wingdings 2" w:hAnsi="Wingdings 2"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7892E7A"/>
    <w:multiLevelType w:val="hybridMultilevel"/>
    <w:tmpl w:val="87762A5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BD51000"/>
    <w:multiLevelType w:val="multilevel"/>
    <w:tmpl w:val="47C249C0"/>
    <w:lvl w:ilvl="0">
      <w:start w:val="1"/>
      <w:numFmt w:val="decimal"/>
      <w:lvlText w:val="%1."/>
      <w:lvlJc w:val="left"/>
      <w:pPr>
        <w:ind w:left="360" w:hanging="360"/>
      </w:pPr>
      <w:rPr>
        <w:rFonts w:hint="default"/>
        <w:i w:val="0"/>
        <w:iCs/>
        <w:color w:val="FFFFFF" w:themeColor="background1"/>
      </w:rPr>
    </w:lvl>
    <w:lvl w:ilvl="1">
      <w:start w:val="1"/>
      <w:numFmt w:val="decimal"/>
      <w:pStyle w:val="Titre11"/>
      <w:isLgl/>
      <w:lvlText w:val="%1.%2"/>
      <w:lvlJc w:val="left"/>
      <w:pPr>
        <w:ind w:left="1212" w:hanging="360"/>
      </w:pPr>
      <w:rPr>
        <w:rFonts w:hint="default"/>
        <w:i w:val="0"/>
        <w:iCs w:val="0"/>
        <w:color w:val="FFFFFF" w:themeColor="background1"/>
      </w:rPr>
    </w:lvl>
    <w:lvl w:ilvl="2">
      <w:start w:val="1"/>
      <w:numFmt w:val="decimal"/>
      <w:pStyle w:val="Titre30"/>
      <w:isLgl/>
      <w:lvlText w:val="%1.%2.%3"/>
      <w:lvlJc w:val="left"/>
      <w:pPr>
        <w:ind w:left="2424" w:hanging="720"/>
      </w:pPr>
      <w:rPr>
        <w:rFonts w:hint="default"/>
        <w:color w:val="000000" w:themeColor="text1"/>
      </w:rPr>
    </w:lvl>
    <w:lvl w:ilvl="3">
      <w:start w:val="1"/>
      <w:numFmt w:val="decimal"/>
      <w:pStyle w:val="Titre40"/>
      <w:isLgl/>
      <w:lvlText w:val="%1.%2.%3.%4"/>
      <w:lvlJc w:val="left"/>
      <w:pPr>
        <w:ind w:left="3276" w:hanging="720"/>
      </w:pPr>
      <w:rPr>
        <w:rFonts w:hint="default"/>
      </w:rPr>
    </w:lvl>
    <w:lvl w:ilvl="4">
      <w:start w:val="1"/>
      <w:numFmt w:val="decimal"/>
      <w:isLgl/>
      <w:lvlText w:val="%1.%2.%3.%4.%5"/>
      <w:lvlJc w:val="left"/>
      <w:pPr>
        <w:ind w:left="4488"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552" w:hanging="1440"/>
      </w:pPr>
      <w:rPr>
        <w:rFonts w:hint="default"/>
      </w:rPr>
    </w:lvl>
    <w:lvl w:ilvl="7">
      <w:start w:val="1"/>
      <w:numFmt w:val="decimal"/>
      <w:isLgl/>
      <w:lvlText w:val="%1.%2.%3.%4.%5.%6.%7.%8"/>
      <w:lvlJc w:val="left"/>
      <w:pPr>
        <w:ind w:left="7764" w:hanging="1800"/>
      </w:pPr>
      <w:rPr>
        <w:rFonts w:hint="default"/>
      </w:rPr>
    </w:lvl>
    <w:lvl w:ilvl="8">
      <w:start w:val="1"/>
      <w:numFmt w:val="decimal"/>
      <w:isLgl/>
      <w:lvlText w:val="%1.%2.%3.%4.%5.%6.%7.%8.%9"/>
      <w:lvlJc w:val="left"/>
      <w:pPr>
        <w:ind w:left="8616" w:hanging="1800"/>
      </w:pPr>
      <w:rPr>
        <w:rFonts w:hint="default"/>
      </w:rPr>
    </w:lvl>
  </w:abstractNum>
  <w:abstractNum w:abstractNumId="37" w15:restartNumberingAfterBreak="0">
    <w:nsid w:val="72A45530"/>
    <w:multiLevelType w:val="hybridMultilevel"/>
    <w:tmpl w:val="BBD0AD08"/>
    <w:lvl w:ilvl="0" w:tplc="1CB6F05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6E3239B"/>
    <w:multiLevelType w:val="hybridMultilevel"/>
    <w:tmpl w:val="6868C01A"/>
    <w:lvl w:ilvl="0" w:tplc="1CB6F05E">
      <w:start w:val="1"/>
      <w:numFmt w:val="bullet"/>
      <w:lvlText w:val=""/>
      <w:lvlJc w:val="left"/>
      <w:pPr>
        <w:ind w:left="1440" w:hanging="360"/>
      </w:pPr>
      <w:rPr>
        <w:rFonts w:ascii="Wingdings 2" w:hAnsi="Wingdings 2"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9" w15:restartNumberingAfterBreak="0">
    <w:nsid w:val="7F511453"/>
    <w:multiLevelType w:val="hybridMultilevel"/>
    <w:tmpl w:val="2D9AEBE4"/>
    <w:lvl w:ilvl="0" w:tplc="348C2CAE">
      <w:start w:val="1"/>
      <w:numFmt w:val="decimal"/>
      <w:pStyle w:val="aaQ"/>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F692767"/>
    <w:multiLevelType w:val="hybridMultilevel"/>
    <w:tmpl w:val="FA649AEC"/>
    <w:lvl w:ilvl="0" w:tplc="F4006332">
      <w:start w:val="1"/>
      <w:numFmt w:val="decimal"/>
      <w:pStyle w:val="pointscls10"/>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76450999">
    <w:abstractNumId w:val="3"/>
  </w:num>
  <w:num w:numId="2" w16cid:durableId="1579822130">
    <w:abstractNumId w:val="11"/>
  </w:num>
  <w:num w:numId="3" w16cid:durableId="2103211215">
    <w:abstractNumId w:val="40"/>
  </w:num>
  <w:num w:numId="4" w16cid:durableId="762844049">
    <w:abstractNumId w:val="21"/>
  </w:num>
  <w:num w:numId="5" w16cid:durableId="1221407569">
    <w:abstractNumId w:val="33"/>
  </w:num>
  <w:num w:numId="6" w16cid:durableId="891582242">
    <w:abstractNumId w:val="9"/>
  </w:num>
  <w:num w:numId="7" w16cid:durableId="756252454">
    <w:abstractNumId w:val="16"/>
  </w:num>
  <w:num w:numId="8" w16cid:durableId="416369859">
    <w:abstractNumId w:val="11"/>
    <w:lvlOverride w:ilvl="0">
      <w:startOverride w:val="1"/>
    </w:lvlOverride>
  </w:num>
  <w:num w:numId="9" w16cid:durableId="2107769036">
    <w:abstractNumId w:val="36"/>
  </w:num>
  <w:num w:numId="10" w16cid:durableId="134563620">
    <w:abstractNumId w:val="32"/>
  </w:num>
  <w:num w:numId="11" w16cid:durableId="1550023422">
    <w:abstractNumId w:val="28"/>
  </w:num>
  <w:num w:numId="12" w16cid:durableId="2123375369">
    <w:abstractNumId w:val="18"/>
  </w:num>
  <w:num w:numId="13" w16cid:durableId="743794503">
    <w:abstractNumId w:val="31"/>
  </w:num>
  <w:num w:numId="14" w16cid:durableId="524711205">
    <w:abstractNumId w:val="15"/>
  </w:num>
  <w:num w:numId="15" w16cid:durableId="395982222">
    <w:abstractNumId w:val="34"/>
  </w:num>
  <w:num w:numId="16" w16cid:durableId="384333229">
    <w:abstractNumId w:val="26"/>
  </w:num>
  <w:num w:numId="17" w16cid:durableId="1476143157">
    <w:abstractNumId w:val="19"/>
  </w:num>
  <w:num w:numId="18" w16cid:durableId="309017030">
    <w:abstractNumId w:val="6"/>
  </w:num>
  <w:num w:numId="19" w16cid:durableId="538515382">
    <w:abstractNumId w:val="11"/>
    <w:lvlOverride w:ilvl="0">
      <w:startOverride w:val="1"/>
    </w:lvlOverride>
  </w:num>
  <w:num w:numId="20" w16cid:durableId="742221053">
    <w:abstractNumId w:val="8"/>
  </w:num>
  <w:num w:numId="21" w16cid:durableId="350686944">
    <w:abstractNumId w:val="20"/>
  </w:num>
  <w:num w:numId="22" w16cid:durableId="717360837">
    <w:abstractNumId w:val="23"/>
  </w:num>
  <w:num w:numId="23" w16cid:durableId="1873152885">
    <w:abstractNumId w:val="17"/>
  </w:num>
  <w:num w:numId="24" w16cid:durableId="500584087">
    <w:abstractNumId w:val="38"/>
  </w:num>
  <w:num w:numId="25" w16cid:durableId="527911312">
    <w:abstractNumId w:val="30"/>
  </w:num>
  <w:num w:numId="26" w16cid:durableId="718016995">
    <w:abstractNumId w:val="0"/>
  </w:num>
  <w:num w:numId="27" w16cid:durableId="1921256239">
    <w:abstractNumId w:val="22"/>
  </w:num>
  <w:num w:numId="28" w16cid:durableId="1569996473">
    <w:abstractNumId w:val="24"/>
  </w:num>
  <w:num w:numId="29" w16cid:durableId="164592556">
    <w:abstractNumId w:val="7"/>
  </w:num>
  <w:num w:numId="30" w16cid:durableId="629164859">
    <w:abstractNumId w:val="25"/>
  </w:num>
  <w:num w:numId="31" w16cid:durableId="111754138">
    <w:abstractNumId w:val="4"/>
  </w:num>
  <w:num w:numId="32" w16cid:durableId="794828807">
    <w:abstractNumId w:val="1"/>
  </w:num>
  <w:num w:numId="33" w16cid:durableId="627051304">
    <w:abstractNumId w:val="5"/>
  </w:num>
  <w:num w:numId="34" w16cid:durableId="1101492921">
    <w:abstractNumId w:val="29"/>
  </w:num>
  <w:num w:numId="35" w16cid:durableId="1408307950">
    <w:abstractNumId w:val="37"/>
  </w:num>
  <w:num w:numId="36" w16cid:durableId="626816622">
    <w:abstractNumId w:val="12"/>
  </w:num>
  <w:num w:numId="37" w16cid:durableId="1811627049">
    <w:abstractNumId w:val="14"/>
  </w:num>
  <w:num w:numId="38" w16cid:durableId="1759446137">
    <w:abstractNumId w:val="27"/>
  </w:num>
  <w:num w:numId="39" w16cid:durableId="1652825434">
    <w:abstractNumId w:val="39"/>
  </w:num>
  <w:num w:numId="40" w16cid:durableId="173345952">
    <w:abstractNumId w:val="13"/>
  </w:num>
  <w:num w:numId="41" w16cid:durableId="2114280494">
    <w:abstractNumId w:val="2"/>
  </w:num>
  <w:num w:numId="42" w16cid:durableId="382296046">
    <w:abstractNumId w:val="35"/>
  </w:num>
  <w:num w:numId="43" w16cid:durableId="167672156">
    <w:abstractNumId w:val="10"/>
  </w:num>
  <w:num w:numId="44" w16cid:durableId="826171178">
    <w:abstractNumId w:val="39"/>
    <w:lvlOverride w:ilvl="0">
      <w:startOverride w:val="1"/>
    </w:lvlOverride>
  </w:num>
  <w:num w:numId="45" w16cid:durableId="1225877158">
    <w:abstractNumId w:val="39"/>
    <w:lvlOverride w:ilvl="0">
      <w:startOverride w:val="1"/>
    </w:lvlOverride>
  </w:num>
  <w:numIdMacAtCleanup w:val="4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83536"/>
    <w:rsid w:val="000B56A5"/>
    <w:rsid w:val="000E568F"/>
    <w:rsid w:val="0010541F"/>
    <w:rsid w:val="00114750"/>
    <w:rsid w:val="00197D58"/>
    <w:rsid w:val="001C54DE"/>
    <w:rsid w:val="001D386C"/>
    <w:rsid w:val="00213838"/>
    <w:rsid w:val="00236555"/>
    <w:rsid w:val="0026545F"/>
    <w:rsid w:val="002C5A5E"/>
    <w:rsid w:val="002C7C57"/>
    <w:rsid w:val="002F6315"/>
    <w:rsid w:val="00306201"/>
    <w:rsid w:val="00362251"/>
    <w:rsid w:val="003720F8"/>
    <w:rsid w:val="00375B9C"/>
    <w:rsid w:val="003C3137"/>
    <w:rsid w:val="003E5332"/>
    <w:rsid w:val="004278AD"/>
    <w:rsid w:val="00447337"/>
    <w:rsid w:val="00454A58"/>
    <w:rsid w:val="00475741"/>
    <w:rsid w:val="004A3D1B"/>
    <w:rsid w:val="005645B3"/>
    <w:rsid w:val="0059232D"/>
    <w:rsid w:val="005B6A3A"/>
    <w:rsid w:val="005F7E87"/>
    <w:rsid w:val="006009FC"/>
    <w:rsid w:val="00614CBE"/>
    <w:rsid w:val="0065543A"/>
    <w:rsid w:val="00665E5D"/>
    <w:rsid w:val="00696E6A"/>
    <w:rsid w:val="00711BBF"/>
    <w:rsid w:val="0074122C"/>
    <w:rsid w:val="0082796C"/>
    <w:rsid w:val="0087650C"/>
    <w:rsid w:val="00876EF8"/>
    <w:rsid w:val="0088205E"/>
    <w:rsid w:val="008B41F0"/>
    <w:rsid w:val="008D0B6D"/>
    <w:rsid w:val="00907A92"/>
    <w:rsid w:val="00930986"/>
    <w:rsid w:val="00995C77"/>
    <w:rsid w:val="00A35784"/>
    <w:rsid w:val="00A65C23"/>
    <w:rsid w:val="00AA6667"/>
    <w:rsid w:val="00AC56AB"/>
    <w:rsid w:val="00AF2941"/>
    <w:rsid w:val="00B62D23"/>
    <w:rsid w:val="00B9555C"/>
    <w:rsid w:val="00BC5580"/>
    <w:rsid w:val="00BE1ECC"/>
    <w:rsid w:val="00C2589B"/>
    <w:rsid w:val="00C65E3C"/>
    <w:rsid w:val="00C8767D"/>
    <w:rsid w:val="00CC4FD4"/>
    <w:rsid w:val="00D12181"/>
    <w:rsid w:val="00D373BC"/>
    <w:rsid w:val="00D4011F"/>
    <w:rsid w:val="00D55DF5"/>
    <w:rsid w:val="00E22E24"/>
    <w:rsid w:val="00E420F7"/>
    <w:rsid w:val="00E54D0A"/>
    <w:rsid w:val="00E84981"/>
    <w:rsid w:val="00EC1890"/>
    <w:rsid w:val="00ED0F5F"/>
    <w:rsid w:val="00EE0D03"/>
    <w:rsid w:val="00F75368"/>
    <w:rsid w:val="00F90151"/>
    <w:rsid w:val="00FB18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basedOn w:val="Normal"/>
    <w:next w:val="Normal"/>
    <w:link w:val="Titre5Car"/>
    <w:uiPriority w:val="9"/>
    <w:semiHidden/>
    <w:unhideWhenUsed/>
    <w:qFormat/>
    <w:rsid w:val="00876EF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basedOn w:val="Policepardfaut"/>
    <w:link w:val="Titre5"/>
    <w:uiPriority w:val="9"/>
    <w:semiHidden/>
    <w:rsid w:val="00876EF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0">
    <w:name w:val="points clés 1"/>
    <w:basedOn w:val="Normal"/>
    <w:link w:val="pointscls1Car"/>
    <w:qFormat/>
    <w:rsid w:val="00930986"/>
    <w:pPr>
      <w:numPr>
        <w:numId w:val="3"/>
      </w:numPr>
      <w:pBdr>
        <w:top w:val="single" w:sz="4" w:space="1" w:color="2E74B5"/>
        <w:left w:val="single" w:sz="4" w:space="4" w:color="2E74B5"/>
        <w:bottom w:val="single" w:sz="4" w:space="0" w:color="2E74B5"/>
        <w:right w:val="single" w:sz="4" w:space="4" w:color="2E74B5"/>
        <w:between w:val="nil"/>
      </w:pBdr>
      <w:spacing w:before="40" w:line="240" w:lineRule="auto"/>
      <w:ind w:left="426" w:right="141" w:hanging="284"/>
    </w:pPr>
    <w:rPr>
      <w:sz w:val="18"/>
      <w:szCs w:val="18"/>
    </w:rPr>
  </w:style>
  <w:style w:type="character" w:customStyle="1" w:styleId="pointscls1Car">
    <w:name w:val="points clés 1 Car"/>
    <w:basedOn w:val="Policepardfaut"/>
    <w:link w:val="pointscls10"/>
    <w:rsid w:val="00930986"/>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1"/>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Trebuchet MS" w:eastAsia="Trebuchet MS" w:hAnsi="Trebuchet MS" w:cs="Trebuchet MS"/>
      <w:color w:val="000000"/>
      <w:kern w:val="0"/>
      <w:szCs w:val="20"/>
      <w:lang w:val="fr" w:eastAsia="fr-FR"/>
      <w14:ligatures w14:val="none"/>
    </w:rPr>
  </w:style>
  <w:style w:type="paragraph" w:customStyle="1" w:styleId="Titreditem">
    <w:name w:val="Titre d'item"/>
    <w:basedOn w:val="Normal"/>
    <w:link w:val="TitreditemCar"/>
    <w:rsid w:val="006009FC"/>
    <w:pPr>
      <w:spacing w:after="160"/>
    </w:pPr>
    <w:rPr>
      <w:rFonts w:eastAsia="Times New Roman" w:cs="Times New Roman"/>
      <w:b/>
      <w:color w:val="2E74B5"/>
      <w:sz w:val="44"/>
      <w:szCs w:val="50"/>
      <w:lang w:val="fr-FR"/>
    </w:rPr>
  </w:style>
  <w:style w:type="character" w:customStyle="1" w:styleId="TitreditemCar">
    <w:name w:val="Titre d'item Car"/>
    <w:basedOn w:val="Policepardfaut"/>
    <w:link w:val="Titreditem"/>
    <w:rsid w:val="006009FC"/>
    <w:rPr>
      <w:rFonts w:ascii="Trebuchet MS" w:eastAsia="Times New Roman" w:hAnsi="Trebuchet MS" w:cs="Times New Roman"/>
      <w:b/>
      <w:color w:val="2E74B5"/>
      <w:kern w:val="0"/>
      <w:sz w:val="44"/>
      <w:szCs w:val="50"/>
      <w:lang w:eastAsia="fr-FR"/>
      <w14:ligatures w14:val="none"/>
    </w:rPr>
  </w:style>
  <w:style w:type="paragraph" w:customStyle="1" w:styleId="Style1">
    <w:name w:val="Style1"/>
    <w:basedOn w:val="Normal"/>
    <w:rsid w:val="006009FC"/>
    <w:pPr>
      <w:numPr>
        <w:numId w:val="5"/>
      </w:numPr>
      <w:spacing w:after="160"/>
    </w:pPr>
    <w:rPr>
      <w:rFonts w:eastAsiaTheme="minorHAnsi" w:cs="Calibri"/>
      <w:color w:val="auto"/>
      <w:kern w:val="2"/>
      <w:szCs w:val="22"/>
      <w:lang w:val="fr-FR" w:eastAsia="en-US"/>
      <w14:ligatures w14:val="standardContextual"/>
    </w:rPr>
  </w:style>
  <w:style w:type="paragraph" w:customStyle="1" w:styleId="PointsCls1">
    <w:name w:val="PointsClés1"/>
    <w:link w:val="PointsCls1Car0"/>
    <w:rsid w:val="006009FC"/>
    <w:pPr>
      <w:numPr>
        <w:numId w:val="6"/>
      </w:numPr>
      <w:pBdr>
        <w:top w:val="single" w:sz="4" w:space="1" w:color="2E74B5"/>
        <w:left w:val="single" w:sz="4" w:space="4" w:color="2E74B5"/>
        <w:bottom w:val="single" w:sz="4" w:space="1" w:color="2E74B5"/>
        <w:right w:val="single" w:sz="4" w:space="4" w:color="2E74B5"/>
      </w:pBdr>
      <w:spacing w:before="40" w:after="0" w:line="200" w:lineRule="exact"/>
      <w:ind w:left="426" w:right="140" w:hanging="284"/>
      <w:jc w:val="both"/>
    </w:pPr>
    <w:rPr>
      <w:rFonts w:ascii="Trebuchet MS" w:eastAsia="Times New Roman" w:hAnsi="Trebuchet MS" w:cs="Arial"/>
      <w:kern w:val="0"/>
      <w:sz w:val="18"/>
      <w:lang w:eastAsia="ja-JP"/>
      <w14:ligatures w14:val="none"/>
    </w:rPr>
  </w:style>
  <w:style w:type="character" w:customStyle="1" w:styleId="PointsCls1Car0">
    <w:name w:val="PointsClés1 Car"/>
    <w:basedOn w:val="Policepardfaut"/>
    <w:link w:val="PointsCls1"/>
    <w:rsid w:val="006009FC"/>
    <w:rPr>
      <w:rFonts w:ascii="Trebuchet MS" w:eastAsia="Times New Roman" w:hAnsi="Trebuchet MS" w:cs="Arial"/>
      <w:kern w:val="0"/>
      <w:sz w:val="18"/>
      <w:lang w:eastAsia="ja-JP"/>
      <w14:ligatures w14:val="none"/>
    </w:rPr>
  </w:style>
  <w:style w:type="paragraph" w:customStyle="1" w:styleId="Lgende1">
    <w:name w:val="Légende1"/>
    <w:basedOn w:val="Corpsdetexte"/>
    <w:link w:val="Lgende1Car"/>
    <w:rsid w:val="005F7E87"/>
    <w:pPr>
      <w:autoSpaceDE w:val="0"/>
      <w:autoSpaceDN w:val="0"/>
      <w:spacing w:after="0" w:line="276" w:lineRule="auto"/>
    </w:pPr>
    <w:rPr>
      <w:rFonts w:ascii="Arial" w:eastAsia="Times New Roman" w:hAnsi="Arial" w:cs="Arial"/>
      <w:bCs/>
      <w:color w:val="000000" w:themeColor="text1"/>
      <w:sz w:val="18"/>
      <w:szCs w:val="18"/>
      <w:lang w:bidi="he-IL"/>
    </w:rPr>
  </w:style>
  <w:style w:type="character" w:customStyle="1" w:styleId="Lgende1Car">
    <w:name w:val="Légende1 Car"/>
    <w:basedOn w:val="CorpsdetexteCar"/>
    <w:link w:val="Lgende1"/>
    <w:rsid w:val="005F7E87"/>
    <w:rPr>
      <w:rFonts w:ascii="Arial" w:eastAsia="Times New Roman" w:hAnsi="Arial" w:cs="Arial"/>
      <w:bCs/>
      <w:color w:val="000000" w:themeColor="text1"/>
      <w:kern w:val="0"/>
      <w:sz w:val="18"/>
      <w:szCs w:val="18"/>
      <w:lang w:val="fr" w:eastAsia="fr-FR" w:bidi="he-IL"/>
      <w14:ligatures w14:val="none"/>
    </w:rPr>
  </w:style>
  <w:style w:type="paragraph" w:styleId="Corpsdetexte">
    <w:name w:val="Body Text"/>
    <w:basedOn w:val="Normal"/>
    <w:link w:val="CorpsdetexteCar"/>
    <w:uiPriority w:val="99"/>
    <w:semiHidden/>
    <w:unhideWhenUsed/>
    <w:rsid w:val="005F7E87"/>
    <w:pPr>
      <w:spacing w:after="120"/>
    </w:pPr>
  </w:style>
  <w:style w:type="character" w:customStyle="1" w:styleId="CorpsdetexteCar">
    <w:name w:val="Corps de texte Car"/>
    <w:basedOn w:val="Policepardfaut"/>
    <w:link w:val="Corpsdetexte"/>
    <w:uiPriority w:val="99"/>
    <w:semiHidden/>
    <w:rsid w:val="005F7E87"/>
    <w:rPr>
      <w:rFonts w:ascii="Trebuchet MS" w:eastAsia="Trebuchet MS" w:hAnsi="Trebuchet MS" w:cs="Trebuchet MS"/>
      <w:color w:val="000000"/>
      <w:kern w:val="0"/>
      <w:szCs w:val="20"/>
      <w:lang w:val="fr" w:eastAsia="fr-FR"/>
      <w14:ligatures w14:val="none"/>
    </w:rPr>
  </w:style>
  <w:style w:type="paragraph" w:customStyle="1" w:styleId="TITRE1GRAS">
    <w:name w:val="TITRE1GRAS"/>
    <w:basedOn w:val="Normal"/>
    <w:link w:val="TITRE1GRASCar"/>
    <w:rsid w:val="005F7E87"/>
    <w:pPr>
      <w:numPr>
        <w:numId w:val="7"/>
      </w:numPr>
      <w:spacing w:after="240"/>
      <w:jc w:val="left"/>
    </w:pPr>
    <w:rPr>
      <w:rFonts w:eastAsia="Times New Roman" w:cs="Arial"/>
      <w:b/>
      <w:bCs/>
      <w:color w:val="000000" w:themeColor="text1"/>
      <w:lang w:val="fr-FR" w:bidi="he-IL"/>
    </w:rPr>
  </w:style>
  <w:style w:type="character" w:customStyle="1" w:styleId="TITRE1GRASCar">
    <w:name w:val="TITRE1GRAS Car"/>
    <w:basedOn w:val="Policepardfaut"/>
    <w:link w:val="TITRE1GRAS"/>
    <w:rsid w:val="005F7E87"/>
    <w:rPr>
      <w:rFonts w:ascii="Trebuchet MS" w:eastAsia="Times New Roman" w:hAnsi="Trebuchet MS" w:cs="Arial"/>
      <w:b/>
      <w:bCs/>
      <w:color w:val="000000" w:themeColor="text1"/>
      <w:kern w:val="0"/>
      <w:szCs w:val="20"/>
      <w:lang w:eastAsia="fr-FR" w:bidi="he-IL"/>
      <w14:ligatures w14:val="none"/>
    </w:rPr>
  </w:style>
  <w:style w:type="table" w:styleId="Grilledutableau">
    <w:name w:val="Table Grid"/>
    <w:basedOn w:val="TableauNormal"/>
    <w:rsid w:val="005F7E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1">
    <w:name w:val="Titre1.1"/>
    <w:basedOn w:val="Corpsdetexte"/>
    <w:link w:val="Titre11Car"/>
    <w:rsid w:val="005F7E87"/>
    <w:pPr>
      <w:numPr>
        <w:ilvl w:val="1"/>
        <w:numId w:val="9"/>
      </w:numPr>
      <w:shd w:val="clear" w:color="auto" w:fill="5C9CD6"/>
      <w:autoSpaceDE w:val="0"/>
      <w:autoSpaceDN w:val="0"/>
      <w:spacing w:after="240" w:line="240" w:lineRule="auto"/>
      <w:ind w:left="426" w:hanging="284"/>
    </w:pPr>
    <w:rPr>
      <w:rFonts w:eastAsia="Times New Roman" w:cs="Arial"/>
      <w:b/>
      <w:bCs/>
      <w:caps/>
      <w:noProof/>
      <w:color w:val="FFFFFF" w:themeColor="background1"/>
      <w:sz w:val="24"/>
      <w:szCs w:val="24"/>
      <w:lang w:val="fr-FR" w:bidi="he-IL"/>
    </w:rPr>
  </w:style>
  <w:style w:type="paragraph" w:customStyle="1" w:styleId="Titre30">
    <w:name w:val="Titre3"/>
    <w:next w:val="Titre40"/>
    <w:link w:val="Titre3Car0"/>
    <w:rsid w:val="005F7E87"/>
    <w:pPr>
      <w:numPr>
        <w:ilvl w:val="2"/>
        <w:numId w:val="9"/>
      </w:numPr>
      <w:spacing w:after="240"/>
      <w:ind w:left="993" w:hanging="709"/>
    </w:pPr>
    <w:rPr>
      <w:rFonts w:ascii="Trebuchet MS" w:eastAsia="Times New Roman" w:hAnsi="Trebuchet MS" w:cs="Arial"/>
      <w:b/>
      <w:bCs/>
      <w:color w:val="000000" w:themeColor="text1"/>
      <w:kern w:val="0"/>
      <w:szCs w:val="20"/>
      <w:lang w:eastAsia="fr-FR" w:bidi="he-IL"/>
      <w14:ligatures w14:val="none"/>
    </w:rPr>
  </w:style>
  <w:style w:type="character" w:customStyle="1" w:styleId="Titre3Car0">
    <w:name w:val="Titre3 Car"/>
    <w:basedOn w:val="Policepardfaut"/>
    <w:link w:val="Titre30"/>
    <w:rsid w:val="005F7E87"/>
    <w:rPr>
      <w:rFonts w:ascii="Trebuchet MS" w:eastAsia="Times New Roman" w:hAnsi="Trebuchet MS" w:cs="Arial"/>
      <w:b/>
      <w:bCs/>
      <w:color w:val="000000" w:themeColor="text1"/>
      <w:kern w:val="0"/>
      <w:szCs w:val="20"/>
      <w:lang w:eastAsia="fr-FR" w:bidi="he-IL"/>
      <w14:ligatures w14:val="none"/>
    </w:rPr>
  </w:style>
  <w:style w:type="paragraph" w:customStyle="1" w:styleId="Titre40">
    <w:name w:val="Titre4"/>
    <w:basedOn w:val="Paragraphedeliste"/>
    <w:link w:val="Titre4Car0"/>
    <w:rsid w:val="005F7E87"/>
    <w:pPr>
      <w:numPr>
        <w:ilvl w:val="3"/>
        <w:numId w:val="9"/>
      </w:numPr>
      <w:spacing w:after="240"/>
      <w:ind w:left="1276" w:hanging="850"/>
    </w:pPr>
    <w:rPr>
      <w:rFonts w:eastAsia="Times New Roman" w:cs="Arial"/>
      <w:b/>
      <w:bCs/>
      <w:color w:val="000000" w:themeColor="text1"/>
      <w:lang w:val="fr-FR" w:bidi="he-IL"/>
    </w:rPr>
  </w:style>
  <w:style w:type="table" w:customStyle="1" w:styleId="Grille1">
    <w:name w:val="Grille1"/>
    <w:basedOn w:val="TableauNormal"/>
    <w:next w:val="Grilledutableau"/>
    <w:rsid w:val="00A35784"/>
    <w:pPr>
      <w:spacing w:after="0" w:line="240" w:lineRule="auto"/>
    </w:pPr>
    <w:rPr>
      <w:rFonts w:ascii="Times New Roman" w:eastAsia="Times New Roman" w:hAnsi="Times New Roman" w:cs="Times New Roman"/>
      <w:kern w:val="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1Car">
    <w:name w:val="Titre1.1 Car"/>
    <w:basedOn w:val="CorpsdetexteCar"/>
    <w:link w:val="Titre11"/>
    <w:rsid w:val="003720F8"/>
    <w:rPr>
      <w:rFonts w:ascii="Trebuchet MS" w:eastAsia="Times New Roman" w:hAnsi="Trebuchet MS" w:cs="Arial"/>
      <w:b/>
      <w:bCs/>
      <w:caps/>
      <w:noProof/>
      <w:color w:val="FFFFFF" w:themeColor="background1"/>
      <w:kern w:val="0"/>
      <w:sz w:val="24"/>
      <w:szCs w:val="24"/>
      <w:shd w:val="clear" w:color="auto" w:fill="5C9CD6"/>
      <w:lang w:val="fr" w:eastAsia="fr-FR" w:bidi="he-IL"/>
      <w14:ligatures w14:val="none"/>
    </w:rPr>
  </w:style>
  <w:style w:type="paragraph" w:customStyle="1" w:styleId="Titre10">
    <w:name w:val="Titre1"/>
    <w:basedOn w:val="Normal"/>
    <w:link w:val="Titre1Car0"/>
    <w:rsid w:val="003720F8"/>
    <w:pPr>
      <w:shd w:val="clear" w:color="auto" w:fill="2E74B5"/>
      <w:autoSpaceDE w:val="0"/>
      <w:autoSpaceDN w:val="0"/>
      <w:spacing w:after="240" w:line="276" w:lineRule="auto"/>
      <w:ind w:left="360" w:hanging="360"/>
    </w:pPr>
    <w:rPr>
      <w:rFonts w:cs="Arial"/>
      <w:b/>
      <w:bCs/>
      <w:caps/>
      <w:color w:val="FFFFFF" w:themeColor="background1"/>
      <w:sz w:val="24"/>
      <w:szCs w:val="24"/>
    </w:rPr>
  </w:style>
  <w:style w:type="character" w:customStyle="1" w:styleId="Titre1Car0">
    <w:name w:val="Titre1 Car"/>
    <w:basedOn w:val="CorpsdetexteCar"/>
    <w:link w:val="Titre10"/>
    <w:rsid w:val="003720F8"/>
    <w:rPr>
      <w:rFonts w:ascii="Trebuchet MS" w:eastAsia="Trebuchet MS" w:hAnsi="Trebuchet MS" w:cs="Arial"/>
      <w:b/>
      <w:bCs/>
      <w:caps/>
      <w:color w:val="FFFFFF" w:themeColor="background1"/>
      <w:kern w:val="0"/>
      <w:sz w:val="24"/>
      <w:szCs w:val="24"/>
      <w:shd w:val="clear" w:color="auto" w:fill="2E74B5"/>
      <w:lang w:val="fr" w:eastAsia="fr-FR"/>
      <w14:ligatures w14:val="none"/>
    </w:rPr>
  </w:style>
  <w:style w:type="character" w:customStyle="1" w:styleId="Titre4Car0">
    <w:name w:val="Titre4 Car"/>
    <w:basedOn w:val="CorpsdetexteCar"/>
    <w:link w:val="Titre40"/>
    <w:rsid w:val="003720F8"/>
    <w:rPr>
      <w:rFonts w:ascii="Trebuchet MS" w:eastAsia="Times New Roman" w:hAnsi="Trebuchet MS" w:cs="Arial"/>
      <w:b/>
      <w:bCs/>
      <w:color w:val="000000" w:themeColor="text1"/>
      <w:kern w:val="0"/>
      <w:szCs w:val="20"/>
      <w:lang w:val="fr" w:eastAsia="fr-FR" w:bidi="he-IL"/>
      <w14:ligatures w14:val="none"/>
    </w:rPr>
  </w:style>
  <w:style w:type="paragraph" w:styleId="Objetducommentaire">
    <w:name w:val="annotation subject"/>
    <w:basedOn w:val="Commentaire"/>
    <w:next w:val="Commentaire"/>
    <w:link w:val="ObjetducommentaireCar"/>
    <w:uiPriority w:val="99"/>
    <w:semiHidden/>
    <w:unhideWhenUsed/>
    <w:rsid w:val="0059232D"/>
    <w:rPr>
      <w:b/>
      <w:bCs/>
    </w:rPr>
  </w:style>
  <w:style w:type="character" w:customStyle="1" w:styleId="ObjetducommentaireCar">
    <w:name w:val="Objet du commentaire Car"/>
    <w:basedOn w:val="CommentaireCar"/>
    <w:link w:val="Objetducommentaire"/>
    <w:uiPriority w:val="99"/>
    <w:semiHidden/>
    <w:rsid w:val="0059232D"/>
    <w:rPr>
      <w:rFonts w:ascii="Trebuchet MS" w:eastAsia="Trebuchet MS" w:hAnsi="Trebuchet MS" w:cs="Trebuchet MS"/>
      <w:b/>
      <w:bCs/>
      <w:color w:val="000000"/>
      <w:kern w:val="0"/>
      <w:szCs w:val="20"/>
      <w:lang w:val="fr" w:eastAsia="fr-FR"/>
      <w14:ligatures w14:val="none"/>
    </w:rPr>
  </w:style>
  <w:style w:type="paragraph" w:customStyle="1" w:styleId="PointsCls0">
    <w:name w:val="PointsClés"/>
    <w:basedOn w:val="Titre3"/>
    <w:link w:val="PointsClsCar0"/>
    <w:qFormat/>
    <w:rsid w:val="004278AD"/>
    <w:pPr>
      <w:keepNext/>
      <w:numPr>
        <w:ilvl w:val="2"/>
        <w:numId w:val="0"/>
      </w:numPr>
      <w:tabs>
        <w:tab w:val="left" w:pos="284"/>
      </w:tabs>
      <w:spacing w:before="60" w:after="60" w:line="240" w:lineRule="auto"/>
      <w:contextualSpacing w:val="0"/>
    </w:pPr>
    <w:rPr>
      <w:rFonts w:eastAsiaTheme="majorEastAsia" w:cs="Arial"/>
      <w:color w:val="0F4761" w:themeColor="accent1" w:themeShade="BF"/>
      <w:spacing w:val="-4"/>
      <w:sz w:val="28"/>
    </w:rPr>
  </w:style>
  <w:style w:type="character" w:customStyle="1" w:styleId="PointsClsCar0">
    <w:name w:val="PointsClés Car"/>
    <w:basedOn w:val="Titre3Car"/>
    <w:link w:val="PointsCls0"/>
    <w:rsid w:val="004278AD"/>
    <w:rPr>
      <w:rFonts w:ascii="Trebuchet MS" w:eastAsiaTheme="majorEastAsia" w:hAnsi="Trebuchet MS" w:cs="Arial"/>
      <w:b/>
      <w:bCs/>
      <w:color w:val="0F4761" w:themeColor="accent1" w:themeShade="BF"/>
      <w:spacing w:val="-4"/>
      <w:kern w:val="0"/>
      <w:sz w:val="28"/>
      <w:szCs w:val="20"/>
      <w:lang w:val="fr" w:eastAsia="fr-FR"/>
      <w14:ligatures w14:val="none"/>
    </w:rPr>
  </w:style>
  <w:style w:type="paragraph" w:customStyle="1" w:styleId="Texte2">
    <w:name w:val="Texte2"/>
    <w:basedOn w:val="Normal"/>
    <w:link w:val="Texte2Car"/>
    <w:qFormat/>
    <w:rsid w:val="004278AD"/>
    <w:pPr>
      <w:numPr>
        <w:numId w:val="38"/>
      </w:numPr>
      <w:spacing w:line="240" w:lineRule="auto"/>
      <w:ind w:left="227" w:hanging="227"/>
      <w:contextualSpacing/>
    </w:pPr>
    <w:rPr>
      <w:rFonts w:eastAsia="Calibri" w:cs="Times New Roman"/>
      <w:spacing w:val="-4"/>
      <w:szCs w:val="18"/>
      <w:lang w:val="fr-FR" w:eastAsia="en-US"/>
    </w:rPr>
  </w:style>
  <w:style w:type="character" w:customStyle="1" w:styleId="Texte2Car">
    <w:name w:val="Texte2 Car"/>
    <w:basedOn w:val="Policepardfaut"/>
    <w:link w:val="Texte2"/>
    <w:rsid w:val="004278AD"/>
    <w:rPr>
      <w:rFonts w:ascii="Trebuchet MS" w:eastAsia="Calibri" w:hAnsi="Trebuchet MS" w:cs="Times New Roman"/>
      <w:color w:val="000000"/>
      <w:spacing w:val="-4"/>
      <w:kern w:val="0"/>
      <w:szCs w:val="18"/>
      <w14:ligatures w14:val="none"/>
    </w:rPr>
  </w:style>
  <w:style w:type="paragraph" w:customStyle="1" w:styleId="aaQ">
    <w:name w:val="aaQ"/>
    <w:basedOn w:val="Paragraphedeliste"/>
    <w:link w:val="aaQCar"/>
    <w:qFormat/>
    <w:rsid w:val="004278AD"/>
    <w:pPr>
      <w:numPr>
        <w:numId w:val="39"/>
      </w:numPr>
      <w:spacing w:before="80" w:line="240" w:lineRule="auto"/>
      <w:contextualSpacing w:val="0"/>
      <w:jc w:val="left"/>
    </w:pPr>
    <w:rPr>
      <w:rFonts w:eastAsia="Calibri" w:cstheme="minorHAnsi"/>
      <w:b/>
      <w:bCs/>
      <w:color w:val="000000" w:themeColor="text1"/>
      <w:spacing w:val="-4"/>
    </w:rPr>
  </w:style>
  <w:style w:type="character" w:customStyle="1" w:styleId="aaQCar">
    <w:name w:val="aaQ Car"/>
    <w:basedOn w:val="ParagraphedelisteCar"/>
    <w:link w:val="aaQ"/>
    <w:rsid w:val="004278AD"/>
    <w:rPr>
      <w:rFonts w:ascii="Trebuchet MS" w:eastAsia="Calibri" w:hAnsi="Trebuchet MS" w:cstheme="minorHAnsi"/>
      <w:b/>
      <w:bCs/>
      <w:color w:val="000000" w:themeColor="text1"/>
      <w:spacing w:val="-4"/>
      <w:kern w:val="0"/>
      <w:szCs w:val="20"/>
      <w:lang w:val="fr" w:eastAsia="fr-FR"/>
      <w14:ligatures w14:val="none"/>
    </w:rPr>
  </w:style>
  <w:style w:type="paragraph" w:styleId="En-tte">
    <w:name w:val="header"/>
    <w:aliases w:val="Car"/>
    <w:basedOn w:val="Normal"/>
    <w:link w:val="En-tteCar"/>
    <w:unhideWhenUsed/>
    <w:rsid w:val="004A3D1B"/>
    <w:pPr>
      <w:tabs>
        <w:tab w:val="center" w:pos="4536"/>
        <w:tab w:val="right" w:pos="9072"/>
      </w:tabs>
      <w:spacing w:line="240" w:lineRule="auto"/>
    </w:pPr>
  </w:style>
  <w:style w:type="character" w:customStyle="1" w:styleId="En-tteCar">
    <w:name w:val="En-tête Car"/>
    <w:aliases w:val="Car Car"/>
    <w:basedOn w:val="Policepardfaut"/>
    <w:link w:val="En-tte"/>
    <w:rsid w:val="004A3D1B"/>
    <w:rPr>
      <w:rFonts w:ascii="Trebuchet MS" w:eastAsia="Trebuchet MS" w:hAnsi="Trebuchet MS" w:cs="Trebuchet MS"/>
      <w:color w:val="000000"/>
      <w:kern w:val="0"/>
      <w:szCs w:val="20"/>
      <w:lang w:val="fr" w:eastAsia="fr-FR"/>
      <w14:ligatures w14:val="none"/>
    </w:rPr>
  </w:style>
  <w:style w:type="paragraph" w:styleId="Pieddepage">
    <w:name w:val="footer"/>
    <w:basedOn w:val="Normal"/>
    <w:link w:val="PieddepageCar"/>
    <w:uiPriority w:val="99"/>
    <w:unhideWhenUsed/>
    <w:rsid w:val="004A3D1B"/>
    <w:pPr>
      <w:tabs>
        <w:tab w:val="center" w:pos="4536"/>
        <w:tab w:val="right" w:pos="9072"/>
      </w:tabs>
      <w:spacing w:line="240" w:lineRule="auto"/>
    </w:pPr>
  </w:style>
  <w:style w:type="character" w:customStyle="1" w:styleId="PieddepageCar">
    <w:name w:val="Pied de page Car"/>
    <w:basedOn w:val="Policepardfaut"/>
    <w:link w:val="Pieddepage"/>
    <w:uiPriority w:val="99"/>
    <w:rsid w:val="004A3D1B"/>
    <w:rPr>
      <w:rFonts w:ascii="Trebuchet MS" w:eastAsia="Trebuchet MS" w:hAnsi="Trebuchet MS" w:cs="Trebuchet MS"/>
      <w:color w:val="000000"/>
      <w:kern w:val="0"/>
      <w:szCs w:val="2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emf"/><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32</Pages>
  <Words>7585</Words>
  <Characters>41416</Characters>
  <Application>Microsoft Office Word</Application>
  <DocSecurity>0</DocSecurity>
  <Lines>1119</Lines>
  <Paragraphs>765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46</cp:revision>
  <dcterms:created xsi:type="dcterms:W3CDTF">2026-06-02T14:47:00Z</dcterms:created>
  <dcterms:modified xsi:type="dcterms:W3CDTF">2026-09-11T12:35:00Z</dcterms:modified>
</cp:coreProperties>
</file>