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74B545EC" w:rsidR="00E84981" w:rsidRDefault="00272AC9" w:rsidP="00362251">
      <w:pPr>
        <w:rPr>
          <w:color w:val="2E74B5"/>
          <w:sz w:val="44"/>
          <w:szCs w:val="44"/>
        </w:rPr>
      </w:pPr>
      <w:bookmarkStart w:id="0" w:name="_heading=h.9aacykv6pdo6" w:colFirst="0" w:colLast="0"/>
      <w:bookmarkEnd w:id="0"/>
      <w:r w:rsidRPr="00357D58">
        <w:rPr>
          <w:noProof/>
        </w:rPr>
        <w:drawing>
          <wp:anchor distT="0" distB="0" distL="114300" distR="114300" simplePos="0" relativeHeight="251962368" behindDoc="0" locked="0" layoutInCell="1" allowOverlap="1" wp14:anchorId="694872D5" wp14:editId="10DAB5DD">
            <wp:simplePos x="0" y="0"/>
            <wp:positionH relativeFrom="column">
              <wp:posOffset>-711976</wp:posOffset>
            </wp:positionH>
            <wp:positionV relativeFrom="paragraph">
              <wp:posOffset>-844598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7AC5">
        <w:rPr>
          <w:noProof/>
        </w:rPr>
        <w:drawing>
          <wp:anchor distT="0" distB="0" distL="114300" distR="114300" simplePos="0" relativeHeight="251941888" behindDoc="0" locked="0" layoutInCell="1" hidden="0" allowOverlap="1" wp14:anchorId="6913C9C8" wp14:editId="218F5620">
            <wp:simplePos x="0" y="0"/>
            <wp:positionH relativeFrom="margin">
              <wp:align>right</wp:align>
            </wp:positionH>
            <wp:positionV relativeFrom="paragraph">
              <wp:posOffset>296</wp:posOffset>
            </wp:positionV>
            <wp:extent cx="2160000" cy="1440000"/>
            <wp:effectExtent l="0" t="0" r="0" b="8255"/>
            <wp:wrapSquare wrapText="bothSides" distT="0" distB="0" distL="114300" distR="114300"/>
            <wp:docPr id="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9"/>
                    <a:srcRect/>
                    <a:stretch>
                      <a:fillRect/>
                    </a:stretch>
                  </pic:blipFill>
                  <pic:spPr>
                    <a:xfrm>
                      <a:off x="0" y="0"/>
                      <a:ext cx="2160000" cy="1440000"/>
                    </a:xfrm>
                    <a:prstGeom prst="rect">
                      <a:avLst/>
                    </a:prstGeom>
                    <a:ln/>
                  </pic:spPr>
                </pic:pic>
              </a:graphicData>
            </a:graphic>
          </wp:anchor>
        </w:drawing>
      </w:r>
    </w:p>
    <w:p w14:paraId="3B8B012C" w14:textId="71F53966" w:rsidR="00876EF8" w:rsidRPr="00A54E85" w:rsidRDefault="00876EF8" w:rsidP="00362251">
      <w:pPr>
        <w:rPr>
          <w:color w:val="2E74B5"/>
          <w:sz w:val="14"/>
          <w:szCs w:val="14"/>
        </w:rPr>
      </w:pPr>
      <w:bookmarkStart w:id="1" w:name="_heading=h.okbxcyd5wsjy" w:colFirst="0" w:colLast="0"/>
      <w:bookmarkEnd w:id="1"/>
    </w:p>
    <w:p w14:paraId="30F39325" w14:textId="5C02CAF7" w:rsidR="00876EF8" w:rsidRPr="00E84981" w:rsidRDefault="00E84981" w:rsidP="00E84981">
      <w:pPr>
        <w:pStyle w:val="Titre1"/>
      </w:pPr>
      <w:r w:rsidRPr="00E84981">
        <w:t>Item </w:t>
      </w:r>
      <w:bookmarkStart w:id="2" w:name="_heading=h.j7k05ddw17s6" w:colFirst="0" w:colLast="0"/>
      <w:bookmarkEnd w:id="2"/>
      <w:r w:rsidR="009D7AC5" w:rsidRPr="009D7AC5">
        <w:t>211 – Sarcoïdose</w:t>
      </w:r>
    </w:p>
    <w:p w14:paraId="58CCE89C" w14:textId="77777777" w:rsidR="00876EF8" w:rsidRDefault="00876EF8" w:rsidP="00362251"/>
    <w:p w14:paraId="1D7886DB" w14:textId="77777777" w:rsidR="00E84981" w:rsidRDefault="00E84981" w:rsidP="00362251">
      <w:pPr>
        <w:rPr>
          <w:sz w:val="10"/>
          <w:szCs w:val="10"/>
        </w:rPr>
      </w:pPr>
    </w:p>
    <w:p w14:paraId="42228953" w14:textId="77777777" w:rsidR="00717C5F" w:rsidRDefault="00717C5F" w:rsidP="00362251">
      <w:pPr>
        <w:rPr>
          <w:sz w:val="10"/>
          <w:szCs w:val="10"/>
        </w:rPr>
      </w:pPr>
    </w:p>
    <w:p w14:paraId="63FD0A30" w14:textId="77777777" w:rsidR="009D7AC5" w:rsidRDefault="009D7AC5" w:rsidP="00362251">
      <w:pPr>
        <w:rPr>
          <w:sz w:val="10"/>
          <w:szCs w:val="10"/>
        </w:rPr>
      </w:pPr>
    </w:p>
    <w:p w14:paraId="5A3DD868" w14:textId="77777777" w:rsidR="009D7AC5" w:rsidRDefault="009D7AC5" w:rsidP="00362251">
      <w:pPr>
        <w:rPr>
          <w:sz w:val="10"/>
          <w:szCs w:val="10"/>
        </w:rPr>
      </w:pPr>
    </w:p>
    <w:p w14:paraId="59B71C63" w14:textId="77777777" w:rsidR="009D7AC5" w:rsidRDefault="009D7AC5" w:rsidP="00362251">
      <w:pPr>
        <w:rPr>
          <w:sz w:val="10"/>
          <w:szCs w:val="10"/>
        </w:rPr>
      </w:pPr>
    </w:p>
    <w:p w14:paraId="16968923" w14:textId="77777777" w:rsidR="009D7AC5" w:rsidRDefault="009D7AC5" w:rsidP="00362251">
      <w:pPr>
        <w:rPr>
          <w:sz w:val="10"/>
          <w:szCs w:val="10"/>
        </w:rPr>
      </w:pPr>
    </w:p>
    <w:p w14:paraId="332EA9B4" w14:textId="77777777" w:rsidR="009D7AC5" w:rsidRPr="00E84981" w:rsidRDefault="009D7AC5" w:rsidP="00362251">
      <w:pPr>
        <w:rPr>
          <w:sz w:val="10"/>
          <w:szCs w:val="10"/>
        </w:rPr>
      </w:pPr>
    </w:p>
    <w:tbl>
      <w:tblPr>
        <w:tblW w:w="9014" w:type="dxa"/>
        <w:tblInd w:w="55"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631"/>
        <w:gridCol w:w="2146"/>
        <w:gridCol w:w="6237"/>
      </w:tblGrid>
      <w:tr w:rsidR="009D7AC5" w14:paraId="7D36ABFD" w14:textId="77777777" w:rsidTr="009D7AC5">
        <w:trPr>
          <w:trHeight w:val="201"/>
        </w:trPr>
        <w:tc>
          <w:tcPr>
            <w:tcW w:w="631" w:type="dxa"/>
            <w:shd w:val="clear" w:color="auto" w:fill="D1D1D1" w:themeFill="background2" w:themeFillShade="E6"/>
            <w:vAlign w:val="center"/>
          </w:tcPr>
          <w:p w14:paraId="631A206B"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Rang</w:t>
            </w:r>
          </w:p>
        </w:tc>
        <w:tc>
          <w:tcPr>
            <w:tcW w:w="2146" w:type="dxa"/>
            <w:shd w:val="clear" w:color="auto" w:fill="D1D1D1" w:themeFill="background2" w:themeFillShade="E6"/>
            <w:vAlign w:val="center"/>
          </w:tcPr>
          <w:p w14:paraId="7C5A9597"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Rubrique</w:t>
            </w:r>
          </w:p>
        </w:tc>
        <w:tc>
          <w:tcPr>
            <w:tcW w:w="6237" w:type="dxa"/>
            <w:shd w:val="clear" w:color="auto" w:fill="D1D1D1" w:themeFill="background2" w:themeFillShade="E6"/>
          </w:tcPr>
          <w:p w14:paraId="3A29B133" w14:textId="77777777" w:rsidR="009D7AC5" w:rsidRPr="00A50182" w:rsidRDefault="009D7AC5" w:rsidP="0094705B">
            <w:pPr>
              <w:spacing w:line="240" w:lineRule="auto"/>
              <w:jc w:val="center"/>
              <w:rPr>
                <w:rFonts w:ascii="Calibri" w:eastAsia="Calibri" w:hAnsi="Calibri" w:cs="Calibri"/>
                <w:b/>
                <w:bCs/>
                <w:color w:val="000000" w:themeColor="text1"/>
              </w:rPr>
            </w:pPr>
            <w:r w:rsidRPr="00A50182">
              <w:rPr>
                <w:rFonts w:ascii="Calibri" w:eastAsia="Calibri" w:hAnsi="Calibri" w:cs="Calibri"/>
                <w:b/>
                <w:bCs/>
                <w:color w:val="000000" w:themeColor="text1"/>
              </w:rPr>
              <w:t>Intitulé des connaissances</w:t>
            </w:r>
          </w:p>
        </w:tc>
      </w:tr>
      <w:tr w:rsidR="009D7AC5" w14:paraId="7EB03D2F" w14:textId="77777777" w:rsidTr="009D7AC5">
        <w:trPr>
          <w:trHeight w:val="32"/>
        </w:trPr>
        <w:tc>
          <w:tcPr>
            <w:tcW w:w="631" w:type="dxa"/>
            <w:vAlign w:val="center"/>
          </w:tcPr>
          <w:p w14:paraId="35711434" w14:textId="378744AF" w:rsidR="009D7AC5" w:rsidRDefault="009D7AC5" w:rsidP="009D7AC5">
            <w:pPr>
              <w:spacing w:line="240" w:lineRule="auto"/>
              <w:jc w:val="center"/>
              <w:rPr>
                <w:rFonts w:ascii="Calibri" w:eastAsia="Calibri" w:hAnsi="Calibri" w:cs="Calibri"/>
              </w:rPr>
            </w:pPr>
            <w:r>
              <w:rPr>
                <w:rFonts w:ascii="Calibri" w:eastAsia="Calibri" w:hAnsi="Calibri" w:cs="Calibri"/>
              </w:rPr>
              <w:t>A</w:t>
            </w:r>
          </w:p>
        </w:tc>
        <w:tc>
          <w:tcPr>
            <w:tcW w:w="2146" w:type="dxa"/>
            <w:vAlign w:val="center"/>
          </w:tcPr>
          <w:p w14:paraId="4E20DC24" w14:textId="7701E541" w:rsidR="009D7AC5" w:rsidRDefault="009D7AC5" w:rsidP="009D7AC5">
            <w:pPr>
              <w:spacing w:line="240" w:lineRule="auto"/>
              <w:jc w:val="left"/>
              <w:rPr>
                <w:rFonts w:ascii="Calibri" w:eastAsia="Calibri" w:hAnsi="Calibri" w:cs="Calibri"/>
              </w:rPr>
            </w:pPr>
            <w:r>
              <w:rPr>
                <w:rFonts w:ascii="Calibri" w:eastAsia="Calibri" w:hAnsi="Calibri" w:cs="Calibri"/>
              </w:rPr>
              <w:t>Contenu multimédia</w:t>
            </w:r>
          </w:p>
        </w:tc>
        <w:tc>
          <w:tcPr>
            <w:tcW w:w="6237" w:type="dxa"/>
          </w:tcPr>
          <w:p w14:paraId="5DAA3555" w14:textId="0441374B" w:rsidR="009D7AC5" w:rsidRDefault="009D7AC5" w:rsidP="009D7AC5">
            <w:pPr>
              <w:spacing w:line="240" w:lineRule="auto"/>
              <w:rPr>
                <w:rFonts w:ascii="Calibri" w:eastAsia="Calibri" w:hAnsi="Calibri" w:cs="Calibri"/>
              </w:rPr>
            </w:pPr>
            <w:r>
              <w:rPr>
                <w:rFonts w:ascii="Calibri" w:eastAsia="Calibri" w:hAnsi="Calibri" w:cs="Calibri"/>
              </w:rPr>
              <w:t>Photographie d’un exemple typique d’érythème noueux</w:t>
            </w:r>
          </w:p>
        </w:tc>
      </w:tr>
      <w:tr w:rsidR="009D7AC5" w14:paraId="69736C32" w14:textId="77777777" w:rsidTr="009D7AC5">
        <w:trPr>
          <w:trHeight w:val="32"/>
        </w:trPr>
        <w:tc>
          <w:tcPr>
            <w:tcW w:w="631" w:type="dxa"/>
            <w:vAlign w:val="center"/>
          </w:tcPr>
          <w:p w14:paraId="4A283660" w14:textId="0812F552" w:rsidR="009D7AC5" w:rsidRDefault="009D7AC5" w:rsidP="009D7AC5">
            <w:pPr>
              <w:spacing w:line="240" w:lineRule="auto"/>
              <w:jc w:val="center"/>
              <w:rPr>
                <w:rFonts w:ascii="Calibri" w:eastAsia="Calibri" w:hAnsi="Calibri" w:cs="Calibri"/>
              </w:rPr>
            </w:pPr>
            <w:r>
              <w:rPr>
                <w:rFonts w:ascii="Calibri" w:eastAsia="Calibri" w:hAnsi="Calibri" w:cs="Calibri"/>
              </w:rPr>
              <w:t>A</w:t>
            </w:r>
          </w:p>
        </w:tc>
        <w:tc>
          <w:tcPr>
            <w:tcW w:w="2146" w:type="dxa"/>
            <w:vAlign w:val="center"/>
          </w:tcPr>
          <w:p w14:paraId="03BAD5EC" w14:textId="48F52E74" w:rsidR="009D7AC5" w:rsidRDefault="009D7AC5" w:rsidP="009D7AC5">
            <w:pPr>
              <w:spacing w:line="240" w:lineRule="auto"/>
              <w:jc w:val="left"/>
              <w:rPr>
                <w:rFonts w:ascii="Calibri" w:eastAsia="Calibri" w:hAnsi="Calibri" w:cs="Calibri"/>
              </w:rPr>
            </w:pPr>
            <w:r>
              <w:rPr>
                <w:rFonts w:ascii="Calibri" w:eastAsia="Calibri" w:hAnsi="Calibri" w:cs="Calibri"/>
              </w:rPr>
              <w:t>Définition</w:t>
            </w:r>
          </w:p>
        </w:tc>
        <w:tc>
          <w:tcPr>
            <w:tcW w:w="6237" w:type="dxa"/>
          </w:tcPr>
          <w:p w14:paraId="31AD786E" w14:textId="0F9D9967" w:rsidR="009D7AC5" w:rsidRDefault="009D7AC5" w:rsidP="009D7AC5">
            <w:pPr>
              <w:spacing w:line="240" w:lineRule="auto"/>
              <w:rPr>
                <w:rFonts w:ascii="Calibri" w:eastAsia="Calibri" w:hAnsi="Calibri" w:cs="Calibri"/>
              </w:rPr>
            </w:pPr>
            <w:r>
              <w:rPr>
                <w:rFonts w:ascii="Calibri" w:eastAsia="Calibri" w:hAnsi="Calibri" w:cs="Calibri"/>
              </w:rPr>
              <w:t>Connaître la définition de la sarcoïdose</w:t>
            </w:r>
          </w:p>
        </w:tc>
      </w:tr>
      <w:tr w:rsidR="009D7AC5" w14:paraId="0A7E4675" w14:textId="77777777" w:rsidTr="009D7AC5">
        <w:trPr>
          <w:trHeight w:val="201"/>
        </w:trPr>
        <w:tc>
          <w:tcPr>
            <w:tcW w:w="631" w:type="dxa"/>
            <w:vAlign w:val="center"/>
          </w:tcPr>
          <w:p w14:paraId="0C0AA77D" w14:textId="64D80CDB" w:rsidR="009D7AC5" w:rsidRDefault="009D7AC5" w:rsidP="009D7AC5">
            <w:pPr>
              <w:spacing w:line="240" w:lineRule="auto"/>
              <w:jc w:val="center"/>
              <w:rPr>
                <w:rFonts w:ascii="Calibri" w:eastAsia="Calibri" w:hAnsi="Calibri" w:cs="Calibri"/>
                <w:i/>
                <w:iCs/>
                <w:color w:val="2E74B5"/>
              </w:rPr>
            </w:pPr>
            <w:r>
              <w:rPr>
                <w:rFonts w:ascii="Calibri" w:eastAsia="Calibri" w:hAnsi="Calibri" w:cs="Calibri"/>
              </w:rPr>
              <w:t>A</w:t>
            </w:r>
          </w:p>
        </w:tc>
        <w:tc>
          <w:tcPr>
            <w:tcW w:w="2146" w:type="dxa"/>
            <w:vAlign w:val="center"/>
          </w:tcPr>
          <w:p w14:paraId="0FC81A6A" w14:textId="6620C3C7" w:rsidR="009D7AC5" w:rsidRDefault="009D7AC5" w:rsidP="009D7AC5">
            <w:pPr>
              <w:spacing w:line="240" w:lineRule="auto"/>
              <w:jc w:val="left"/>
              <w:rPr>
                <w:rFonts w:ascii="Calibri" w:eastAsia="Calibri" w:hAnsi="Calibri" w:cs="Calibri"/>
                <w:i/>
                <w:iCs/>
                <w:color w:val="2E74B5"/>
              </w:rPr>
            </w:pPr>
            <w:r>
              <w:rPr>
                <w:rFonts w:ascii="Calibri" w:eastAsia="Calibri" w:hAnsi="Calibri" w:cs="Calibri"/>
              </w:rPr>
              <w:t>Diagnostic positif</w:t>
            </w:r>
          </w:p>
        </w:tc>
        <w:tc>
          <w:tcPr>
            <w:tcW w:w="6237" w:type="dxa"/>
          </w:tcPr>
          <w:p w14:paraId="0AAA0A3C" w14:textId="2BE73FBB" w:rsidR="009D7AC5" w:rsidRDefault="009D7AC5" w:rsidP="009D7AC5">
            <w:pPr>
              <w:spacing w:line="240" w:lineRule="auto"/>
              <w:rPr>
                <w:rFonts w:ascii="Calibri" w:eastAsia="Calibri" w:hAnsi="Calibri" w:cs="Calibri"/>
                <w:i/>
                <w:iCs/>
                <w:color w:val="2E74B5"/>
              </w:rPr>
            </w:pPr>
            <w:r>
              <w:rPr>
                <w:rFonts w:ascii="Calibri" w:eastAsia="Calibri" w:hAnsi="Calibri" w:cs="Calibri"/>
              </w:rPr>
              <w:t>Connaître les critères du diagnostic d’une sarcoïdose</w:t>
            </w:r>
          </w:p>
        </w:tc>
      </w:tr>
      <w:tr w:rsidR="009D7AC5" w14:paraId="582FDCD8" w14:textId="77777777" w:rsidTr="009D7AC5">
        <w:trPr>
          <w:trHeight w:val="201"/>
        </w:trPr>
        <w:tc>
          <w:tcPr>
            <w:tcW w:w="631" w:type="dxa"/>
            <w:vAlign w:val="center"/>
          </w:tcPr>
          <w:p w14:paraId="2961A99B" w14:textId="3CB27D4B" w:rsidR="009D7AC5" w:rsidRDefault="009D7AC5" w:rsidP="009D7AC5">
            <w:pPr>
              <w:spacing w:line="240" w:lineRule="auto"/>
              <w:jc w:val="center"/>
              <w:rPr>
                <w:rFonts w:ascii="Calibri" w:eastAsia="Calibri" w:hAnsi="Calibri" w:cs="Calibri"/>
                <w:color w:val="0070C0"/>
              </w:rPr>
            </w:pPr>
            <w:r>
              <w:rPr>
                <w:rFonts w:ascii="Calibri" w:eastAsia="Calibri" w:hAnsi="Calibri" w:cs="Calibri"/>
              </w:rPr>
              <w:t>A</w:t>
            </w:r>
          </w:p>
        </w:tc>
        <w:tc>
          <w:tcPr>
            <w:tcW w:w="2146" w:type="dxa"/>
            <w:vAlign w:val="center"/>
          </w:tcPr>
          <w:p w14:paraId="22B47481" w14:textId="3603F08C" w:rsidR="009D7AC5" w:rsidRDefault="009D7AC5" w:rsidP="009D7AC5">
            <w:pPr>
              <w:spacing w:line="240" w:lineRule="auto"/>
              <w:jc w:val="left"/>
              <w:rPr>
                <w:rFonts w:ascii="Calibri" w:eastAsia="Calibri" w:hAnsi="Calibri" w:cs="Calibri"/>
              </w:rPr>
            </w:pPr>
            <w:r>
              <w:rPr>
                <w:rFonts w:ascii="Calibri" w:eastAsia="Calibri" w:hAnsi="Calibri" w:cs="Calibri"/>
              </w:rPr>
              <w:t>Diagnostic positif</w:t>
            </w:r>
          </w:p>
        </w:tc>
        <w:tc>
          <w:tcPr>
            <w:tcW w:w="6237" w:type="dxa"/>
          </w:tcPr>
          <w:p w14:paraId="7FE6407E" w14:textId="5B4E2E6D" w:rsidR="009D7AC5" w:rsidRDefault="009D7AC5" w:rsidP="009D7AC5">
            <w:pPr>
              <w:spacing w:line="240" w:lineRule="auto"/>
              <w:rPr>
                <w:rFonts w:ascii="Calibri" w:eastAsia="Calibri" w:hAnsi="Calibri" w:cs="Calibri"/>
              </w:rPr>
            </w:pPr>
            <w:r>
              <w:rPr>
                <w:rFonts w:ascii="Calibri" w:eastAsia="Calibri" w:hAnsi="Calibri" w:cs="Calibri"/>
              </w:rPr>
              <w:t>Connaître les formes fréquentes de la sarcoïdose : atteintes respiratoires, le syndrome de Löfgren et l’érythème noueux</w:t>
            </w:r>
          </w:p>
        </w:tc>
      </w:tr>
      <w:tr w:rsidR="009D7AC5" w14:paraId="21DFA0C4" w14:textId="77777777" w:rsidTr="009D7AC5">
        <w:trPr>
          <w:trHeight w:val="201"/>
        </w:trPr>
        <w:tc>
          <w:tcPr>
            <w:tcW w:w="631" w:type="dxa"/>
            <w:vAlign w:val="center"/>
          </w:tcPr>
          <w:p w14:paraId="3F3837B7" w14:textId="043D8909"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6ABE3AE0" w14:textId="7ED1DA6F" w:rsidR="009D7AC5" w:rsidRDefault="009D7AC5" w:rsidP="009D7AC5">
            <w:pPr>
              <w:spacing w:line="240" w:lineRule="auto"/>
              <w:jc w:val="left"/>
              <w:rPr>
                <w:rFonts w:ascii="Calibri" w:eastAsia="Calibri" w:hAnsi="Calibri" w:cs="Calibri"/>
                <w:color w:val="2E74B5"/>
              </w:rPr>
            </w:pPr>
            <w:r>
              <w:rPr>
                <w:rFonts w:ascii="Calibri" w:eastAsia="Calibri" w:hAnsi="Calibri" w:cs="Calibri"/>
                <w:color w:val="0070C0"/>
              </w:rPr>
              <w:t>Diagnostic positif</w:t>
            </w:r>
          </w:p>
        </w:tc>
        <w:tc>
          <w:tcPr>
            <w:tcW w:w="6237" w:type="dxa"/>
          </w:tcPr>
          <w:p w14:paraId="1EE58396" w14:textId="018A5216" w:rsidR="009D7AC5" w:rsidRDefault="009D7AC5" w:rsidP="009D7AC5">
            <w:pPr>
              <w:spacing w:line="240" w:lineRule="auto"/>
              <w:rPr>
                <w:rFonts w:ascii="Calibri" w:eastAsia="Calibri" w:hAnsi="Calibri" w:cs="Calibri"/>
                <w:color w:val="2E74B5"/>
              </w:rPr>
            </w:pPr>
            <w:r>
              <w:rPr>
                <w:rFonts w:ascii="Calibri" w:eastAsia="Calibri" w:hAnsi="Calibri" w:cs="Calibri"/>
                <w:color w:val="0070C0"/>
              </w:rPr>
              <w:t>Connaître les principales manifestations extra-respiratoires</w:t>
            </w:r>
          </w:p>
        </w:tc>
      </w:tr>
      <w:tr w:rsidR="009D7AC5" w14:paraId="0B1BD663" w14:textId="77777777" w:rsidTr="009D7AC5">
        <w:trPr>
          <w:trHeight w:val="201"/>
        </w:trPr>
        <w:tc>
          <w:tcPr>
            <w:tcW w:w="631" w:type="dxa"/>
            <w:vAlign w:val="center"/>
          </w:tcPr>
          <w:p w14:paraId="1B2746E9" w14:textId="5354221A" w:rsidR="009D7AC5" w:rsidRDefault="009D7AC5" w:rsidP="009D7AC5">
            <w:pPr>
              <w:spacing w:line="240" w:lineRule="auto"/>
              <w:jc w:val="center"/>
              <w:rPr>
                <w:rFonts w:ascii="Calibri" w:eastAsia="Calibri" w:hAnsi="Calibri" w:cs="Calibri"/>
                <w:color w:val="2E74B5"/>
              </w:rPr>
            </w:pPr>
            <w:r>
              <w:rPr>
                <w:rFonts w:ascii="Calibri" w:eastAsia="Calibri" w:hAnsi="Calibri" w:cs="Calibri"/>
                <w:color w:val="0070C0"/>
              </w:rPr>
              <w:t>B</w:t>
            </w:r>
          </w:p>
        </w:tc>
        <w:tc>
          <w:tcPr>
            <w:tcW w:w="2146" w:type="dxa"/>
            <w:vAlign w:val="center"/>
          </w:tcPr>
          <w:p w14:paraId="4CD82BF7" w14:textId="53E25066" w:rsidR="009D7AC5" w:rsidRDefault="009D7AC5" w:rsidP="009D7AC5">
            <w:pPr>
              <w:spacing w:line="240" w:lineRule="auto"/>
              <w:jc w:val="left"/>
              <w:rPr>
                <w:rFonts w:ascii="Calibri" w:eastAsia="Calibri" w:hAnsi="Calibri" w:cs="Calibri"/>
                <w:color w:val="2E74B5"/>
              </w:rPr>
            </w:pPr>
            <w:r>
              <w:rPr>
                <w:rFonts w:ascii="Calibri" w:eastAsia="Calibri" w:hAnsi="Calibri" w:cs="Calibri"/>
                <w:color w:val="0070C0"/>
              </w:rPr>
              <w:t>Diagnostic positif</w:t>
            </w:r>
          </w:p>
        </w:tc>
        <w:tc>
          <w:tcPr>
            <w:tcW w:w="6237" w:type="dxa"/>
          </w:tcPr>
          <w:p w14:paraId="1C1B7BF9" w14:textId="46872695" w:rsidR="009D7AC5" w:rsidRDefault="009D7AC5" w:rsidP="009D7AC5">
            <w:pPr>
              <w:spacing w:line="240" w:lineRule="auto"/>
              <w:rPr>
                <w:rFonts w:ascii="Calibri" w:eastAsia="Calibri" w:hAnsi="Calibri" w:cs="Calibri"/>
                <w:color w:val="2E74B5"/>
              </w:rPr>
            </w:pPr>
            <w:r>
              <w:rPr>
                <w:rFonts w:ascii="Calibri" w:eastAsia="Calibri" w:hAnsi="Calibri" w:cs="Calibri"/>
                <w:color w:val="0070C0"/>
              </w:rPr>
              <w:t>Connaître les éléments cliniques nécessitant de chercher des diagnostics différentiels</w:t>
            </w:r>
          </w:p>
        </w:tc>
      </w:tr>
      <w:tr w:rsidR="009D7AC5" w14:paraId="762ACBBC" w14:textId="77777777" w:rsidTr="009D7AC5">
        <w:trPr>
          <w:trHeight w:val="201"/>
        </w:trPr>
        <w:tc>
          <w:tcPr>
            <w:tcW w:w="631" w:type="dxa"/>
            <w:vAlign w:val="center"/>
          </w:tcPr>
          <w:p w14:paraId="45FC38D4" w14:textId="31EBDE18" w:rsidR="009D7AC5" w:rsidRDefault="009D7AC5" w:rsidP="009D7AC5">
            <w:pPr>
              <w:spacing w:line="240" w:lineRule="auto"/>
              <w:jc w:val="center"/>
              <w:rPr>
                <w:rFonts w:ascii="Calibri" w:eastAsia="Calibri" w:hAnsi="Calibri" w:cs="Calibri"/>
                <w:i/>
                <w:iCs/>
                <w:color w:val="0070C0"/>
              </w:rPr>
            </w:pPr>
            <w:r>
              <w:rPr>
                <w:rFonts w:ascii="Calibri" w:eastAsia="Calibri" w:hAnsi="Calibri" w:cs="Calibri"/>
                <w:color w:val="0070C0"/>
              </w:rPr>
              <w:t>B</w:t>
            </w:r>
          </w:p>
        </w:tc>
        <w:tc>
          <w:tcPr>
            <w:tcW w:w="2146" w:type="dxa"/>
            <w:vAlign w:val="center"/>
          </w:tcPr>
          <w:p w14:paraId="781D04F0" w14:textId="55059B50" w:rsidR="009D7AC5" w:rsidRDefault="009D7AC5" w:rsidP="009D7AC5">
            <w:pPr>
              <w:spacing w:line="240" w:lineRule="auto"/>
              <w:jc w:val="left"/>
              <w:rPr>
                <w:rFonts w:ascii="Calibri" w:eastAsia="Calibri" w:hAnsi="Calibri" w:cs="Calibri"/>
                <w:i/>
                <w:iCs/>
                <w:color w:val="2E74B5"/>
              </w:rPr>
            </w:pPr>
            <w:r>
              <w:rPr>
                <w:rFonts w:ascii="Calibri" w:eastAsia="Calibri" w:hAnsi="Calibri" w:cs="Calibri"/>
                <w:color w:val="0070C0"/>
              </w:rPr>
              <w:t>Physiopathologie</w:t>
            </w:r>
          </w:p>
        </w:tc>
        <w:tc>
          <w:tcPr>
            <w:tcW w:w="6237" w:type="dxa"/>
          </w:tcPr>
          <w:p w14:paraId="0C5368EC" w14:textId="3077F66E" w:rsidR="009D7AC5" w:rsidRDefault="009D7AC5" w:rsidP="009D7AC5">
            <w:pPr>
              <w:spacing w:line="240" w:lineRule="auto"/>
              <w:rPr>
                <w:rFonts w:ascii="Calibri" w:eastAsia="Calibri" w:hAnsi="Calibri" w:cs="Calibri"/>
                <w:i/>
                <w:iCs/>
                <w:color w:val="2E74B5"/>
              </w:rPr>
            </w:pPr>
            <w:r>
              <w:rPr>
                <w:rFonts w:ascii="Calibri" w:eastAsia="Calibri" w:hAnsi="Calibri" w:cs="Calibri"/>
                <w:color w:val="0070C0"/>
              </w:rPr>
              <w:t>Connaître les mécanismes de la réaction inflammatoire conduisant au granulome</w:t>
            </w:r>
          </w:p>
        </w:tc>
      </w:tr>
      <w:tr w:rsidR="009D7AC5" w14:paraId="2AA3CD24" w14:textId="77777777" w:rsidTr="009D7AC5">
        <w:trPr>
          <w:trHeight w:val="201"/>
        </w:trPr>
        <w:tc>
          <w:tcPr>
            <w:tcW w:w="631" w:type="dxa"/>
            <w:vAlign w:val="center"/>
          </w:tcPr>
          <w:p w14:paraId="62D6F1CB" w14:textId="78119336"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6B06D462" w14:textId="7DE3E36E" w:rsidR="009D7AC5" w:rsidRDefault="009D7AC5" w:rsidP="009D7AC5">
            <w:pPr>
              <w:spacing w:line="240" w:lineRule="auto"/>
              <w:jc w:val="left"/>
              <w:rPr>
                <w:rFonts w:ascii="Calibri" w:eastAsia="Calibri" w:hAnsi="Calibri" w:cs="Calibri"/>
              </w:rPr>
            </w:pPr>
            <w:r>
              <w:rPr>
                <w:rFonts w:ascii="Calibri" w:eastAsia="Calibri" w:hAnsi="Calibri" w:cs="Calibri"/>
                <w:color w:val="0070C0"/>
              </w:rPr>
              <w:t>Étiologies</w:t>
            </w:r>
          </w:p>
        </w:tc>
        <w:tc>
          <w:tcPr>
            <w:tcW w:w="6237" w:type="dxa"/>
          </w:tcPr>
          <w:p w14:paraId="000E9310" w14:textId="4A56312D" w:rsidR="009D7AC5" w:rsidRDefault="009D7AC5" w:rsidP="009D7AC5">
            <w:pPr>
              <w:spacing w:line="240" w:lineRule="auto"/>
              <w:rPr>
                <w:rFonts w:ascii="Calibri" w:eastAsia="Calibri" w:hAnsi="Calibri" w:cs="Calibri"/>
              </w:rPr>
            </w:pPr>
            <w:r>
              <w:rPr>
                <w:rFonts w:ascii="Calibri" w:eastAsia="Calibri" w:hAnsi="Calibri" w:cs="Calibri"/>
                <w:color w:val="0070C0"/>
              </w:rPr>
              <w:t>Connaître les principales causes de granulomatoses secondaires</w:t>
            </w:r>
          </w:p>
        </w:tc>
      </w:tr>
      <w:tr w:rsidR="009D7AC5" w14:paraId="5464CD3E" w14:textId="77777777" w:rsidTr="009D7AC5">
        <w:trPr>
          <w:trHeight w:val="201"/>
        </w:trPr>
        <w:tc>
          <w:tcPr>
            <w:tcW w:w="631" w:type="dxa"/>
            <w:vAlign w:val="center"/>
          </w:tcPr>
          <w:p w14:paraId="6901A76E" w14:textId="6AFA38D2"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7F81207E" w14:textId="11FFD053" w:rsidR="009D7AC5" w:rsidRDefault="009D7AC5" w:rsidP="009D7AC5">
            <w:pPr>
              <w:spacing w:line="240" w:lineRule="auto"/>
              <w:jc w:val="left"/>
              <w:rPr>
                <w:rFonts w:ascii="Calibri" w:eastAsia="Calibri" w:hAnsi="Calibri" w:cs="Calibri"/>
              </w:rPr>
            </w:pPr>
            <w:r>
              <w:rPr>
                <w:rFonts w:ascii="Calibri" w:eastAsia="Calibri" w:hAnsi="Calibri" w:cs="Calibri"/>
                <w:color w:val="0070C0"/>
              </w:rPr>
              <w:t>Ex. complémentaires</w:t>
            </w:r>
          </w:p>
        </w:tc>
        <w:tc>
          <w:tcPr>
            <w:tcW w:w="6237" w:type="dxa"/>
          </w:tcPr>
          <w:p w14:paraId="17C87371" w14:textId="5E6707B3" w:rsidR="009D7AC5" w:rsidRDefault="009D7AC5" w:rsidP="009D7AC5">
            <w:pPr>
              <w:spacing w:line="240" w:lineRule="auto"/>
              <w:rPr>
                <w:rFonts w:ascii="Calibri" w:eastAsia="Calibri" w:hAnsi="Calibri" w:cs="Calibri"/>
              </w:rPr>
            </w:pPr>
            <w:r>
              <w:rPr>
                <w:rFonts w:ascii="Calibri" w:eastAsia="Calibri" w:hAnsi="Calibri" w:cs="Calibri"/>
                <w:color w:val="0070C0"/>
              </w:rPr>
              <w:t>Connaître l’intérêt et les limites des principaux tests biologiques</w:t>
            </w:r>
          </w:p>
        </w:tc>
      </w:tr>
      <w:tr w:rsidR="009D7AC5" w14:paraId="2FD8A780" w14:textId="77777777" w:rsidTr="009D7AC5">
        <w:trPr>
          <w:trHeight w:val="201"/>
        </w:trPr>
        <w:tc>
          <w:tcPr>
            <w:tcW w:w="631" w:type="dxa"/>
            <w:vAlign w:val="center"/>
          </w:tcPr>
          <w:p w14:paraId="3A22B80A" w14:textId="46FAD11E"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60FB2A47" w14:textId="5B22C56C" w:rsidR="009D7AC5" w:rsidRDefault="009D7AC5" w:rsidP="009D7AC5">
            <w:pPr>
              <w:spacing w:line="240" w:lineRule="auto"/>
              <w:jc w:val="left"/>
              <w:rPr>
                <w:rFonts w:ascii="Calibri" w:eastAsia="Calibri" w:hAnsi="Calibri" w:cs="Calibri"/>
                <w:color w:val="0070C0"/>
              </w:rPr>
            </w:pPr>
            <w:r>
              <w:rPr>
                <w:rFonts w:ascii="Calibri" w:eastAsia="Calibri" w:hAnsi="Calibri" w:cs="Calibri"/>
                <w:color w:val="0070C0"/>
              </w:rPr>
              <w:t>Ex. complémentaires</w:t>
            </w:r>
          </w:p>
        </w:tc>
        <w:tc>
          <w:tcPr>
            <w:tcW w:w="6237" w:type="dxa"/>
          </w:tcPr>
          <w:p w14:paraId="1E91CD0C" w14:textId="7D24C93A" w:rsidR="009D7AC5" w:rsidRDefault="009D7AC5" w:rsidP="009D7AC5">
            <w:pPr>
              <w:spacing w:line="240" w:lineRule="auto"/>
              <w:rPr>
                <w:rFonts w:ascii="Calibri" w:eastAsia="Calibri" w:hAnsi="Calibri" w:cs="Calibri"/>
                <w:color w:val="0070C0"/>
              </w:rPr>
            </w:pPr>
            <w:r>
              <w:rPr>
                <w:rFonts w:ascii="Calibri" w:eastAsia="Calibri" w:hAnsi="Calibri" w:cs="Calibri"/>
                <w:color w:val="0070C0"/>
              </w:rPr>
              <w:t>Connaître les indications des examens d’imagerie devant une sarcoïdose</w:t>
            </w:r>
          </w:p>
        </w:tc>
      </w:tr>
      <w:tr w:rsidR="009D7AC5" w14:paraId="14FDCCEF" w14:textId="77777777" w:rsidTr="009D7AC5">
        <w:trPr>
          <w:trHeight w:val="201"/>
        </w:trPr>
        <w:tc>
          <w:tcPr>
            <w:tcW w:w="631" w:type="dxa"/>
            <w:vAlign w:val="center"/>
          </w:tcPr>
          <w:p w14:paraId="259E9E10" w14:textId="0D7C769F"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51228701" w14:textId="6A69223B" w:rsidR="009D7AC5" w:rsidRDefault="009D7AC5" w:rsidP="009D7AC5">
            <w:pPr>
              <w:spacing w:line="240" w:lineRule="auto"/>
              <w:jc w:val="left"/>
              <w:rPr>
                <w:rFonts w:ascii="Calibri" w:eastAsia="Calibri" w:hAnsi="Calibri" w:cs="Calibri"/>
                <w:color w:val="0070C0"/>
              </w:rPr>
            </w:pPr>
            <w:r>
              <w:rPr>
                <w:rFonts w:ascii="Calibri" w:eastAsia="Calibri" w:hAnsi="Calibri" w:cs="Calibri"/>
                <w:color w:val="0070C0"/>
              </w:rPr>
              <w:t>Ex. complémentaires</w:t>
            </w:r>
          </w:p>
        </w:tc>
        <w:tc>
          <w:tcPr>
            <w:tcW w:w="6237" w:type="dxa"/>
          </w:tcPr>
          <w:p w14:paraId="34A21E3C" w14:textId="3648670C" w:rsidR="009D7AC5" w:rsidRDefault="009D7AC5" w:rsidP="009D7AC5">
            <w:pPr>
              <w:spacing w:line="240" w:lineRule="auto"/>
              <w:rPr>
                <w:rFonts w:ascii="Calibri" w:eastAsia="Calibri" w:hAnsi="Calibri" w:cs="Calibri"/>
                <w:color w:val="0070C0"/>
              </w:rPr>
            </w:pPr>
            <w:r>
              <w:rPr>
                <w:rFonts w:ascii="Calibri" w:eastAsia="Calibri" w:hAnsi="Calibri" w:cs="Calibri"/>
                <w:color w:val="0070C0"/>
              </w:rPr>
              <w:t>Connaître la place de l’anatomie pathologique pour le diagnostic et la stratégie des prélèvements</w:t>
            </w:r>
          </w:p>
        </w:tc>
      </w:tr>
      <w:tr w:rsidR="009D7AC5" w14:paraId="143DB725" w14:textId="77777777" w:rsidTr="009D7AC5">
        <w:trPr>
          <w:trHeight w:val="201"/>
        </w:trPr>
        <w:tc>
          <w:tcPr>
            <w:tcW w:w="631" w:type="dxa"/>
            <w:vAlign w:val="center"/>
          </w:tcPr>
          <w:p w14:paraId="67ABA71E" w14:textId="0553C135"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3F370FE0" w14:textId="04BBBA8F" w:rsidR="009D7AC5" w:rsidRDefault="009D7AC5" w:rsidP="009D7AC5">
            <w:pPr>
              <w:spacing w:line="240" w:lineRule="auto"/>
              <w:jc w:val="left"/>
              <w:rPr>
                <w:rFonts w:ascii="Calibri" w:eastAsia="Calibri" w:hAnsi="Calibri" w:cs="Calibri"/>
                <w:color w:val="0070C0"/>
              </w:rPr>
            </w:pPr>
            <w:r>
              <w:rPr>
                <w:rFonts w:ascii="Calibri" w:eastAsia="Calibri" w:hAnsi="Calibri" w:cs="Calibri"/>
                <w:color w:val="0070C0"/>
              </w:rPr>
              <w:t>Ex. complémentaires</w:t>
            </w:r>
          </w:p>
        </w:tc>
        <w:tc>
          <w:tcPr>
            <w:tcW w:w="6237" w:type="dxa"/>
          </w:tcPr>
          <w:p w14:paraId="3E68E662" w14:textId="1CB8B2ED" w:rsidR="009D7AC5" w:rsidRDefault="009D7AC5" w:rsidP="009D7AC5">
            <w:pPr>
              <w:spacing w:line="240" w:lineRule="auto"/>
              <w:rPr>
                <w:rFonts w:ascii="Calibri" w:eastAsia="Calibri" w:hAnsi="Calibri" w:cs="Calibri"/>
                <w:color w:val="0070C0"/>
              </w:rPr>
            </w:pPr>
            <w:r>
              <w:rPr>
                <w:rFonts w:ascii="Calibri" w:eastAsia="Calibri" w:hAnsi="Calibri" w:cs="Calibri"/>
                <w:color w:val="0070C0"/>
              </w:rPr>
              <w:t>Connaître les anomalies des explorations fonctionnelles respiratoires typiques</w:t>
            </w:r>
          </w:p>
        </w:tc>
      </w:tr>
      <w:tr w:rsidR="009D7AC5" w14:paraId="354A01B0" w14:textId="77777777" w:rsidTr="009D7AC5">
        <w:trPr>
          <w:trHeight w:val="201"/>
        </w:trPr>
        <w:tc>
          <w:tcPr>
            <w:tcW w:w="631" w:type="dxa"/>
            <w:vAlign w:val="center"/>
          </w:tcPr>
          <w:p w14:paraId="1EA7B0C7" w14:textId="5F299D6E" w:rsidR="009D7AC5" w:rsidRDefault="009D7AC5" w:rsidP="009D7AC5">
            <w:pPr>
              <w:spacing w:line="240" w:lineRule="auto"/>
              <w:jc w:val="center"/>
              <w:rPr>
                <w:rFonts w:ascii="Calibri" w:eastAsia="Calibri" w:hAnsi="Calibri" w:cs="Calibri"/>
              </w:rPr>
            </w:pPr>
            <w:r>
              <w:rPr>
                <w:rFonts w:ascii="Calibri" w:eastAsia="Calibri" w:hAnsi="Calibri" w:cs="Calibri"/>
                <w:color w:val="0070C0"/>
              </w:rPr>
              <w:t>B</w:t>
            </w:r>
          </w:p>
        </w:tc>
        <w:tc>
          <w:tcPr>
            <w:tcW w:w="2146" w:type="dxa"/>
            <w:vAlign w:val="center"/>
          </w:tcPr>
          <w:p w14:paraId="22358DD3" w14:textId="62AAB448" w:rsidR="009D7AC5" w:rsidRDefault="009D7AC5" w:rsidP="009D7AC5">
            <w:pPr>
              <w:spacing w:line="240" w:lineRule="auto"/>
              <w:jc w:val="left"/>
              <w:rPr>
                <w:rFonts w:ascii="Calibri" w:eastAsia="Calibri" w:hAnsi="Calibri" w:cs="Calibri"/>
              </w:rPr>
            </w:pPr>
            <w:r>
              <w:rPr>
                <w:rFonts w:ascii="Calibri" w:eastAsia="Calibri" w:hAnsi="Calibri" w:cs="Calibri"/>
                <w:color w:val="0070C0"/>
              </w:rPr>
              <w:t>Épidémiologie</w:t>
            </w:r>
          </w:p>
        </w:tc>
        <w:tc>
          <w:tcPr>
            <w:tcW w:w="6237" w:type="dxa"/>
          </w:tcPr>
          <w:p w14:paraId="7B8E8EB9" w14:textId="4259371E" w:rsidR="009D7AC5" w:rsidRDefault="009D7AC5" w:rsidP="009D7AC5">
            <w:pPr>
              <w:spacing w:line="240" w:lineRule="auto"/>
              <w:rPr>
                <w:rFonts w:ascii="Calibri" w:eastAsia="Calibri" w:hAnsi="Calibri" w:cs="Calibri"/>
              </w:rPr>
            </w:pPr>
            <w:r>
              <w:rPr>
                <w:rFonts w:ascii="Calibri" w:eastAsia="Calibri" w:hAnsi="Calibri" w:cs="Calibri"/>
                <w:color w:val="0070C0"/>
              </w:rPr>
              <w:t>Connaître l’épidémiologie de la sarcoïdose (âge, sexe de survenue, et prévalence variable selon les ethnies)</w:t>
            </w:r>
          </w:p>
        </w:tc>
      </w:tr>
      <w:tr w:rsidR="009D7AC5" w14:paraId="62D2A2A9" w14:textId="77777777" w:rsidTr="009D7AC5">
        <w:trPr>
          <w:trHeight w:val="201"/>
        </w:trPr>
        <w:tc>
          <w:tcPr>
            <w:tcW w:w="631" w:type="dxa"/>
            <w:vAlign w:val="center"/>
          </w:tcPr>
          <w:p w14:paraId="05065981" w14:textId="45B72102" w:rsidR="009D7AC5" w:rsidRDefault="009D7AC5" w:rsidP="009D7AC5">
            <w:pPr>
              <w:spacing w:line="240" w:lineRule="auto"/>
              <w:jc w:val="center"/>
              <w:rPr>
                <w:rFonts w:ascii="Calibri" w:eastAsia="Calibri" w:hAnsi="Calibri" w:cs="Calibri"/>
                <w:color w:val="0070C0"/>
              </w:rPr>
            </w:pPr>
            <w:r>
              <w:rPr>
                <w:rFonts w:ascii="Calibri" w:eastAsia="Calibri" w:hAnsi="Calibri" w:cs="Calibri"/>
                <w:color w:val="0070C0"/>
              </w:rPr>
              <w:t>B</w:t>
            </w:r>
          </w:p>
        </w:tc>
        <w:tc>
          <w:tcPr>
            <w:tcW w:w="2146" w:type="dxa"/>
            <w:vAlign w:val="center"/>
          </w:tcPr>
          <w:p w14:paraId="5FA45578" w14:textId="1D7A2DFC" w:rsidR="009D7AC5" w:rsidRDefault="009D7AC5" w:rsidP="009D7AC5">
            <w:pPr>
              <w:spacing w:line="240" w:lineRule="auto"/>
              <w:jc w:val="left"/>
              <w:rPr>
                <w:rFonts w:ascii="Calibri" w:eastAsia="Calibri" w:hAnsi="Calibri" w:cs="Calibri"/>
                <w:color w:val="0070C0"/>
              </w:rPr>
            </w:pPr>
            <w:r>
              <w:rPr>
                <w:rFonts w:ascii="Calibri" w:eastAsia="Calibri" w:hAnsi="Calibri" w:cs="Calibri"/>
                <w:color w:val="0070C0"/>
              </w:rPr>
              <w:t>Suivi et/ou pronostic</w:t>
            </w:r>
          </w:p>
        </w:tc>
        <w:tc>
          <w:tcPr>
            <w:tcW w:w="6237" w:type="dxa"/>
          </w:tcPr>
          <w:p w14:paraId="3E6FD1DB" w14:textId="7342D15E" w:rsidR="009D7AC5" w:rsidRDefault="009D7AC5" w:rsidP="009D7AC5">
            <w:pPr>
              <w:spacing w:line="240" w:lineRule="auto"/>
              <w:rPr>
                <w:rFonts w:ascii="Calibri" w:eastAsia="Calibri" w:hAnsi="Calibri" w:cs="Calibri"/>
                <w:color w:val="0070C0"/>
              </w:rPr>
            </w:pPr>
            <w:r>
              <w:rPr>
                <w:rFonts w:ascii="Calibri" w:eastAsia="Calibri" w:hAnsi="Calibri" w:cs="Calibri"/>
                <w:color w:val="0070C0"/>
              </w:rPr>
              <w:t>Connaître l’évolution souvent bénigne de la sarcoïdose, et la rémission spontanée dans 90 % des cas de syndrome de Löfgren</w:t>
            </w:r>
          </w:p>
        </w:tc>
      </w:tr>
    </w:tbl>
    <w:p w14:paraId="57811E0F" w14:textId="77777777" w:rsidR="006F3E0E" w:rsidRDefault="006F3E0E" w:rsidP="00362251"/>
    <w:p w14:paraId="7F04C889" w14:textId="47959A67" w:rsidR="00717C5F" w:rsidRDefault="00876EF8" w:rsidP="00717C5F">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00F34DDB" w14:textId="77777777" w:rsidR="009D7AC5" w:rsidRDefault="009D7AC5" w:rsidP="009D7AC5">
      <w:pPr>
        <w:spacing w:line="240" w:lineRule="auto"/>
        <w:jc w:val="center"/>
        <w:rPr>
          <w:i/>
          <w:iCs/>
          <w:color w:val="2E74B5"/>
        </w:rPr>
      </w:pPr>
    </w:p>
    <w:p w14:paraId="10FE866E" w14:textId="307D7E36" w:rsidR="009D7AC5" w:rsidRDefault="003E0EE4" w:rsidP="009D7AC5">
      <w:pPr>
        <w:spacing w:line="240" w:lineRule="auto"/>
        <w:ind w:left="3"/>
        <w:jc w:val="center"/>
        <w:rPr>
          <w:color w:val="0070C0"/>
        </w:rPr>
      </w:pPr>
      <w:r>
        <w:rPr>
          <w:noProof/>
        </w:rPr>
        <w:drawing>
          <wp:anchor distT="0" distB="0" distL="114300" distR="114300" simplePos="0" relativeHeight="251943936" behindDoc="0" locked="0" layoutInCell="1" hidden="0" allowOverlap="1" wp14:anchorId="57CC772B" wp14:editId="30A2FFED">
            <wp:simplePos x="0" y="0"/>
            <wp:positionH relativeFrom="column">
              <wp:posOffset>890574</wp:posOffset>
            </wp:positionH>
            <wp:positionV relativeFrom="paragraph">
              <wp:posOffset>5715</wp:posOffset>
            </wp:positionV>
            <wp:extent cx="135890" cy="138430"/>
            <wp:effectExtent l="0" t="0" r="0" b="0"/>
            <wp:wrapNone/>
            <wp:docPr id="181106520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35890" cy="138430"/>
                    </a:xfrm>
                    <a:prstGeom prst="rect">
                      <a:avLst/>
                    </a:prstGeom>
                    <a:ln/>
                  </pic:spPr>
                </pic:pic>
              </a:graphicData>
            </a:graphic>
          </wp:anchor>
        </w:drawing>
      </w:r>
      <w:r w:rsidR="009D7AC5">
        <w:rPr>
          <w:color w:val="00B050"/>
        </w:rPr>
        <w:t>Les informations de rang C apparaissent en vert dans le texte.</w:t>
      </w:r>
    </w:p>
    <w:p w14:paraId="0F77E276" w14:textId="77777777" w:rsidR="009D7AC5" w:rsidRDefault="009D7AC5" w:rsidP="009D7AC5">
      <w:pPr>
        <w:spacing w:line="240" w:lineRule="auto"/>
        <w:rPr>
          <w:i/>
          <w:iCs/>
          <w:color w:val="2E74B5"/>
        </w:rPr>
      </w:pPr>
    </w:p>
    <w:p w14:paraId="05378633" w14:textId="77777777" w:rsidR="009D7AC5" w:rsidRDefault="009D7AC5" w:rsidP="009D7AC5">
      <w:pPr>
        <w:spacing w:line="240" w:lineRule="auto"/>
      </w:pPr>
      <w:r>
        <w:t>Le Collège des Enseignants de Pneumologie insiste également sur la nécessité de connaître les items suivants :</w:t>
      </w:r>
    </w:p>
    <w:tbl>
      <w:tblPr>
        <w:tblW w:w="9072" w:type="dxa"/>
        <w:tblInd w:w="-5"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1987"/>
        <w:gridCol w:w="2551"/>
        <w:gridCol w:w="4534"/>
      </w:tblGrid>
      <w:tr w:rsidR="009D7AC5" w14:paraId="14484B81" w14:textId="77777777" w:rsidTr="009D7AC5">
        <w:trPr>
          <w:trHeight w:val="201"/>
        </w:trPr>
        <w:tc>
          <w:tcPr>
            <w:tcW w:w="1987" w:type="dxa"/>
            <w:shd w:val="clear" w:color="auto" w:fill="D1D1D1" w:themeFill="background2" w:themeFillShade="E6"/>
          </w:tcPr>
          <w:p w14:paraId="3E240CA2" w14:textId="77777777" w:rsidR="009D7AC5" w:rsidRPr="009D7AC5" w:rsidRDefault="009D7AC5" w:rsidP="0094705B">
            <w:pPr>
              <w:jc w:val="center"/>
              <w:rPr>
                <w:rFonts w:ascii="Calibri" w:eastAsia="Calibri" w:hAnsi="Calibri" w:cs="Calibri"/>
                <w:b/>
                <w:bCs/>
                <w:color w:val="000000" w:themeColor="text1"/>
              </w:rPr>
            </w:pPr>
            <w:r w:rsidRPr="009D7AC5">
              <w:rPr>
                <w:rFonts w:ascii="Calibri" w:eastAsia="Calibri" w:hAnsi="Calibri" w:cs="Calibri"/>
                <w:b/>
                <w:bCs/>
                <w:color w:val="000000" w:themeColor="text1"/>
              </w:rPr>
              <w:t>Contenu multimédia</w:t>
            </w:r>
          </w:p>
        </w:tc>
        <w:tc>
          <w:tcPr>
            <w:tcW w:w="2551" w:type="dxa"/>
            <w:shd w:val="clear" w:color="auto" w:fill="D1D1D1" w:themeFill="background2" w:themeFillShade="E6"/>
          </w:tcPr>
          <w:p w14:paraId="08058A98" w14:textId="77777777" w:rsidR="009D7AC5" w:rsidRPr="009D7AC5" w:rsidRDefault="009D7AC5" w:rsidP="0094705B">
            <w:pPr>
              <w:jc w:val="center"/>
              <w:rPr>
                <w:rFonts w:ascii="Calibri" w:eastAsia="Calibri" w:hAnsi="Calibri" w:cs="Calibri"/>
                <w:b/>
                <w:bCs/>
                <w:color w:val="000000" w:themeColor="text1"/>
              </w:rPr>
            </w:pPr>
            <w:r w:rsidRPr="009D7AC5">
              <w:rPr>
                <w:rFonts w:ascii="Calibri" w:eastAsia="Calibri" w:hAnsi="Calibri" w:cs="Calibri"/>
                <w:b/>
                <w:bCs/>
                <w:color w:val="000000" w:themeColor="text1"/>
              </w:rPr>
              <w:t>Stades radiographiques</w:t>
            </w:r>
          </w:p>
        </w:tc>
        <w:tc>
          <w:tcPr>
            <w:tcW w:w="4534" w:type="dxa"/>
            <w:shd w:val="clear" w:color="auto" w:fill="D1D1D1" w:themeFill="background2" w:themeFillShade="E6"/>
          </w:tcPr>
          <w:p w14:paraId="57A29C05" w14:textId="77777777" w:rsidR="009D7AC5" w:rsidRPr="009D7AC5" w:rsidRDefault="009D7AC5" w:rsidP="0094705B">
            <w:pPr>
              <w:jc w:val="center"/>
              <w:rPr>
                <w:rFonts w:ascii="Calibri" w:eastAsia="Calibri" w:hAnsi="Calibri" w:cs="Calibri"/>
                <w:b/>
                <w:bCs/>
                <w:color w:val="000000" w:themeColor="text1"/>
              </w:rPr>
            </w:pPr>
            <w:r w:rsidRPr="009D7AC5">
              <w:rPr>
                <w:rFonts w:ascii="Calibri" w:eastAsia="Calibri" w:hAnsi="Calibri" w:cs="Calibri"/>
                <w:b/>
                <w:bCs/>
                <w:color w:val="000000" w:themeColor="text1"/>
              </w:rPr>
              <w:t>4 images typiques</w:t>
            </w:r>
          </w:p>
        </w:tc>
      </w:tr>
      <w:tr w:rsidR="009D7AC5" w14:paraId="115D63CA" w14:textId="77777777" w:rsidTr="009D7AC5">
        <w:trPr>
          <w:trHeight w:val="201"/>
        </w:trPr>
        <w:tc>
          <w:tcPr>
            <w:tcW w:w="1987" w:type="dxa"/>
            <w:vAlign w:val="center"/>
          </w:tcPr>
          <w:p w14:paraId="3485459E" w14:textId="77777777" w:rsidR="009D7AC5" w:rsidRDefault="009D7AC5" w:rsidP="0094705B">
            <w:pPr>
              <w:jc w:val="left"/>
              <w:rPr>
                <w:rFonts w:ascii="Calibri" w:eastAsia="Calibri" w:hAnsi="Calibri" w:cs="Calibri"/>
              </w:rPr>
            </w:pPr>
            <w:r>
              <w:rPr>
                <w:rFonts w:ascii="Calibri" w:eastAsia="Calibri" w:hAnsi="Calibri" w:cs="Calibri"/>
              </w:rPr>
              <w:t>Contenu multimédia</w:t>
            </w:r>
          </w:p>
        </w:tc>
        <w:tc>
          <w:tcPr>
            <w:tcW w:w="2551" w:type="dxa"/>
            <w:vAlign w:val="center"/>
          </w:tcPr>
          <w:p w14:paraId="77CC8940" w14:textId="77777777" w:rsidR="009D7AC5" w:rsidRDefault="009D7AC5" w:rsidP="0094705B">
            <w:pPr>
              <w:jc w:val="left"/>
              <w:rPr>
                <w:rFonts w:ascii="Calibri" w:eastAsia="Calibri" w:hAnsi="Calibri" w:cs="Calibri"/>
              </w:rPr>
            </w:pPr>
            <w:r>
              <w:rPr>
                <w:rFonts w:ascii="Calibri" w:eastAsia="Calibri" w:hAnsi="Calibri" w:cs="Calibri"/>
              </w:rPr>
              <w:t>Exemple typique sarcoïdose scanner thoracique</w:t>
            </w:r>
          </w:p>
        </w:tc>
        <w:tc>
          <w:tcPr>
            <w:tcW w:w="4534" w:type="dxa"/>
          </w:tcPr>
          <w:p w14:paraId="7CBA47B2" w14:textId="77777777" w:rsidR="009D7AC5" w:rsidRDefault="009D7AC5" w:rsidP="0094705B">
            <w:pPr>
              <w:rPr>
                <w:rFonts w:ascii="Calibri" w:eastAsia="Calibri" w:hAnsi="Calibri" w:cs="Calibri"/>
              </w:rPr>
            </w:pPr>
          </w:p>
        </w:tc>
      </w:tr>
      <w:tr w:rsidR="009D7AC5" w14:paraId="36885641" w14:textId="77777777" w:rsidTr="009D7AC5">
        <w:trPr>
          <w:trHeight w:val="201"/>
        </w:trPr>
        <w:tc>
          <w:tcPr>
            <w:tcW w:w="1987" w:type="dxa"/>
            <w:vAlign w:val="center"/>
          </w:tcPr>
          <w:p w14:paraId="46C9F40E" w14:textId="77777777" w:rsidR="009D7AC5" w:rsidRDefault="009D7AC5" w:rsidP="0094705B">
            <w:pPr>
              <w:jc w:val="left"/>
              <w:rPr>
                <w:rFonts w:ascii="Calibri" w:eastAsia="Calibri" w:hAnsi="Calibri" w:cs="Calibri"/>
              </w:rPr>
            </w:pPr>
            <w:r>
              <w:rPr>
                <w:rFonts w:ascii="Calibri" w:eastAsia="Calibri" w:hAnsi="Calibri" w:cs="Calibri"/>
              </w:rPr>
              <w:t>Ex. complémentaires</w:t>
            </w:r>
          </w:p>
        </w:tc>
        <w:tc>
          <w:tcPr>
            <w:tcW w:w="2551" w:type="dxa"/>
            <w:vAlign w:val="center"/>
          </w:tcPr>
          <w:p w14:paraId="4CA4955A" w14:textId="77777777" w:rsidR="009D7AC5" w:rsidRDefault="009D7AC5" w:rsidP="0094705B">
            <w:pPr>
              <w:jc w:val="left"/>
              <w:rPr>
                <w:rFonts w:ascii="Calibri" w:eastAsia="Calibri" w:hAnsi="Calibri" w:cs="Calibri"/>
              </w:rPr>
            </w:pPr>
            <w:r>
              <w:rPr>
                <w:rFonts w:ascii="Calibri" w:eastAsia="Calibri" w:hAnsi="Calibri" w:cs="Calibri"/>
              </w:rPr>
              <w:t>Radiographie thoracique</w:t>
            </w:r>
          </w:p>
        </w:tc>
        <w:tc>
          <w:tcPr>
            <w:tcW w:w="4534" w:type="dxa"/>
          </w:tcPr>
          <w:p w14:paraId="6102767C" w14:textId="77777777" w:rsidR="009D7AC5" w:rsidRDefault="009D7AC5" w:rsidP="0094705B">
            <w:pPr>
              <w:rPr>
                <w:rFonts w:ascii="Calibri" w:eastAsia="Calibri" w:hAnsi="Calibri" w:cs="Calibri"/>
              </w:rPr>
            </w:pPr>
            <w:r>
              <w:rPr>
                <w:rFonts w:ascii="Calibri" w:eastAsia="Calibri" w:hAnsi="Calibri" w:cs="Calibri"/>
              </w:rPr>
              <w:t>Décrire les atteintes pulmonaires et les stades radiographiques</w:t>
            </w:r>
          </w:p>
        </w:tc>
      </w:tr>
      <w:tr w:rsidR="009D7AC5" w14:paraId="0EF3923A" w14:textId="77777777" w:rsidTr="009D7AC5">
        <w:trPr>
          <w:trHeight w:val="201"/>
        </w:trPr>
        <w:tc>
          <w:tcPr>
            <w:tcW w:w="1987" w:type="dxa"/>
            <w:vAlign w:val="center"/>
          </w:tcPr>
          <w:p w14:paraId="2761C1F9" w14:textId="77777777" w:rsidR="009D7AC5" w:rsidRDefault="009D7AC5" w:rsidP="0094705B">
            <w:pPr>
              <w:jc w:val="left"/>
              <w:rPr>
                <w:rFonts w:ascii="Calibri" w:eastAsia="Calibri" w:hAnsi="Calibri" w:cs="Calibri"/>
              </w:rPr>
            </w:pPr>
            <w:r>
              <w:rPr>
                <w:rFonts w:ascii="Calibri" w:eastAsia="Calibri" w:hAnsi="Calibri" w:cs="Calibri"/>
              </w:rPr>
              <w:t>Ex. complémentaires</w:t>
            </w:r>
          </w:p>
        </w:tc>
        <w:tc>
          <w:tcPr>
            <w:tcW w:w="2551" w:type="dxa"/>
            <w:vAlign w:val="center"/>
          </w:tcPr>
          <w:p w14:paraId="6C5B366F" w14:textId="77777777" w:rsidR="009D7AC5" w:rsidRDefault="009D7AC5" w:rsidP="0094705B">
            <w:pPr>
              <w:jc w:val="left"/>
              <w:rPr>
                <w:rFonts w:ascii="Calibri" w:eastAsia="Calibri" w:hAnsi="Calibri" w:cs="Calibri"/>
              </w:rPr>
            </w:pPr>
            <w:r>
              <w:rPr>
                <w:rFonts w:ascii="Calibri" w:eastAsia="Calibri" w:hAnsi="Calibri" w:cs="Calibri"/>
              </w:rPr>
              <w:t>Connaître la sémiologie TDM d’une sarcoïdose</w:t>
            </w:r>
          </w:p>
        </w:tc>
        <w:tc>
          <w:tcPr>
            <w:tcW w:w="4534" w:type="dxa"/>
          </w:tcPr>
          <w:p w14:paraId="02443D62" w14:textId="77777777" w:rsidR="009D7AC5" w:rsidRDefault="009D7AC5" w:rsidP="0094705B">
            <w:pPr>
              <w:rPr>
                <w:rFonts w:ascii="Calibri" w:eastAsia="Calibri" w:hAnsi="Calibri" w:cs="Calibri"/>
              </w:rPr>
            </w:pPr>
            <w:r>
              <w:rPr>
                <w:rFonts w:ascii="Calibri" w:eastAsia="Calibri" w:hAnsi="Calibri" w:cs="Calibri"/>
              </w:rPr>
              <w:t>Adénopathies médiastinales et hilaires ; atteinte interstitielle ; fibrose</w:t>
            </w:r>
          </w:p>
        </w:tc>
      </w:tr>
      <w:tr w:rsidR="009D7AC5" w14:paraId="1957C926" w14:textId="77777777" w:rsidTr="009D7AC5">
        <w:trPr>
          <w:trHeight w:val="201"/>
        </w:trPr>
        <w:tc>
          <w:tcPr>
            <w:tcW w:w="1987" w:type="dxa"/>
            <w:vAlign w:val="center"/>
          </w:tcPr>
          <w:p w14:paraId="313D6256" w14:textId="77777777" w:rsidR="009D7AC5" w:rsidRDefault="009D7AC5" w:rsidP="0094705B">
            <w:pPr>
              <w:jc w:val="left"/>
              <w:rPr>
                <w:rFonts w:ascii="Calibri" w:eastAsia="Calibri" w:hAnsi="Calibri" w:cs="Calibri"/>
              </w:rPr>
            </w:pPr>
            <w:r>
              <w:rPr>
                <w:rFonts w:ascii="Calibri" w:eastAsia="Calibri" w:hAnsi="Calibri" w:cs="Calibri"/>
              </w:rPr>
              <w:t>Identifier une urgence</w:t>
            </w:r>
          </w:p>
        </w:tc>
        <w:tc>
          <w:tcPr>
            <w:tcW w:w="2551" w:type="dxa"/>
            <w:vAlign w:val="center"/>
          </w:tcPr>
          <w:p w14:paraId="1AF24E9E" w14:textId="77777777" w:rsidR="009D7AC5" w:rsidRDefault="009D7AC5" w:rsidP="0094705B">
            <w:pPr>
              <w:jc w:val="left"/>
              <w:rPr>
                <w:rFonts w:ascii="Calibri" w:eastAsia="Calibri" w:hAnsi="Calibri" w:cs="Calibri"/>
              </w:rPr>
            </w:pPr>
            <w:r>
              <w:rPr>
                <w:rFonts w:ascii="Calibri" w:eastAsia="Calibri" w:hAnsi="Calibri" w:cs="Calibri"/>
              </w:rPr>
              <w:t>Connaître les situations d’urgence dans la sarcoïdose</w:t>
            </w:r>
          </w:p>
          <w:p w14:paraId="5CBEC0EA" w14:textId="77777777" w:rsidR="009D7AC5" w:rsidRDefault="009D7AC5" w:rsidP="0094705B">
            <w:pPr>
              <w:jc w:val="left"/>
              <w:rPr>
                <w:rFonts w:ascii="Calibri" w:eastAsia="Calibri" w:hAnsi="Calibri" w:cs="Calibri"/>
                <w:strike/>
              </w:rPr>
            </w:pPr>
          </w:p>
        </w:tc>
        <w:tc>
          <w:tcPr>
            <w:tcW w:w="4534" w:type="dxa"/>
          </w:tcPr>
          <w:p w14:paraId="7E90F018" w14:textId="27811C25" w:rsidR="009D7AC5" w:rsidRDefault="009D7AC5" w:rsidP="0094705B">
            <w:pPr>
              <w:rPr>
                <w:rFonts w:ascii="Calibri" w:eastAsia="Calibri" w:hAnsi="Calibri" w:cs="Calibri"/>
              </w:rPr>
            </w:pPr>
            <w:r>
              <w:rPr>
                <w:rFonts w:ascii="Calibri" w:eastAsia="Calibri" w:hAnsi="Calibri" w:cs="Calibri"/>
              </w:rPr>
              <w:lastRenderedPageBreak/>
              <w:t xml:space="preserve">Insuffisance rénale et hypercalcémie, neuro-sarcoïdose (en particulier hypertension intracrânienne et atteinte médullaire), atteinte </w:t>
            </w:r>
            <w:r>
              <w:rPr>
                <w:rFonts w:ascii="Calibri" w:eastAsia="Calibri" w:hAnsi="Calibri" w:cs="Calibri"/>
              </w:rPr>
              <w:lastRenderedPageBreak/>
              <w:t>cardiaque (en particulier si BAV de haut degré, trouble du rythme ventriculaire ou insuffisance cardiaque), baisse de l’acuité visuelle (en particulier névrite optique)</w:t>
            </w:r>
          </w:p>
        </w:tc>
      </w:tr>
    </w:tbl>
    <w:p w14:paraId="31D0302D" w14:textId="72AA8324" w:rsidR="008E6467" w:rsidRDefault="008E6467" w:rsidP="009D7AC5"/>
    <w:p w14:paraId="1A91D4E0" w14:textId="5B218C41" w:rsidR="00896114" w:rsidRDefault="009D7AC5" w:rsidP="00896114">
      <w:pPr>
        <w:pStyle w:val="Pointscls"/>
      </w:pPr>
      <w:r>
        <w:t>P</w:t>
      </w:r>
      <w:r w:rsidR="00876EF8">
        <w:t>oints clés</w:t>
      </w:r>
    </w:p>
    <w:p w14:paraId="389C485E" w14:textId="77777777" w:rsidR="009D7AC5" w:rsidRDefault="009D7AC5" w:rsidP="009D7AC5">
      <w:pPr>
        <w:pStyle w:val="pointscls1"/>
      </w:pPr>
      <w:r>
        <w:t>La sarcoïdose est une affection systémique, d’étiologie inconnue, hétérogène par son épidémiologie, sa présentation clinique et son devenir évolutif.</w:t>
      </w:r>
    </w:p>
    <w:p w14:paraId="5E912300" w14:textId="77777777" w:rsidR="009D7AC5" w:rsidRDefault="009D7AC5" w:rsidP="009D7AC5">
      <w:pPr>
        <w:pStyle w:val="pointscls1"/>
      </w:pPr>
      <w:r>
        <w:t>Elle est caractérisée sur le plan histologique par des granulomes tuberculoïdes sans nécrose caséeuse dans les organes atteints.</w:t>
      </w:r>
    </w:p>
    <w:p w14:paraId="00F8A393" w14:textId="77777777" w:rsidR="009D7AC5" w:rsidRDefault="009D7AC5" w:rsidP="009D7AC5">
      <w:pPr>
        <w:pStyle w:val="pointscls1"/>
      </w:pPr>
      <w:r>
        <w:t xml:space="preserve">L’atteinte </w:t>
      </w:r>
      <w:proofErr w:type="spellStart"/>
      <w:r>
        <w:t>médiastino</w:t>
      </w:r>
      <w:proofErr w:type="spellEnd"/>
      <w:r>
        <w:t>-pulmonaire s’observe chez environ 90 % des patients et est très utile au diagnostic.</w:t>
      </w:r>
    </w:p>
    <w:p w14:paraId="5DA7F972" w14:textId="77777777" w:rsidR="009D7AC5" w:rsidRDefault="009D7AC5" w:rsidP="009D7AC5">
      <w:pPr>
        <w:pStyle w:val="pointscls1"/>
      </w:pPr>
      <w:r>
        <w:t>Les localisations extra-thoraciques sont polymorphes. Les atteintes oculaires, cutanées, ganglionnaires périphériques et hépatiques sont les plus fréquentes.</w:t>
      </w:r>
    </w:p>
    <w:p w14:paraId="1019695A" w14:textId="77777777" w:rsidR="009D7AC5" w:rsidRDefault="009D7AC5" w:rsidP="009D7AC5">
      <w:pPr>
        <w:pStyle w:val="pointscls1"/>
      </w:pPr>
      <w:r>
        <w:t>Le syndrome de Löfgren associe un érythème noueux généralement fébrile et/ou une inflammation périarticulaire des chevilles et des adénopathies médiastinales et hilaires bilatérales</w:t>
      </w:r>
      <w:r>
        <w:rPr>
          <w:rFonts w:ascii="Arial" w:eastAsia="Arial" w:hAnsi="Arial" w:cs="Arial"/>
        </w:rPr>
        <w:t> </w:t>
      </w:r>
      <w:r>
        <w:t>; son évolution est spontanément favorable dans 90 % des cas.</w:t>
      </w:r>
    </w:p>
    <w:p w14:paraId="39EB65F5" w14:textId="77777777" w:rsidR="009D7AC5" w:rsidRDefault="009D7AC5" w:rsidP="009D7AC5">
      <w:pPr>
        <w:pStyle w:val="pointscls1"/>
      </w:pPr>
      <w:r>
        <w:t>Le diagnostic de sarcoïdose repose sur un tableau clinique compatible, la mise en évidence de granulomes à l’histologie, et l’élimination des autres granulomatoses.</w:t>
      </w:r>
    </w:p>
    <w:p w14:paraId="16B32DB1" w14:textId="77777777" w:rsidR="009D7AC5" w:rsidRDefault="009D7AC5" w:rsidP="009D7AC5">
      <w:pPr>
        <w:pStyle w:val="pointscls1"/>
      </w:pPr>
      <w:r>
        <w:t>La moitié des patients atteints de sarcoïdose ont une évolution spontanément favorable de leur maladie dans les 2 ans qui suivent le diagnostic.</w:t>
      </w:r>
    </w:p>
    <w:p w14:paraId="72EC8FED" w14:textId="77777777" w:rsidR="009D7AC5" w:rsidRDefault="009D7AC5" w:rsidP="009D7AC5">
      <w:pPr>
        <w:pStyle w:val="pointscls1"/>
      </w:pPr>
      <w:r>
        <w:t>Certaines atteintes de la sarcoïdose peuvent mettre en jeu le pronostic fonctionnel de l’organe atteint (poumon, œil, foie, rein) ou le pronostic vital (poumon, cœur, système nerveux central).</w:t>
      </w:r>
    </w:p>
    <w:p w14:paraId="785A72E0" w14:textId="77777777" w:rsidR="009D7AC5" w:rsidRDefault="009D7AC5" w:rsidP="009D7AC5">
      <w:pPr>
        <w:pStyle w:val="pointscls1"/>
        <w:rPr>
          <w:i/>
          <w:iCs/>
        </w:rPr>
      </w:pPr>
      <w:r>
        <w:t>La fibrose pulmonaire est le principal risque évolutif de la sarcoïdose : elle peut entraîner une insuffisance respiratoire chronique, s’associer à une hypertension pulmonaire et se compliquer d’infection aspergillaire chronique.</w:t>
      </w:r>
    </w:p>
    <w:p w14:paraId="6465730F" w14:textId="77777777" w:rsidR="009D7AC5" w:rsidRPr="00075236" w:rsidRDefault="009D7AC5">
      <w:pPr>
        <w:spacing w:after="160"/>
        <w:jc w:val="left"/>
        <w:rPr>
          <w:color w:val="00B050"/>
        </w:rPr>
      </w:pPr>
    </w:p>
    <w:p w14:paraId="45C94311" w14:textId="47B95306" w:rsidR="009D7AC5" w:rsidRPr="00075236" w:rsidRDefault="00075236" w:rsidP="00EC15CE">
      <w:pPr>
        <w:pStyle w:val="Paragraphedeliste"/>
        <w:numPr>
          <w:ilvl w:val="0"/>
          <w:numId w:val="23"/>
        </w:numPr>
        <w:pBdr>
          <w:top w:val="nil"/>
          <w:left w:val="nil"/>
          <w:bottom w:val="nil"/>
          <w:right w:val="nil"/>
          <w:between w:val="nil"/>
        </w:pBdr>
        <w:spacing w:line="276" w:lineRule="auto"/>
        <w:jc w:val="center"/>
        <w:rPr>
          <w:color w:val="00B050"/>
          <w:sz w:val="18"/>
          <w:szCs w:val="18"/>
        </w:rPr>
      </w:pPr>
      <w:r w:rsidRPr="00075236">
        <w:rPr>
          <w:noProof/>
          <w:color w:val="00B050"/>
        </w:rPr>
        <w:drawing>
          <wp:anchor distT="0" distB="0" distL="114300" distR="114300" simplePos="0" relativeHeight="251960320" behindDoc="0" locked="0" layoutInCell="1" hidden="0" allowOverlap="1" wp14:anchorId="5293B24B" wp14:editId="072BD731">
            <wp:simplePos x="0" y="0"/>
            <wp:positionH relativeFrom="column">
              <wp:posOffset>3175</wp:posOffset>
            </wp:positionH>
            <wp:positionV relativeFrom="paragraph">
              <wp:posOffset>9194</wp:posOffset>
            </wp:positionV>
            <wp:extent cx="135890" cy="138430"/>
            <wp:effectExtent l="0" t="0" r="0" b="0"/>
            <wp:wrapThrough wrapText="bothSides">
              <wp:wrapPolygon edited="0">
                <wp:start x="0" y="0"/>
                <wp:lineTo x="0" y="17835"/>
                <wp:lineTo x="18168" y="17835"/>
                <wp:lineTo x="18168" y="0"/>
                <wp:lineTo x="0" y="0"/>
              </wp:wrapPolygon>
            </wp:wrapThrough>
            <wp:docPr id="7524777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35890" cy="138430"/>
                    </a:xfrm>
                    <a:prstGeom prst="rect">
                      <a:avLst/>
                    </a:prstGeom>
                    <a:ln/>
                  </pic:spPr>
                </pic:pic>
              </a:graphicData>
            </a:graphic>
          </wp:anchor>
        </w:drawing>
      </w:r>
      <w:r w:rsidRPr="00075236">
        <w:rPr>
          <w:color w:val="00B050"/>
        </w:rPr>
        <w:t xml:space="preserve"> Pour aller plus loin, répondre à vos questions, ou en savoir plus, le </w:t>
      </w:r>
      <w:r w:rsidR="009D7AC5" w:rsidRPr="00075236">
        <w:rPr>
          <w:color w:val="00B050"/>
          <w:sz w:val="18"/>
          <w:szCs w:val="18"/>
        </w:rPr>
        <w:t xml:space="preserve">PNDS sarcoïdose pulmonaire : </w:t>
      </w:r>
      <w:hyperlink r:id="rId12">
        <w:r w:rsidR="009D7AC5" w:rsidRPr="00075236">
          <w:rPr>
            <w:color w:val="00B050"/>
            <w:sz w:val="18"/>
            <w:szCs w:val="18"/>
            <w:u w:val="single"/>
          </w:rPr>
          <w:t>https://respifil.fr/actus/actualites/premier-pnds-sarcoidose-pulmonaire/</w:t>
        </w:r>
      </w:hyperlink>
    </w:p>
    <w:p w14:paraId="37F1795A" w14:textId="77777777" w:rsidR="009D7AC5" w:rsidRPr="00075236" w:rsidRDefault="009D7AC5">
      <w:pPr>
        <w:spacing w:after="160"/>
        <w:jc w:val="left"/>
        <w:rPr>
          <w:color w:val="00B050"/>
        </w:rPr>
      </w:pPr>
    </w:p>
    <w:p w14:paraId="0D118E1C" w14:textId="1BF01514" w:rsidR="00896114" w:rsidRDefault="00896114">
      <w:pPr>
        <w:spacing w:after="160"/>
        <w:jc w:val="left"/>
        <w:rPr>
          <w:b/>
          <w:bCs/>
          <w:color w:val="FFFFFF"/>
          <w:sz w:val="22"/>
          <w:szCs w:val="22"/>
        </w:rPr>
      </w:pPr>
      <w:r>
        <w:br w:type="page"/>
      </w:r>
    </w:p>
    <w:p w14:paraId="6CCAA836" w14:textId="159405C1" w:rsidR="00B24E4B" w:rsidRDefault="00B24E4B" w:rsidP="00F155BE">
      <w:pPr>
        <w:pStyle w:val="titredepartie"/>
      </w:pPr>
      <w:r>
        <w:lastRenderedPageBreak/>
        <w:t>DEFINITIONS</w:t>
      </w:r>
      <w:r w:rsidR="009175F9">
        <w:t xml:space="preserve"> – </w:t>
      </w:r>
      <w:r>
        <w:t>PHYSIOPATHOLGIE</w:t>
      </w:r>
      <w:r w:rsidR="009175F9">
        <w:t xml:space="preserve"> </w:t>
      </w:r>
      <w:r>
        <w:t>-</w:t>
      </w:r>
      <w:r w:rsidR="009175F9">
        <w:t xml:space="preserve"> </w:t>
      </w:r>
      <w:r>
        <w:t>EPIDEMIOLOGIE</w:t>
      </w:r>
    </w:p>
    <w:p w14:paraId="2F6E5F7A" w14:textId="77777777" w:rsidR="00EC2F22" w:rsidRDefault="00EC2F22" w:rsidP="00F155BE">
      <w:pPr>
        <w:pStyle w:val="titredesous-partie"/>
      </w:pPr>
      <w:r>
        <w:rPr>
          <w:shd w:val="clear" w:color="auto" w:fill="auto"/>
        </w:rPr>
        <w:t xml:space="preserve">Définition </w:t>
      </w:r>
    </w:p>
    <w:p w14:paraId="38518A56" w14:textId="77777777" w:rsidR="00EC2F22" w:rsidRDefault="00EC2F22" w:rsidP="00F155BE">
      <w:pPr>
        <w:spacing w:line="276" w:lineRule="auto"/>
      </w:pPr>
      <w:r>
        <w:t>Maladie systémique, rare, de cause inconnue, caractérisée par l’infiltration des organes atteints par des granulomes immuns épithélioïdes et giganto-cellulaires (appelés aussi granulomes tuberculoïdes) sans nécrose caséeuse (figure 1).</w:t>
      </w:r>
    </w:p>
    <w:p w14:paraId="2B34D5DE" w14:textId="77777777" w:rsidR="00EC2F22" w:rsidRDefault="00EC2F22" w:rsidP="00F155BE">
      <w:pPr>
        <w:spacing w:line="276" w:lineRule="auto"/>
      </w:pPr>
      <w:r>
        <w:t>Le diagnostic nécessite d’avoir éliminé les (autres) causes connues de granulomes.</w:t>
      </w:r>
    </w:p>
    <w:p w14:paraId="24FD6A36" w14:textId="77777777" w:rsidR="00EC2F22" w:rsidRDefault="00EC2F22" w:rsidP="00F155BE">
      <w:pPr>
        <w:spacing w:line="276" w:lineRule="auto"/>
      </w:pPr>
    </w:p>
    <w:p w14:paraId="28E054D0" w14:textId="77777777" w:rsidR="00EC2F22" w:rsidRDefault="00EC2F22" w:rsidP="00F155BE">
      <w:pPr>
        <w:pStyle w:val="titredesous-partie"/>
      </w:pPr>
      <w:r>
        <w:rPr>
          <w:shd w:val="clear" w:color="auto" w:fill="auto"/>
        </w:rPr>
        <w:t>Physiopathologie</w:t>
      </w:r>
    </w:p>
    <w:p w14:paraId="41227612" w14:textId="04A61028" w:rsidR="00EC2F22" w:rsidRDefault="00F155BE" w:rsidP="00F155BE">
      <w:pPr>
        <w:spacing w:line="276" w:lineRule="auto"/>
        <w:rPr>
          <w:color w:val="0070C0"/>
        </w:rPr>
      </w:pPr>
      <w:r>
        <w:rPr>
          <w:noProof/>
        </w:rPr>
        <w:drawing>
          <wp:anchor distT="0" distB="0" distL="114300" distR="114300" simplePos="0" relativeHeight="251945984" behindDoc="0" locked="0" layoutInCell="1" hidden="0" allowOverlap="1" wp14:anchorId="48BB8F93" wp14:editId="4D1C2C96">
            <wp:simplePos x="0" y="0"/>
            <wp:positionH relativeFrom="column">
              <wp:posOffset>-268133</wp:posOffset>
            </wp:positionH>
            <wp:positionV relativeFrom="paragraph">
              <wp:posOffset>3810</wp:posOffset>
            </wp:positionV>
            <wp:extent cx="153670" cy="137160"/>
            <wp:effectExtent l="0" t="0" r="0" b="0"/>
            <wp:wrapSquare wrapText="bothSides" distT="0" distB="0" distL="114300" distR="11430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EC2F22">
        <w:rPr>
          <w:color w:val="0070C0"/>
        </w:rPr>
        <w:t>Les mécanismes de formation des granulomes ne sont pas connus et font intervenir probablement une stimulation par des antigènes de l’environnement (mycobactéries ou autres bactéries, particules inertes…), sur un terrain génétique prédisposé, conduisant à l’accumulation de cellules épithélioïdes et cellules géantes issues de la lignée des monocytes-macrophages, d’un infiltrat lymphocytaire T avec prédominance de lymphocytes T CD4</w:t>
      </w:r>
      <w:r w:rsidR="00EC2F22">
        <w:rPr>
          <w:color w:val="0070C0"/>
          <w:vertAlign w:val="superscript"/>
        </w:rPr>
        <w:t>+</w:t>
      </w:r>
      <w:r w:rsidR="00EC2F22">
        <w:rPr>
          <w:color w:val="0070C0"/>
        </w:rPr>
        <w:t xml:space="preserve">, et d’une fibrose (inconstante). </w:t>
      </w:r>
    </w:p>
    <w:p w14:paraId="62186774" w14:textId="77777777" w:rsidR="00EC2F22" w:rsidRDefault="00EC2F22" w:rsidP="00F155BE">
      <w:pPr>
        <w:spacing w:line="276" w:lineRule="auto"/>
        <w:ind w:left="708"/>
        <w:rPr>
          <w:color w:val="0070C0"/>
        </w:rPr>
      </w:pPr>
    </w:p>
    <w:p w14:paraId="5D45C1F4" w14:textId="77777777" w:rsidR="00EC2F22" w:rsidRDefault="00EC2F22" w:rsidP="00F155BE">
      <w:pPr>
        <w:pStyle w:val="titredesous-partie"/>
      </w:pPr>
      <w:r>
        <w:rPr>
          <w:shd w:val="clear" w:color="auto" w:fill="auto"/>
        </w:rPr>
        <w:t>Anatomopathologie</w:t>
      </w:r>
    </w:p>
    <w:p w14:paraId="582E8E4C" w14:textId="77777777" w:rsidR="00EC2F22" w:rsidRDefault="00EC2F22" w:rsidP="00F155BE">
      <w:pPr>
        <w:spacing w:line="276" w:lineRule="auto"/>
        <w:rPr>
          <w:color w:val="0070C0"/>
        </w:rPr>
      </w:pPr>
      <w:r>
        <w:rPr>
          <w:color w:val="0070C0"/>
        </w:rPr>
        <w:t>Le granulome de la sarcoïdose est constitué d’un follicule central composé de macrophages, cellules épithélioïdes (macrophages activés produisant de nombreuses cytokines) et cellules géantes (fusion de cellules épithélioïdes) qui rentrent en contact avec les lymphocytes T CD4+. Ce follicule est entouré d’une couronne lymphocytaire (T CD4+, CD8+ et B). La nécrose est absente de façon quasi-constante, sa présence devant toujours faire éliminer un diagnostic alternatif, notamment une infection.</w:t>
      </w:r>
    </w:p>
    <w:p w14:paraId="0D15DF97" w14:textId="77777777" w:rsidR="00EC2F22" w:rsidRDefault="00EC2F22" w:rsidP="00F155BE">
      <w:pPr>
        <w:spacing w:line="276" w:lineRule="auto"/>
        <w:ind w:left="708"/>
        <w:rPr>
          <w:color w:val="0070C0"/>
        </w:rPr>
      </w:pPr>
    </w:p>
    <w:p w14:paraId="1B2F5F80" w14:textId="77777777" w:rsidR="00EC2F22" w:rsidRDefault="00EC2F22" w:rsidP="00F155BE">
      <w:pPr>
        <w:pStyle w:val="lgende"/>
      </w:pPr>
      <w:r>
        <w:t xml:space="preserve">Figure 1 : Granulome de sarcoïdose </w:t>
      </w:r>
      <w:proofErr w:type="spellStart"/>
      <w:r>
        <w:t>floride</w:t>
      </w:r>
      <w:proofErr w:type="spellEnd"/>
      <w:r>
        <w:t xml:space="preserve"> (gauche). Granulome de sarcoïdose au stade de fibrose (droite).</w:t>
      </w:r>
    </w:p>
    <w:p w14:paraId="036F7B75" w14:textId="77777777" w:rsidR="00EC2F22" w:rsidRDefault="00EC2F22" w:rsidP="00F155BE">
      <w:pPr>
        <w:spacing w:line="276" w:lineRule="auto"/>
        <w:rPr>
          <w:i/>
          <w:iCs/>
        </w:rPr>
      </w:pPr>
      <w:r>
        <w:rPr>
          <w:i/>
          <w:iCs/>
          <w:noProof/>
        </w:rPr>
        <w:drawing>
          <wp:inline distT="0" distB="0" distL="0" distR="0" wp14:anchorId="6962C721" wp14:editId="2E82D173">
            <wp:extent cx="5739897" cy="2787656"/>
            <wp:effectExtent l="0" t="0" r="0" b="0"/>
            <wp:docPr id="17" name="image8.jpg" descr="figure 9"/>
            <wp:cNvGraphicFramePr/>
            <a:graphic xmlns:a="http://schemas.openxmlformats.org/drawingml/2006/main">
              <a:graphicData uri="http://schemas.openxmlformats.org/drawingml/2006/picture">
                <pic:pic xmlns:pic="http://schemas.openxmlformats.org/drawingml/2006/picture">
                  <pic:nvPicPr>
                    <pic:cNvPr id="0" name="image8.jpg" descr="figure 9"/>
                    <pic:cNvPicPr preferRelativeResize="0"/>
                  </pic:nvPicPr>
                  <pic:blipFill>
                    <a:blip r:embed="rId13"/>
                    <a:srcRect/>
                    <a:stretch>
                      <a:fillRect/>
                    </a:stretch>
                  </pic:blipFill>
                  <pic:spPr>
                    <a:xfrm>
                      <a:off x="0" y="0"/>
                      <a:ext cx="5749311" cy="2792228"/>
                    </a:xfrm>
                    <a:prstGeom prst="rect">
                      <a:avLst/>
                    </a:prstGeom>
                    <a:ln/>
                  </pic:spPr>
                </pic:pic>
              </a:graphicData>
            </a:graphic>
          </wp:inline>
        </w:drawing>
      </w:r>
    </w:p>
    <w:p w14:paraId="66DFF5B1" w14:textId="77777777" w:rsidR="00EC2F22" w:rsidRDefault="00EC2F22" w:rsidP="00F155BE">
      <w:pPr>
        <w:spacing w:line="276" w:lineRule="auto"/>
        <w:rPr>
          <w:i/>
          <w:iCs/>
        </w:rPr>
      </w:pPr>
    </w:p>
    <w:p w14:paraId="38E17E5D" w14:textId="77777777" w:rsidR="00EC2F22" w:rsidRDefault="00EC2F22" w:rsidP="00F155BE">
      <w:pPr>
        <w:pStyle w:val="titredepartie"/>
      </w:pPr>
      <w:r>
        <w:t>Stratégie diagnostique devant une sarcoïdose</w:t>
      </w:r>
    </w:p>
    <w:p w14:paraId="3DB98150" w14:textId="77777777" w:rsidR="00EC2F22" w:rsidRDefault="00EC2F22" w:rsidP="00F155BE">
      <w:pPr>
        <w:spacing w:line="276" w:lineRule="auto"/>
      </w:pPr>
      <w:r>
        <w:lastRenderedPageBreak/>
        <w:t xml:space="preserve">L’épidémiologie, la présentation clinique et l’évolution sont hétérogènes, mais l’atteinte </w:t>
      </w:r>
      <w:proofErr w:type="spellStart"/>
      <w:r>
        <w:t>médiastino</w:t>
      </w:r>
      <w:proofErr w:type="spellEnd"/>
      <w:r>
        <w:t xml:space="preserve">-pulmonaire est : </w:t>
      </w:r>
    </w:p>
    <w:p w14:paraId="10A2B780" w14:textId="77777777" w:rsidR="00EC2F22" w:rsidRDefault="00EC2F22" w:rsidP="00F155BE">
      <w:pPr>
        <w:spacing w:line="276" w:lineRule="auto"/>
      </w:pPr>
      <w:r>
        <w:t>- Présente chez environ 90 % des patients.</w:t>
      </w:r>
    </w:p>
    <w:p w14:paraId="4D667062" w14:textId="77777777" w:rsidR="00EC2F22" w:rsidRDefault="00EC2F22" w:rsidP="00F155BE">
      <w:pPr>
        <w:spacing w:line="276" w:lineRule="auto"/>
      </w:pPr>
      <w:r>
        <w:t>- Isolée dans 50 % des cas.</w:t>
      </w:r>
    </w:p>
    <w:p w14:paraId="6DF232FF" w14:textId="77777777" w:rsidR="00EC2F22" w:rsidRDefault="00EC2F22" w:rsidP="00F155BE">
      <w:pPr>
        <w:spacing w:line="276" w:lineRule="auto"/>
      </w:pPr>
    </w:p>
    <w:p w14:paraId="7F9B40D7" w14:textId="77777777" w:rsidR="00EC2F22" w:rsidRDefault="00EC2F22" w:rsidP="00F155BE">
      <w:pPr>
        <w:spacing w:line="276" w:lineRule="auto"/>
      </w:pPr>
      <w:r>
        <w:t xml:space="preserve">Bien que l’étiologie de la maladie demeure inconnue, des progrès importants ont été réalisés dans la compréhension des mécanismes pathogéniques de la maladie (voir infra). </w:t>
      </w:r>
    </w:p>
    <w:p w14:paraId="02138101" w14:textId="77777777" w:rsidR="00EC2F22" w:rsidRDefault="00EC2F22" w:rsidP="00F155BE">
      <w:pPr>
        <w:spacing w:line="276" w:lineRule="auto"/>
        <w:rPr>
          <w:b/>
          <w:bCs/>
          <w:smallCaps/>
        </w:rPr>
      </w:pPr>
    </w:p>
    <w:p w14:paraId="4148B172" w14:textId="77777777" w:rsidR="00EC2F22" w:rsidRDefault="00EC2F22" w:rsidP="00F155BE">
      <w:pPr>
        <w:pStyle w:val="titredesous-partie"/>
        <w:rPr>
          <w:i/>
          <w:iCs/>
        </w:rPr>
      </w:pPr>
      <w:r>
        <w:rPr>
          <w:shd w:val="clear" w:color="auto" w:fill="auto"/>
        </w:rPr>
        <w:t>MOTIF DE CONSULTATION/PRISE EN CHARGE</w:t>
      </w:r>
      <w:r>
        <w:rPr>
          <w:i/>
          <w:iCs/>
          <w:shd w:val="clear" w:color="auto" w:fill="auto"/>
        </w:rPr>
        <w:t xml:space="preserve"> </w:t>
      </w:r>
    </w:p>
    <w:p w14:paraId="1CCC3118" w14:textId="77777777" w:rsidR="00EC2F22" w:rsidRDefault="00EC2F22" w:rsidP="00F155BE">
      <w:pPr>
        <w:spacing w:line="276" w:lineRule="auto"/>
      </w:pPr>
      <w:r>
        <w:t>Ils sont variés :</w:t>
      </w:r>
    </w:p>
    <w:p w14:paraId="6084258E" w14:textId="77777777" w:rsidR="00EC2F22" w:rsidRDefault="00EC2F22" w:rsidP="00F155BE">
      <w:pPr>
        <w:spacing w:line="276" w:lineRule="auto"/>
      </w:pPr>
      <w:r>
        <w:t>- Signes respiratoires (toux sèche, dyspnée, douleur thoracique).</w:t>
      </w:r>
    </w:p>
    <w:p w14:paraId="48A1AF7F" w14:textId="77777777" w:rsidR="00EC2F22" w:rsidRDefault="00EC2F22" w:rsidP="00F155BE">
      <w:pPr>
        <w:spacing w:line="276" w:lineRule="auto"/>
      </w:pPr>
      <w:r>
        <w:t>- Localisations extra-pulmonaires fréquentes (oculaires, cutanées, adénopathies périphériques).</w:t>
      </w:r>
    </w:p>
    <w:p w14:paraId="7DD67F16" w14:textId="77777777" w:rsidR="00EC2F22" w:rsidRDefault="00EC2F22" w:rsidP="00F155BE">
      <w:pPr>
        <w:spacing w:line="276" w:lineRule="auto"/>
      </w:pPr>
      <w:r>
        <w:t>- Syndrome de Löfgren.</w:t>
      </w:r>
    </w:p>
    <w:p w14:paraId="28D67B09" w14:textId="77777777" w:rsidR="00EC2F22" w:rsidRDefault="00EC2F22" w:rsidP="00F155BE">
      <w:pPr>
        <w:spacing w:line="276" w:lineRule="auto"/>
      </w:pPr>
      <w:r>
        <w:t xml:space="preserve">- Érythème noueux </w:t>
      </w:r>
      <w:r>
        <w:rPr>
          <w:i/>
          <w:iCs/>
        </w:rPr>
        <w:t>(cf. infra)</w:t>
      </w:r>
      <w:r>
        <w:t>.</w:t>
      </w:r>
    </w:p>
    <w:p w14:paraId="473ACE7A" w14:textId="77777777" w:rsidR="00EC2F22" w:rsidRDefault="00EC2F22" w:rsidP="00F155BE">
      <w:pPr>
        <w:spacing w:line="276" w:lineRule="auto"/>
      </w:pPr>
      <w:r>
        <w:t>- Asthénie importante.</w:t>
      </w:r>
    </w:p>
    <w:p w14:paraId="360FFFBA" w14:textId="77777777" w:rsidR="00EC2F22" w:rsidRDefault="00EC2F22" w:rsidP="00F155BE">
      <w:pPr>
        <w:spacing w:line="276" w:lineRule="auto"/>
      </w:pPr>
      <w:r>
        <w:t>- Anomalie sur la radiographique ou le scanner thoracique de découverte fortuite.</w:t>
      </w:r>
    </w:p>
    <w:p w14:paraId="1ED26182" w14:textId="77777777" w:rsidR="00EC2F22" w:rsidRDefault="00EC2F22" w:rsidP="00F155BE">
      <w:pPr>
        <w:spacing w:line="276" w:lineRule="auto"/>
      </w:pPr>
      <w:r>
        <w:t>- Hypercalcémie</w:t>
      </w:r>
    </w:p>
    <w:p w14:paraId="07F37107" w14:textId="77777777" w:rsidR="00EC2F22" w:rsidRDefault="00EC2F22" w:rsidP="00F155BE">
      <w:pPr>
        <w:spacing w:line="276" w:lineRule="auto"/>
      </w:pPr>
      <w:r>
        <w:t>+ autres manifestations rares (voir infra).</w:t>
      </w:r>
    </w:p>
    <w:p w14:paraId="2143C0E2" w14:textId="77777777" w:rsidR="00EC2F22" w:rsidRDefault="00EC2F22" w:rsidP="00F155BE">
      <w:pPr>
        <w:spacing w:line="276" w:lineRule="auto"/>
      </w:pPr>
    </w:p>
    <w:p w14:paraId="3F4B5F70" w14:textId="15818EA8" w:rsidR="00EC2F22" w:rsidRDefault="00EC2F22" w:rsidP="00F155BE">
      <w:pPr>
        <w:pStyle w:val="titredesous-partie"/>
      </w:pPr>
      <w:r>
        <w:rPr>
          <w:shd w:val="clear" w:color="auto" w:fill="auto"/>
        </w:rPr>
        <w:t>TERRAIN ET ATCD</w:t>
      </w:r>
    </w:p>
    <w:p w14:paraId="49993483" w14:textId="264A7ADB" w:rsidR="00EC2F22" w:rsidRDefault="00F155BE" w:rsidP="00F155BE">
      <w:pPr>
        <w:spacing w:line="276" w:lineRule="auto"/>
        <w:rPr>
          <w:b/>
          <w:bCs/>
          <w:color w:val="0070C0"/>
        </w:rPr>
      </w:pPr>
      <w:r>
        <w:rPr>
          <w:noProof/>
        </w:rPr>
        <w:drawing>
          <wp:anchor distT="0" distB="0" distL="114300" distR="114300" simplePos="0" relativeHeight="251947008" behindDoc="0" locked="0" layoutInCell="1" hidden="0" allowOverlap="1" wp14:anchorId="3F1B112E" wp14:editId="74DA4BED">
            <wp:simplePos x="0" y="0"/>
            <wp:positionH relativeFrom="column">
              <wp:posOffset>-262418</wp:posOffset>
            </wp:positionH>
            <wp:positionV relativeFrom="paragraph">
              <wp:posOffset>1905</wp:posOffset>
            </wp:positionV>
            <wp:extent cx="153670" cy="137160"/>
            <wp:effectExtent l="0" t="0" r="0" b="0"/>
            <wp:wrapSquare wrapText="bothSides" distT="0" distB="0" distL="114300" distR="11430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EC2F22">
        <w:rPr>
          <w:b/>
          <w:bCs/>
          <w:color w:val="0070C0"/>
          <w:u w:val="single"/>
        </w:rPr>
        <w:t>Répartition géographique</w:t>
      </w:r>
      <w:r w:rsidR="00EC2F22">
        <w:rPr>
          <w:b/>
          <w:bCs/>
          <w:color w:val="0070C0"/>
        </w:rPr>
        <w:t> :</w:t>
      </w:r>
    </w:p>
    <w:p w14:paraId="158063DA" w14:textId="77777777" w:rsidR="00EC2F22" w:rsidRDefault="00EC2F22" w:rsidP="00F155BE">
      <w:pPr>
        <w:spacing w:line="276" w:lineRule="auto"/>
        <w:rPr>
          <w:color w:val="0070C0"/>
        </w:rPr>
      </w:pPr>
      <w:r>
        <w:rPr>
          <w:color w:val="0070C0"/>
        </w:rPr>
        <w:t>En France, la prévalence est de 30/100 000 habitants.</w:t>
      </w:r>
    </w:p>
    <w:p w14:paraId="79836900" w14:textId="77777777" w:rsidR="00EC2F22" w:rsidRDefault="00EC2F22" w:rsidP="00F155BE">
      <w:pPr>
        <w:spacing w:line="276" w:lineRule="auto"/>
        <w:rPr>
          <w:color w:val="0070C0"/>
        </w:rPr>
      </w:pPr>
      <w:r>
        <w:rPr>
          <w:color w:val="0070C0"/>
        </w:rPr>
        <w:t xml:space="preserve">Affection ubiquitaire dans le monde dont la prévalence varie : </w:t>
      </w:r>
    </w:p>
    <w:p w14:paraId="416017CA" w14:textId="77777777" w:rsidR="00EC2F22" w:rsidRDefault="00EC2F22" w:rsidP="00F155BE">
      <w:pPr>
        <w:spacing w:line="276" w:lineRule="auto"/>
        <w:rPr>
          <w:color w:val="0070C0"/>
        </w:rPr>
      </w:pPr>
      <w:r>
        <w:rPr>
          <w:color w:val="0070C0"/>
        </w:rPr>
        <w:t>- En fonction notamment de l’ethnie, de l’âge, du sexe et des zones géographiques.</w:t>
      </w:r>
    </w:p>
    <w:p w14:paraId="1E7D84B7" w14:textId="77777777" w:rsidR="00EC2F22" w:rsidRDefault="00EC2F22" w:rsidP="00F155BE">
      <w:pPr>
        <w:spacing w:line="276" w:lineRule="auto"/>
        <w:rPr>
          <w:color w:val="0070C0"/>
        </w:rPr>
      </w:pPr>
      <w:r>
        <w:rPr>
          <w:color w:val="0070C0"/>
        </w:rPr>
        <w:t xml:space="preserve">- Les taux les plus élevés sont rapportés chez les </w:t>
      </w:r>
      <w:proofErr w:type="spellStart"/>
      <w:r>
        <w:rPr>
          <w:color w:val="0070C0"/>
        </w:rPr>
        <w:t>afro-descendants</w:t>
      </w:r>
      <w:proofErr w:type="spellEnd"/>
      <w:r>
        <w:rPr>
          <w:color w:val="0070C0"/>
        </w:rPr>
        <w:t xml:space="preserve"> (maladie 3 fois plus fréquente et plus sévère) et dans les pays nordiques de l’Europe, les plus bas dans les pays de l’est de l’Asie.</w:t>
      </w:r>
    </w:p>
    <w:p w14:paraId="50591C46" w14:textId="77777777" w:rsidR="00EC2F22" w:rsidRDefault="00EC2F22" w:rsidP="00F155BE">
      <w:pPr>
        <w:spacing w:line="276" w:lineRule="auto"/>
        <w:ind w:left="720"/>
        <w:rPr>
          <w:color w:val="0070C0"/>
        </w:rPr>
      </w:pPr>
    </w:p>
    <w:p w14:paraId="059E8153" w14:textId="77777777" w:rsidR="00EC2F22" w:rsidRDefault="00EC2F22" w:rsidP="00F155BE">
      <w:pPr>
        <w:spacing w:line="276" w:lineRule="auto"/>
        <w:rPr>
          <w:b/>
          <w:bCs/>
          <w:color w:val="0070C0"/>
        </w:rPr>
      </w:pPr>
      <w:r>
        <w:rPr>
          <w:b/>
          <w:bCs/>
          <w:color w:val="0070C0"/>
          <w:u w:val="single"/>
        </w:rPr>
        <w:t>Âge – sexe</w:t>
      </w:r>
      <w:r>
        <w:rPr>
          <w:b/>
          <w:bCs/>
          <w:color w:val="0070C0"/>
        </w:rPr>
        <w:t> :</w:t>
      </w:r>
    </w:p>
    <w:p w14:paraId="2CD4031A" w14:textId="77777777" w:rsidR="00EC2F22" w:rsidRDefault="00EC2F22" w:rsidP="00F155BE">
      <w:pPr>
        <w:spacing w:line="276" w:lineRule="auto"/>
        <w:rPr>
          <w:color w:val="0070C0"/>
        </w:rPr>
      </w:pPr>
      <w:r>
        <w:rPr>
          <w:color w:val="0070C0"/>
        </w:rPr>
        <w:t>- Bien que la sarcoïdose survienne classiquement entre 25 et 45 ans, l’âge est plus élevé dans les études récentes, avec une incidence maximale entre 40 et 59 ans.</w:t>
      </w:r>
    </w:p>
    <w:p w14:paraId="5C87CDE4" w14:textId="77777777" w:rsidR="00EC2F22" w:rsidRDefault="00EC2F22" w:rsidP="00F155BE">
      <w:pPr>
        <w:spacing w:line="276" w:lineRule="auto"/>
        <w:rPr>
          <w:color w:val="0070C0"/>
        </w:rPr>
      </w:pPr>
      <w:r>
        <w:rPr>
          <w:color w:val="0070C0"/>
        </w:rPr>
        <w:t>- Rare avant 15 ans et après 75 ans.</w:t>
      </w:r>
    </w:p>
    <w:p w14:paraId="60F28EAD" w14:textId="77777777" w:rsidR="00EC2F22" w:rsidRDefault="00EC2F22" w:rsidP="00F155BE">
      <w:pPr>
        <w:spacing w:line="276" w:lineRule="auto"/>
        <w:rPr>
          <w:color w:val="0070C0"/>
        </w:rPr>
      </w:pPr>
      <w:r>
        <w:rPr>
          <w:color w:val="0070C0"/>
        </w:rPr>
        <w:t>- Discrète prépondérance chez la femme (sexe ratio F/M entre 1 et 1,5).</w:t>
      </w:r>
    </w:p>
    <w:p w14:paraId="54585D6F" w14:textId="77777777" w:rsidR="00EC2F22" w:rsidRDefault="00EC2F22" w:rsidP="00F155BE">
      <w:pPr>
        <w:spacing w:line="276" w:lineRule="auto"/>
        <w:rPr>
          <w:color w:val="0070C0"/>
        </w:rPr>
      </w:pPr>
      <w:r>
        <w:rPr>
          <w:color w:val="0070C0"/>
        </w:rPr>
        <w:t>- Il existe des formes familiales de sarcoïdose (&lt;10 %).</w:t>
      </w:r>
    </w:p>
    <w:p w14:paraId="5D055C51" w14:textId="77777777" w:rsidR="00EC2F22" w:rsidRDefault="00EC2F22" w:rsidP="00F155BE">
      <w:pPr>
        <w:spacing w:line="276" w:lineRule="auto"/>
        <w:rPr>
          <w:b/>
          <w:bCs/>
        </w:rPr>
      </w:pPr>
    </w:p>
    <w:p w14:paraId="31B365F8" w14:textId="77777777" w:rsidR="00EC2F22" w:rsidRDefault="00EC2F22" w:rsidP="00F155BE">
      <w:pPr>
        <w:pStyle w:val="titredesous-partie"/>
      </w:pPr>
      <w:r>
        <w:rPr>
          <w:shd w:val="clear" w:color="auto" w:fill="auto"/>
        </w:rPr>
        <w:t>EXAMEN CLINIQUE</w:t>
      </w:r>
    </w:p>
    <w:p w14:paraId="4A5BAD11" w14:textId="77777777" w:rsidR="00EC2F22" w:rsidRDefault="00EC2F22" w:rsidP="00F155BE">
      <w:pPr>
        <w:spacing w:line="276" w:lineRule="auto"/>
        <w:rPr>
          <w:b/>
          <w:bCs/>
        </w:rPr>
      </w:pPr>
      <w:r>
        <w:rPr>
          <w:b/>
          <w:bCs/>
          <w:u w:val="single"/>
        </w:rPr>
        <w:t>Examen respiratoire</w:t>
      </w:r>
      <w:r>
        <w:rPr>
          <w:b/>
          <w:bCs/>
        </w:rPr>
        <w:t> :</w:t>
      </w:r>
    </w:p>
    <w:p w14:paraId="3A0B3413" w14:textId="77777777" w:rsidR="00EC2F22" w:rsidRDefault="00EC2F22" w:rsidP="00F155BE">
      <w:pPr>
        <w:spacing w:line="276" w:lineRule="auto"/>
      </w:pPr>
      <w:r>
        <w:t>- La toux est fréquente, le plus souvent non productive.</w:t>
      </w:r>
    </w:p>
    <w:p w14:paraId="5AD9A101" w14:textId="77777777" w:rsidR="00EC2F22" w:rsidRDefault="00EC2F22" w:rsidP="00F155BE">
      <w:pPr>
        <w:spacing w:line="276" w:lineRule="auto"/>
      </w:pPr>
      <w:r>
        <w:t>- La dyspnée, rare au début, se rencontre souvent dans les formes avancées.</w:t>
      </w:r>
    </w:p>
    <w:p w14:paraId="6A0296FA" w14:textId="77777777" w:rsidR="00EC2F22" w:rsidRDefault="00EC2F22" w:rsidP="00F155BE">
      <w:pPr>
        <w:spacing w:line="276" w:lineRule="auto"/>
      </w:pPr>
      <w:r>
        <w:t xml:space="preserve">- Les douleurs thoraciques peuvent être liées à de volumineuses adénopathies intrathoraciques. </w:t>
      </w:r>
    </w:p>
    <w:p w14:paraId="0066D914" w14:textId="77777777" w:rsidR="00EC2F22" w:rsidRDefault="00EC2F22" w:rsidP="00F155BE">
      <w:pPr>
        <w:spacing w:line="276" w:lineRule="auto"/>
      </w:pPr>
      <w:r>
        <w:t>- L’auscultation pulmonaire est généralement normale. Les râles crépitants sont très rares (&lt;10 %), mais leur prévalence augmente en cas de fibrose. Des râles sibilants peuvent être audibles en cas d’atteinte bronchique.</w:t>
      </w:r>
    </w:p>
    <w:p w14:paraId="04A28918" w14:textId="77777777" w:rsidR="00EC2F22" w:rsidRDefault="00EC2F22" w:rsidP="00F155BE">
      <w:pPr>
        <w:spacing w:line="276" w:lineRule="auto"/>
      </w:pPr>
      <w:r>
        <w:t xml:space="preserve">- L’hippocratisme digital est exceptionnel et doit faire éliminer un diagnostic alternatif. </w:t>
      </w:r>
    </w:p>
    <w:p w14:paraId="6A72135E" w14:textId="77777777" w:rsidR="00EC2F22" w:rsidRDefault="00EC2F22" w:rsidP="00F155BE">
      <w:pPr>
        <w:spacing w:line="276" w:lineRule="auto"/>
      </w:pPr>
    </w:p>
    <w:p w14:paraId="355DE775" w14:textId="778824E4" w:rsidR="00EC2F22" w:rsidRDefault="00EC2F22" w:rsidP="00F155BE">
      <w:pPr>
        <w:spacing w:line="276" w:lineRule="auto"/>
        <w:rPr>
          <w:b/>
          <w:bCs/>
          <w:color w:val="0070C0"/>
        </w:rPr>
      </w:pPr>
      <w:r>
        <w:rPr>
          <w:b/>
          <w:bCs/>
          <w:u w:val="single"/>
        </w:rPr>
        <w:t>Manifestations extra-respiratoires</w:t>
      </w:r>
      <w:r>
        <w:rPr>
          <w:b/>
          <w:bCs/>
        </w:rPr>
        <w:t xml:space="preserve"> </w:t>
      </w:r>
      <w:r>
        <w:rPr>
          <w:b/>
          <w:bCs/>
          <w:color w:val="0070C0"/>
        </w:rPr>
        <w:t>(tableau 1) :</w:t>
      </w:r>
    </w:p>
    <w:p w14:paraId="6E85532F" w14:textId="3CFC3CA2" w:rsidR="00EC2F22" w:rsidRDefault="00F155BE" w:rsidP="00F155BE">
      <w:pPr>
        <w:spacing w:line="276" w:lineRule="auto"/>
        <w:rPr>
          <w:color w:val="0070C0"/>
        </w:rPr>
      </w:pPr>
      <w:r>
        <w:rPr>
          <w:noProof/>
        </w:rPr>
        <w:drawing>
          <wp:anchor distT="0" distB="0" distL="114300" distR="114300" simplePos="0" relativeHeight="251958272" behindDoc="0" locked="0" layoutInCell="1" hidden="0" allowOverlap="1" wp14:anchorId="33AEEBCB" wp14:editId="7BD2378A">
            <wp:simplePos x="0" y="0"/>
            <wp:positionH relativeFrom="column">
              <wp:posOffset>-264958</wp:posOffset>
            </wp:positionH>
            <wp:positionV relativeFrom="paragraph">
              <wp:posOffset>0</wp:posOffset>
            </wp:positionV>
            <wp:extent cx="153670" cy="137160"/>
            <wp:effectExtent l="0" t="0" r="0" b="0"/>
            <wp:wrapSquare wrapText="bothSides" distT="0" distB="0" distL="114300" distR="11430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EC2F22">
        <w:rPr>
          <w:color w:val="0070C0"/>
        </w:rPr>
        <w:t xml:space="preserve">Très polymorphes. </w:t>
      </w:r>
    </w:p>
    <w:p w14:paraId="0BD5308F" w14:textId="77777777" w:rsidR="00EC2F22" w:rsidRDefault="00EC2F22" w:rsidP="00F155BE">
      <w:pPr>
        <w:spacing w:line="276" w:lineRule="auto"/>
        <w:rPr>
          <w:color w:val="0070C0"/>
        </w:rPr>
      </w:pPr>
      <w:r>
        <w:rPr>
          <w:color w:val="0070C0"/>
        </w:rPr>
        <w:t>- Les plus fréquentes : atteintes cutanées, oculaires (parfois totalement asymptomatiques), ganglionnaires périphériques et hépatiques.</w:t>
      </w:r>
    </w:p>
    <w:p w14:paraId="0CB48271" w14:textId="77777777" w:rsidR="00EC2F22" w:rsidRDefault="00EC2F22" w:rsidP="00F155BE">
      <w:pPr>
        <w:spacing w:line="276" w:lineRule="auto"/>
        <w:rPr>
          <w:color w:val="0070C0"/>
        </w:rPr>
      </w:pPr>
      <w:r>
        <w:rPr>
          <w:color w:val="0070C0"/>
        </w:rPr>
        <w:t xml:space="preserve">- D’un apport diagnostique important lorsqu’elles sont associées à une atteinte </w:t>
      </w:r>
      <w:proofErr w:type="spellStart"/>
      <w:r>
        <w:rPr>
          <w:color w:val="0070C0"/>
        </w:rPr>
        <w:t>médiastino</w:t>
      </w:r>
      <w:proofErr w:type="spellEnd"/>
      <w:r>
        <w:rPr>
          <w:color w:val="0070C0"/>
        </w:rPr>
        <w:t>-pulmonaire, affirmant le caractère systémique de la maladie.</w:t>
      </w:r>
    </w:p>
    <w:p w14:paraId="03FCEE23" w14:textId="77777777" w:rsidR="00EC2F22" w:rsidRDefault="00EC2F22" w:rsidP="00F155BE">
      <w:pPr>
        <w:spacing w:line="276" w:lineRule="auto"/>
        <w:rPr>
          <w:color w:val="0070C0"/>
        </w:rPr>
      </w:pPr>
      <w:r>
        <w:rPr>
          <w:color w:val="0070C0"/>
        </w:rPr>
        <w:t>- Peuvent avoir un impact pronostique.</w:t>
      </w:r>
    </w:p>
    <w:p w14:paraId="19487A53" w14:textId="77777777" w:rsidR="00EC2F22" w:rsidRDefault="00EC2F22" w:rsidP="00F155BE">
      <w:pPr>
        <w:spacing w:line="276" w:lineRule="auto"/>
        <w:rPr>
          <w:b/>
          <w:bCs/>
          <w:color w:val="0070C0"/>
        </w:rPr>
      </w:pPr>
    </w:p>
    <w:p w14:paraId="006A0DDF" w14:textId="2C1941AB" w:rsidR="004C208B" w:rsidRPr="005E62EA" w:rsidRDefault="00EC2F22" w:rsidP="004C208B">
      <w:pPr>
        <w:pBdr>
          <w:top w:val="nil"/>
          <w:left w:val="nil"/>
          <w:bottom w:val="nil"/>
          <w:right w:val="nil"/>
          <w:between w:val="nil"/>
        </w:pBdr>
        <w:rPr>
          <w:rFonts w:ascii="Arial" w:eastAsia="Arial" w:hAnsi="Arial"/>
          <w:color w:val="0070C0"/>
          <w:sz w:val="18"/>
          <w:szCs w:val="18"/>
        </w:rPr>
      </w:pPr>
      <w:r w:rsidRPr="00F155BE">
        <w:rPr>
          <w:color w:val="0070C0"/>
        </w:rPr>
        <w:t>Tableau 1 : Principales manifestations extra-respiratoires de sarcoïdose</w:t>
      </w:r>
      <w:r w:rsidR="004C208B">
        <w:rPr>
          <w:color w:val="0070C0"/>
        </w:rPr>
        <w:t xml:space="preserve"> (</w:t>
      </w:r>
      <w:r w:rsidR="004C208B" w:rsidRPr="70E77436">
        <w:rPr>
          <w:rFonts w:ascii="Arial" w:eastAsia="Arial" w:hAnsi="Arial"/>
          <w:color w:val="0070C0"/>
          <w:sz w:val="18"/>
          <w:szCs w:val="18"/>
        </w:rPr>
        <w:t>PAL : phosphatases alcalines ; TP : taux de prothrombine ; IRM : imagerie en résonance magnétique ; TDM : tomodensitométrie ; PL : ponction lombaire ; EMG : électromyogramme)</w:t>
      </w:r>
    </w:p>
    <w:p w14:paraId="0C89922E" w14:textId="7FA2C427" w:rsidR="00EC2F22" w:rsidRPr="00F155BE" w:rsidRDefault="00EC2F22" w:rsidP="00F155BE">
      <w:pPr>
        <w:pStyle w:val="lgende"/>
        <w:rPr>
          <w:color w:val="0070C0"/>
        </w:rPr>
      </w:pP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1418"/>
        <w:gridCol w:w="1129"/>
        <w:gridCol w:w="3969"/>
        <w:gridCol w:w="2551"/>
      </w:tblGrid>
      <w:tr w:rsidR="00EC2F22" w:rsidRPr="00F155BE" w14:paraId="7F9FAA68" w14:textId="77777777" w:rsidTr="00F155BE">
        <w:trPr>
          <w:trHeight w:val="221"/>
        </w:trPr>
        <w:tc>
          <w:tcPr>
            <w:tcW w:w="1418" w:type="dxa"/>
            <w:shd w:val="clear" w:color="auto" w:fill="0070C0"/>
            <w:vAlign w:val="center"/>
          </w:tcPr>
          <w:p w14:paraId="14B9A1E4" w14:textId="77777777" w:rsidR="00EC2F22" w:rsidRPr="00F155BE" w:rsidRDefault="00EC2F22" w:rsidP="00F155BE">
            <w:pPr>
              <w:spacing w:line="276" w:lineRule="auto"/>
              <w:jc w:val="center"/>
              <w:rPr>
                <w:rFonts w:ascii="Calibri" w:eastAsia="Calibri" w:hAnsi="Calibri" w:cs="Calibri"/>
                <w:b/>
                <w:bCs/>
                <w:color w:val="FFFFFF"/>
              </w:rPr>
            </w:pPr>
            <w:r w:rsidRPr="00F155BE">
              <w:rPr>
                <w:rFonts w:ascii="Calibri" w:eastAsia="Calibri" w:hAnsi="Calibri" w:cs="Calibri"/>
                <w:b/>
                <w:bCs/>
                <w:color w:val="FFFFFF"/>
              </w:rPr>
              <w:t>Localisations</w:t>
            </w:r>
          </w:p>
        </w:tc>
        <w:tc>
          <w:tcPr>
            <w:tcW w:w="1129" w:type="dxa"/>
            <w:shd w:val="clear" w:color="auto" w:fill="0070C0"/>
            <w:vAlign w:val="center"/>
          </w:tcPr>
          <w:p w14:paraId="30845DA1" w14:textId="77777777" w:rsidR="00EC2F22" w:rsidRPr="00F155BE" w:rsidRDefault="00EC2F22" w:rsidP="00F155BE">
            <w:pPr>
              <w:spacing w:line="276" w:lineRule="auto"/>
              <w:jc w:val="center"/>
              <w:rPr>
                <w:rFonts w:ascii="Calibri" w:eastAsia="Calibri" w:hAnsi="Calibri" w:cs="Calibri"/>
                <w:b/>
                <w:bCs/>
                <w:color w:val="FFFFFF"/>
              </w:rPr>
            </w:pPr>
            <w:r w:rsidRPr="00F155BE">
              <w:rPr>
                <w:rFonts w:ascii="Calibri" w:eastAsia="Calibri" w:hAnsi="Calibri" w:cs="Calibri"/>
                <w:b/>
                <w:bCs/>
                <w:color w:val="FFFFFF"/>
              </w:rPr>
              <w:t>Fréquence</w:t>
            </w:r>
          </w:p>
        </w:tc>
        <w:tc>
          <w:tcPr>
            <w:tcW w:w="3969" w:type="dxa"/>
            <w:shd w:val="clear" w:color="auto" w:fill="0070C0"/>
            <w:vAlign w:val="center"/>
          </w:tcPr>
          <w:p w14:paraId="6108ACFF" w14:textId="77777777" w:rsidR="00EC2F22" w:rsidRPr="00F155BE" w:rsidRDefault="00EC2F22" w:rsidP="00F155BE">
            <w:pPr>
              <w:spacing w:line="276" w:lineRule="auto"/>
              <w:jc w:val="center"/>
              <w:rPr>
                <w:rFonts w:ascii="Calibri" w:eastAsia="Calibri" w:hAnsi="Calibri" w:cs="Calibri"/>
                <w:b/>
                <w:bCs/>
                <w:color w:val="FFFFFF"/>
              </w:rPr>
            </w:pPr>
            <w:r w:rsidRPr="00F155BE">
              <w:rPr>
                <w:rFonts w:ascii="Calibri" w:eastAsia="Calibri" w:hAnsi="Calibri" w:cs="Calibri"/>
                <w:b/>
                <w:bCs/>
                <w:color w:val="FFFFFF"/>
              </w:rPr>
              <w:t>Manifestations cliniques et biologiques</w:t>
            </w:r>
          </w:p>
        </w:tc>
        <w:tc>
          <w:tcPr>
            <w:tcW w:w="2551" w:type="dxa"/>
            <w:shd w:val="clear" w:color="auto" w:fill="0070C0"/>
            <w:vAlign w:val="center"/>
          </w:tcPr>
          <w:p w14:paraId="24E1A5BB" w14:textId="77777777" w:rsidR="00EC2F22" w:rsidRPr="00F155BE" w:rsidRDefault="00EC2F22" w:rsidP="00F155BE">
            <w:pPr>
              <w:spacing w:line="276" w:lineRule="auto"/>
              <w:jc w:val="center"/>
              <w:rPr>
                <w:rFonts w:ascii="Calibri" w:eastAsia="Calibri" w:hAnsi="Calibri" w:cs="Calibri"/>
                <w:b/>
                <w:bCs/>
                <w:color w:val="FFFFFF"/>
              </w:rPr>
            </w:pPr>
            <w:r w:rsidRPr="00F155BE">
              <w:rPr>
                <w:rFonts w:ascii="Calibri" w:eastAsia="Calibri" w:hAnsi="Calibri" w:cs="Calibri"/>
                <w:b/>
                <w:bCs/>
                <w:color w:val="FFFFFF"/>
              </w:rPr>
              <w:t>Explorations</w:t>
            </w:r>
          </w:p>
        </w:tc>
      </w:tr>
      <w:tr w:rsidR="00EC2F22" w:rsidRPr="00F155BE" w14:paraId="583458F8" w14:textId="77777777" w:rsidTr="00F155BE">
        <w:trPr>
          <w:trHeight w:val="693"/>
        </w:trPr>
        <w:tc>
          <w:tcPr>
            <w:tcW w:w="1418" w:type="dxa"/>
            <w:shd w:val="clear" w:color="auto" w:fill="F2F2F2"/>
            <w:vAlign w:val="center"/>
          </w:tcPr>
          <w:p w14:paraId="2B594FD1"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Œil</w:t>
            </w:r>
          </w:p>
        </w:tc>
        <w:tc>
          <w:tcPr>
            <w:tcW w:w="1129" w:type="dxa"/>
            <w:shd w:val="clear" w:color="auto" w:fill="F2F2F2"/>
            <w:vAlign w:val="center"/>
          </w:tcPr>
          <w:p w14:paraId="1C57DE78"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15-30 %</w:t>
            </w:r>
          </w:p>
        </w:tc>
        <w:tc>
          <w:tcPr>
            <w:tcW w:w="3969" w:type="dxa"/>
            <w:shd w:val="clear" w:color="auto" w:fill="F2F2F2"/>
            <w:vAlign w:val="center"/>
          </w:tcPr>
          <w:p w14:paraId="71FE5764" w14:textId="77777777" w:rsidR="00EC2F22" w:rsidRPr="00F155BE" w:rsidRDefault="00000000" w:rsidP="00F155BE">
            <w:pPr>
              <w:spacing w:line="276" w:lineRule="auto"/>
              <w:jc w:val="left"/>
              <w:rPr>
                <w:rFonts w:ascii="Calibri" w:eastAsia="Calibri" w:hAnsi="Calibri" w:cs="Calibri"/>
                <w:color w:val="0070C0"/>
              </w:rPr>
            </w:pPr>
            <w:sdt>
              <w:sdtPr>
                <w:rPr>
                  <w:rFonts w:ascii="Calibri" w:hAnsi="Calibri" w:cs="Calibri"/>
                </w:rPr>
                <w:tag w:val="goog_rdk_0"/>
                <w:id w:val="-1825228723"/>
              </w:sdtPr>
              <w:sdtContent/>
            </w:sdt>
            <w:r w:rsidR="00EC2F22" w:rsidRPr="00F155BE">
              <w:rPr>
                <w:rFonts w:ascii="Calibri" w:eastAsia="Calibri" w:hAnsi="Calibri" w:cs="Calibri"/>
                <w:b/>
                <w:bCs/>
                <w:color w:val="0070C0"/>
              </w:rPr>
              <w:t>Uvéite</w:t>
            </w:r>
            <w:r w:rsidR="00EC2F22" w:rsidRPr="00F155BE">
              <w:rPr>
                <w:rFonts w:ascii="Calibri" w:eastAsia="Calibri" w:hAnsi="Calibri" w:cs="Calibri"/>
                <w:color w:val="0070C0"/>
              </w:rPr>
              <w:t>, atteinte lacrymale (kérato-conjonctivite sèche, dacryoadénite), sclérite (rare), névrite optique, nodule conjonctival, rétinite</w:t>
            </w:r>
          </w:p>
        </w:tc>
        <w:tc>
          <w:tcPr>
            <w:tcW w:w="2551" w:type="dxa"/>
            <w:shd w:val="clear" w:color="auto" w:fill="F2F2F2"/>
            <w:vAlign w:val="center"/>
          </w:tcPr>
          <w:p w14:paraId="456B8134"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Examen à la lampe à fente</w:t>
            </w:r>
          </w:p>
          <w:p w14:paraId="484874B1"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Fond d’œil </w:t>
            </w:r>
          </w:p>
          <w:p w14:paraId="1EB18B1C"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Angiographie rétinienne </w:t>
            </w:r>
          </w:p>
          <w:p w14:paraId="1C327EBA"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Biopsie nodule conjonctival</w:t>
            </w:r>
          </w:p>
        </w:tc>
      </w:tr>
      <w:tr w:rsidR="00EC2F22" w:rsidRPr="00F155BE" w14:paraId="17B7244E" w14:textId="77777777" w:rsidTr="00F155BE">
        <w:trPr>
          <w:trHeight w:val="678"/>
        </w:trPr>
        <w:tc>
          <w:tcPr>
            <w:tcW w:w="1418" w:type="dxa"/>
            <w:vAlign w:val="center"/>
          </w:tcPr>
          <w:p w14:paraId="6B461329"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Peau</w:t>
            </w:r>
          </w:p>
        </w:tc>
        <w:tc>
          <w:tcPr>
            <w:tcW w:w="1129" w:type="dxa"/>
            <w:vAlign w:val="center"/>
          </w:tcPr>
          <w:p w14:paraId="7A59E967"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15-25 %</w:t>
            </w:r>
          </w:p>
        </w:tc>
        <w:tc>
          <w:tcPr>
            <w:tcW w:w="3969" w:type="dxa"/>
            <w:vAlign w:val="center"/>
          </w:tcPr>
          <w:p w14:paraId="665C08A1"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Sarcoïdes</w:t>
            </w:r>
            <w:r w:rsidRPr="00F155BE">
              <w:rPr>
                <w:rFonts w:ascii="Calibri" w:eastAsia="Calibri" w:hAnsi="Calibri" w:cs="Calibri"/>
                <w:color w:val="0070C0"/>
              </w:rPr>
              <w:t xml:space="preserve"> à petits ou gros nodules ou en plaques ; nodules sur cicatrice ou tatouage ; nodules sous-cutanés ; lupus </w:t>
            </w:r>
            <w:proofErr w:type="spellStart"/>
            <w:r w:rsidRPr="00F155BE">
              <w:rPr>
                <w:rFonts w:ascii="Calibri" w:eastAsia="Calibri" w:hAnsi="Calibri" w:cs="Calibri"/>
                <w:color w:val="0070C0"/>
              </w:rPr>
              <w:t>pernio</w:t>
            </w:r>
            <w:proofErr w:type="spellEnd"/>
          </w:p>
        </w:tc>
        <w:tc>
          <w:tcPr>
            <w:tcW w:w="2551" w:type="dxa"/>
            <w:vAlign w:val="center"/>
          </w:tcPr>
          <w:p w14:paraId="73C3FE33"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Consultation dermatologique</w:t>
            </w:r>
          </w:p>
          <w:p w14:paraId="40FBD214"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Biopsie cutanée</w:t>
            </w:r>
          </w:p>
        </w:tc>
      </w:tr>
      <w:tr w:rsidR="00EC2F22" w:rsidRPr="00F155BE" w14:paraId="16884878" w14:textId="77777777" w:rsidTr="00F155BE">
        <w:trPr>
          <w:trHeight w:val="583"/>
        </w:trPr>
        <w:tc>
          <w:tcPr>
            <w:tcW w:w="1418" w:type="dxa"/>
            <w:shd w:val="clear" w:color="auto" w:fill="F2F2F2"/>
            <w:vAlign w:val="center"/>
          </w:tcPr>
          <w:p w14:paraId="67F89269"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Adénopathies</w:t>
            </w:r>
          </w:p>
        </w:tc>
        <w:tc>
          <w:tcPr>
            <w:tcW w:w="1129" w:type="dxa"/>
            <w:shd w:val="clear" w:color="auto" w:fill="F2F2F2"/>
            <w:vAlign w:val="center"/>
          </w:tcPr>
          <w:p w14:paraId="4615AA53"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15 %</w:t>
            </w:r>
          </w:p>
        </w:tc>
        <w:tc>
          <w:tcPr>
            <w:tcW w:w="3969" w:type="dxa"/>
            <w:shd w:val="clear" w:color="auto" w:fill="F2F2F2"/>
            <w:vAlign w:val="center"/>
          </w:tcPr>
          <w:p w14:paraId="4834065F"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Superficielles</w:t>
            </w:r>
            <w:r w:rsidRPr="00F155BE">
              <w:rPr>
                <w:rFonts w:ascii="Calibri" w:eastAsia="Calibri" w:hAnsi="Calibri" w:cs="Calibri"/>
                <w:color w:val="0070C0"/>
              </w:rPr>
              <w:t xml:space="preserve"> (cervicales, </w:t>
            </w:r>
            <w:proofErr w:type="spellStart"/>
            <w:r w:rsidRPr="00F155BE">
              <w:rPr>
                <w:rFonts w:ascii="Calibri" w:eastAsia="Calibri" w:hAnsi="Calibri" w:cs="Calibri"/>
                <w:color w:val="0070C0"/>
              </w:rPr>
              <w:t>sus-claviculaires</w:t>
            </w:r>
            <w:proofErr w:type="spellEnd"/>
            <w:r w:rsidRPr="00F155BE">
              <w:rPr>
                <w:rFonts w:ascii="Calibri" w:eastAsia="Calibri" w:hAnsi="Calibri" w:cs="Calibri"/>
                <w:color w:val="0070C0"/>
              </w:rPr>
              <w:t xml:space="preserve">, axillaires, </w:t>
            </w:r>
            <w:proofErr w:type="spellStart"/>
            <w:r w:rsidRPr="00F155BE">
              <w:rPr>
                <w:rFonts w:ascii="Calibri" w:eastAsia="Calibri" w:hAnsi="Calibri" w:cs="Calibri"/>
                <w:color w:val="0070C0"/>
              </w:rPr>
              <w:t>épi-trochléennes</w:t>
            </w:r>
            <w:proofErr w:type="spellEnd"/>
            <w:r w:rsidRPr="00F155BE">
              <w:rPr>
                <w:rFonts w:ascii="Calibri" w:eastAsia="Calibri" w:hAnsi="Calibri" w:cs="Calibri"/>
                <w:color w:val="0070C0"/>
              </w:rPr>
              <w:t xml:space="preserve"> et inguinales) non douloureuses et mobiles,</w:t>
            </w:r>
          </w:p>
          <w:p w14:paraId="0EE54AA6"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Profondes</w:t>
            </w:r>
            <w:r w:rsidRPr="00F155BE">
              <w:rPr>
                <w:rFonts w:ascii="Calibri" w:eastAsia="Calibri" w:hAnsi="Calibri" w:cs="Calibri"/>
                <w:color w:val="0070C0"/>
              </w:rPr>
              <w:t> (abdominales)</w:t>
            </w:r>
          </w:p>
          <w:p w14:paraId="0D6D7782"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2 adénopathies extra-thoraciques</w:t>
            </w:r>
          </w:p>
        </w:tc>
        <w:tc>
          <w:tcPr>
            <w:tcW w:w="2551" w:type="dxa"/>
            <w:shd w:val="clear" w:color="auto" w:fill="F2F2F2"/>
            <w:vAlign w:val="center"/>
          </w:tcPr>
          <w:p w14:paraId="3B8E685B"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Examen clinique</w:t>
            </w:r>
          </w:p>
          <w:p w14:paraId="61463263"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Échographie</w:t>
            </w:r>
          </w:p>
          <w:p w14:paraId="5D07FD2B"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Biopsie ganglionnaire </w:t>
            </w:r>
          </w:p>
        </w:tc>
      </w:tr>
      <w:tr w:rsidR="00EC2F22" w:rsidRPr="00F155BE" w14:paraId="75E0FEA7" w14:textId="77777777" w:rsidTr="00F155BE">
        <w:trPr>
          <w:trHeight w:val="568"/>
        </w:trPr>
        <w:tc>
          <w:tcPr>
            <w:tcW w:w="1418" w:type="dxa"/>
            <w:shd w:val="clear" w:color="auto" w:fill="F2F2F2"/>
            <w:vAlign w:val="center"/>
          </w:tcPr>
          <w:p w14:paraId="0550E203"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Foie/rate</w:t>
            </w:r>
          </w:p>
        </w:tc>
        <w:tc>
          <w:tcPr>
            <w:tcW w:w="1129" w:type="dxa"/>
            <w:shd w:val="clear" w:color="auto" w:fill="F2F2F2"/>
            <w:vAlign w:val="center"/>
          </w:tcPr>
          <w:p w14:paraId="0AFB4C55"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15 %</w:t>
            </w:r>
          </w:p>
        </w:tc>
        <w:tc>
          <w:tcPr>
            <w:tcW w:w="3969" w:type="dxa"/>
            <w:shd w:val="clear" w:color="auto" w:fill="F2F2F2"/>
            <w:vAlign w:val="center"/>
          </w:tcPr>
          <w:p w14:paraId="65AC180B"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 xml:space="preserve">Cholestase non ictérique (PAL &gt; 3 N), </w:t>
            </w:r>
            <w:r w:rsidRPr="00F155BE">
              <w:rPr>
                <w:rFonts w:ascii="Calibri" w:eastAsia="Calibri" w:hAnsi="Calibri" w:cs="Calibri"/>
                <w:color w:val="0070C0"/>
              </w:rPr>
              <w:t>cytolyse ; hépatomégalie, splénomégalie</w:t>
            </w:r>
            <w:r w:rsidRPr="00F155BE">
              <w:rPr>
                <w:rFonts w:ascii="Calibri" w:eastAsia="Calibri" w:hAnsi="Calibri" w:cs="Calibri"/>
                <w:color w:val="0070C0"/>
                <w:vertAlign w:val="superscript"/>
              </w:rPr>
              <w:footnoteReference w:id="1"/>
            </w:r>
            <w:r w:rsidRPr="00F155BE">
              <w:rPr>
                <w:rFonts w:ascii="Calibri" w:eastAsia="Calibri" w:hAnsi="Calibri" w:cs="Calibri"/>
                <w:color w:val="0070C0"/>
              </w:rPr>
              <w:t xml:space="preserve">, nodules </w:t>
            </w:r>
            <w:proofErr w:type="spellStart"/>
            <w:r w:rsidRPr="00F155BE">
              <w:rPr>
                <w:rFonts w:ascii="Calibri" w:eastAsia="Calibri" w:hAnsi="Calibri" w:cs="Calibri"/>
                <w:color w:val="0070C0"/>
              </w:rPr>
              <w:t>hépato-spléniques</w:t>
            </w:r>
            <w:proofErr w:type="spellEnd"/>
            <w:r w:rsidRPr="00F155BE">
              <w:rPr>
                <w:rFonts w:ascii="Calibri" w:eastAsia="Calibri" w:hAnsi="Calibri" w:cs="Calibri"/>
                <w:color w:val="0070C0"/>
              </w:rPr>
              <w:t> ; rarement : cirrhose, hypertension portale</w:t>
            </w:r>
          </w:p>
        </w:tc>
        <w:tc>
          <w:tcPr>
            <w:tcW w:w="2551" w:type="dxa"/>
            <w:shd w:val="clear" w:color="auto" w:fill="F2F2F2"/>
            <w:vAlign w:val="center"/>
          </w:tcPr>
          <w:p w14:paraId="16233C8F"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Enzymes hépatiques</w:t>
            </w:r>
          </w:p>
          <w:p w14:paraId="60D6F644"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TP </w:t>
            </w:r>
          </w:p>
          <w:p w14:paraId="31B27103"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Échographie </w:t>
            </w:r>
          </w:p>
          <w:p w14:paraId="25A63F8E"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Biopsie hépatique </w:t>
            </w:r>
          </w:p>
        </w:tc>
      </w:tr>
      <w:tr w:rsidR="00EC2F22" w:rsidRPr="00F155BE" w14:paraId="26C4B2DF" w14:textId="77777777" w:rsidTr="00F155BE">
        <w:trPr>
          <w:trHeight w:val="1000"/>
        </w:trPr>
        <w:tc>
          <w:tcPr>
            <w:tcW w:w="1418" w:type="dxa"/>
            <w:vAlign w:val="center"/>
          </w:tcPr>
          <w:p w14:paraId="5396453A"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Système nerveux</w:t>
            </w:r>
          </w:p>
        </w:tc>
        <w:tc>
          <w:tcPr>
            <w:tcW w:w="1129" w:type="dxa"/>
            <w:vAlign w:val="center"/>
          </w:tcPr>
          <w:p w14:paraId="46EAA5F3"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5-10 %</w:t>
            </w:r>
          </w:p>
        </w:tc>
        <w:tc>
          <w:tcPr>
            <w:tcW w:w="3969" w:type="dxa"/>
            <w:vAlign w:val="center"/>
          </w:tcPr>
          <w:p w14:paraId="32ED39FD"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Atteinte méningée</w:t>
            </w:r>
            <w:r w:rsidRPr="00F155BE">
              <w:rPr>
                <w:rFonts w:ascii="Calibri" w:eastAsia="Calibri" w:hAnsi="Calibri" w:cs="Calibri"/>
                <w:color w:val="0070C0"/>
              </w:rPr>
              <w:t xml:space="preserve"> ; atteinte </w:t>
            </w:r>
            <w:proofErr w:type="spellStart"/>
            <w:r w:rsidRPr="00F155BE">
              <w:rPr>
                <w:rFonts w:ascii="Calibri" w:eastAsia="Calibri" w:hAnsi="Calibri" w:cs="Calibri"/>
                <w:color w:val="0070C0"/>
              </w:rPr>
              <w:t>neuro-endocrine</w:t>
            </w:r>
            <w:proofErr w:type="spellEnd"/>
            <w:r w:rsidRPr="00F155BE">
              <w:rPr>
                <w:rFonts w:ascii="Calibri" w:eastAsia="Calibri" w:hAnsi="Calibri" w:cs="Calibri"/>
                <w:color w:val="0070C0"/>
              </w:rPr>
              <w:t xml:space="preserve"> (diabète insipide, insuffisance </w:t>
            </w:r>
            <w:proofErr w:type="spellStart"/>
            <w:r w:rsidRPr="00F155BE">
              <w:rPr>
                <w:rFonts w:ascii="Calibri" w:eastAsia="Calibri" w:hAnsi="Calibri" w:cs="Calibri"/>
                <w:color w:val="0070C0"/>
              </w:rPr>
              <w:t>anté-hypophysaire</w:t>
            </w:r>
            <w:proofErr w:type="spellEnd"/>
            <w:r w:rsidRPr="00F155BE">
              <w:rPr>
                <w:rFonts w:ascii="Calibri" w:eastAsia="Calibri" w:hAnsi="Calibri" w:cs="Calibri"/>
                <w:color w:val="0070C0"/>
                <w:vertAlign w:val="superscript"/>
              </w:rPr>
              <w:footnoteReference w:id="2"/>
            </w:r>
            <w:r w:rsidRPr="00F155BE">
              <w:rPr>
                <w:rFonts w:ascii="Calibri" w:eastAsia="Calibri" w:hAnsi="Calibri" w:cs="Calibri"/>
                <w:color w:val="0070C0"/>
                <w:vertAlign w:val="superscript"/>
              </w:rPr>
              <w:t>,</w:t>
            </w:r>
            <w:r w:rsidRPr="00F155BE">
              <w:rPr>
                <w:rFonts w:ascii="Calibri" w:eastAsia="Calibri" w:hAnsi="Calibri" w:cs="Calibri"/>
                <w:color w:val="0070C0"/>
                <w:vertAlign w:val="superscript"/>
              </w:rPr>
              <w:footnoteReference w:id="3"/>
            </w:r>
            <w:r w:rsidRPr="00F155BE">
              <w:rPr>
                <w:rFonts w:ascii="Calibri" w:eastAsia="Calibri" w:hAnsi="Calibri" w:cs="Calibri"/>
                <w:color w:val="0070C0"/>
              </w:rPr>
              <w:t>) ; atteinte fonctions cognitives ; épilepsie ; hydrocéphalie ; troubles psychiatriques ; atteinte médullaire</w:t>
            </w:r>
            <w:r w:rsidRPr="00F155BE">
              <w:rPr>
                <w:rFonts w:ascii="Calibri" w:eastAsia="Calibri" w:hAnsi="Calibri" w:cs="Calibri"/>
                <w:color w:val="0070C0"/>
                <w:vertAlign w:val="superscript"/>
              </w:rPr>
              <w:footnoteReference w:id="4"/>
            </w:r>
            <w:r w:rsidRPr="00F155BE">
              <w:rPr>
                <w:rFonts w:ascii="Calibri" w:eastAsia="Calibri" w:hAnsi="Calibri" w:cs="Calibri"/>
                <w:color w:val="0070C0"/>
              </w:rPr>
              <w:t xml:space="preserve"> ; atteinte des </w:t>
            </w:r>
            <w:r w:rsidRPr="00F155BE">
              <w:rPr>
                <w:rFonts w:ascii="Calibri" w:eastAsia="Calibri" w:hAnsi="Calibri" w:cs="Calibri"/>
                <w:b/>
                <w:bCs/>
                <w:color w:val="0070C0"/>
              </w:rPr>
              <w:t>nerfs crâniens, notamment du VII</w:t>
            </w:r>
            <w:r w:rsidRPr="00F155BE">
              <w:rPr>
                <w:rFonts w:ascii="Calibri" w:eastAsia="Calibri" w:hAnsi="Calibri" w:cs="Calibri"/>
                <w:b/>
                <w:bCs/>
                <w:color w:val="0070C0"/>
                <w:vertAlign w:val="superscript"/>
              </w:rPr>
              <w:footnoteReference w:id="5"/>
            </w:r>
            <w:r w:rsidRPr="00F155BE">
              <w:rPr>
                <w:rFonts w:ascii="Calibri" w:eastAsia="Calibri" w:hAnsi="Calibri" w:cs="Calibri"/>
                <w:b/>
                <w:bCs/>
                <w:color w:val="0070C0"/>
              </w:rPr>
              <w:t>,</w:t>
            </w:r>
            <w:r w:rsidRPr="00F155BE">
              <w:rPr>
                <w:rFonts w:ascii="Calibri" w:eastAsia="Calibri" w:hAnsi="Calibri" w:cs="Calibri"/>
                <w:color w:val="0070C0"/>
              </w:rPr>
              <w:t xml:space="preserve"> ou périphériques ; atteinte des petites fibres nerveuses</w:t>
            </w:r>
          </w:p>
        </w:tc>
        <w:tc>
          <w:tcPr>
            <w:tcW w:w="2551" w:type="dxa"/>
            <w:vAlign w:val="center"/>
          </w:tcPr>
          <w:p w14:paraId="51D6692A"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IRM cérébrale </w:t>
            </w:r>
          </w:p>
          <w:p w14:paraId="298D4A53"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IRM médullaire</w:t>
            </w:r>
            <w:r w:rsidRPr="00F155BE">
              <w:rPr>
                <w:rFonts w:ascii="Calibri" w:eastAsia="Calibri" w:hAnsi="Calibri" w:cs="Calibri"/>
                <w:color w:val="0070C0"/>
              </w:rPr>
              <w:t xml:space="preserve">  </w:t>
            </w:r>
          </w:p>
          <w:p w14:paraId="2C69125E"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Dosages hormonaux</w:t>
            </w:r>
            <w:r w:rsidRPr="00F155BE">
              <w:rPr>
                <w:rFonts w:ascii="Calibri" w:eastAsia="Calibri" w:hAnsi="Calibri" w:cs="Calibri"/>
                <w:color w:val="0070C0"/>
              </w:rPr>
              <w:t> </w:t>
            </w:r>
          </w:p>
          <w:p w14:paraId="55F26D2C"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PL </w:t>
            </w:r>
          </w:p>
          <w:p w14:paraId="505326B2"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EMG</w:t>
            </w:r>
          </w:p>
          <w:p w14:paraId="21006238" w14:textId="77777777" w:rsidR="00EC2F22" w:rsidRPr="00F155BE" w:rsidRDefault="00EC2F22" w:rsidP="00F155BE">
            <w:pPr>
              <w:spacing w:line="276" w:lineRule="auto"/>
              <w:jc w:val="left"/>
              <w:rPr>
                <w:rFonts w:ascii="Calibri" w:eastAsia="Calibri" w:hAnsi="Calibri" w:cs="Calibri"/>
                <w:color w:val="0070C0"/>
              </w:rPr>
            </w:pPr>
          </w:p>
        </w:tc>
      </w:tr>
      <w:tr w:rsidR="00EC2F22" w:rsidRPr="00F155BE" w14:paraId="60CE068E" w14:textId="77777777" w:rsidTr="00F155BE">
        <w:trPr>
          <w:trHeight w:val="339"/>
        </w:trPr>
        <w:tc>
          <w:tcPr>
            <w:tcW w:w="1418" w:type="dxa"/>
            <w:shd w:val="clear" w:color="auto" w:fill="F2F2F2"/>
            <w:vAlign w:val="center"/>
          </w:tcPr>
          <w:p w14:paraId="630ED526"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lastRenderedPageBreak/>
              <w:t>ORL</w:t>
            </w:r>
          </w:p>
        </w:tc>
        <w:tc>
          <w:tcPr>
            <w:tcW w:w="1129" w:type="dxa"/>
            <w:shd w:val="clear" w:color="auto" w:fill="F2F2F2"/>
            <w:vAlign w:val="center"/>
          </w:tcPr>
          <w:p w14:paraId="4B13FF3A"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2-4 %</w:t>
            </w:r>
          </w:p>
        </w:tc>
        <w:tc>
          <w:tcPr>
            <w:tcW w:w="3969" w:type="dxa"/>
            <w:shd w:val="clear" w:color="auto" w:fill="F2F2F2"/>
            <w:vAlign w:val="center"/>
          </w:tcPr>
          <w:p w14:paraId="5933278A"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Obstruction nasale</w:t>
            </w:r>
            <w:r w:rsidRPr="00F155BE">
              <w:rPr>
                <w:rFonts w:ascii="Calibri" w:eastAsia="Calibri" w:hAnsi="Calibri" w:cs="Calibri"/>
                <w:color w:val="0070C0"/>
              </w:rPr>
              <w:t xml:space="preserve">, croutes, épistaxis, anosmie ; </w:t>
            </w:r>
            <w:r w:rsidRPr="00F155BE">
              <w:rPr>
                <w:rFonts w:ascii="Calibri" w:eastAsia="Calibri" w:hAnsi="Calibri" w:cs="Calibri"/>
                <w:b/>
                <w:bCs/>
                <w:color w:val="0070C0"/>
              </w:rPr>
              <w:t>parotidite bilatérale</w:t>
            </w:r>
            <w:r w:rsidRPr="00F155BE">
              <w:rPr>
                <w:rFonts w:ascii="Calibri" w:eastAsia="Calibri" w:hAnsi="Calibri" w:cs="Calibri"/>
                <w:color w:val="0070C0"/>
              </w:rPr>
              <w:t xml:space="preserve"> ; atteinte laryngée (dysphonie, dyspnée, </w:t>
            </w:r>
            <w:proofErr w:type="spellStart"/>
            <w:r w:rsidRPr="00F155BE">
              <w:rPr>
                <w:rFonts w:ascii="Calibri" w:eastAsia="Calibri" w:hAnsi="Calibri" w:cs="Calibri"/>
                <w:color w:val="0070C0"/>
              </w:rPr>
              <w:t>wheezing</w:t>
            </w:r>
            <w:proofErr w:type="spellEnd"/>
            <w:r w:rsidRPr="00F155BE">
              <w:rPr>
                <w:rFonts w:ascii="Calibri" w:eastAsia="Calibri" w:hAnsi="Calibri" w:cs="Calibri"/>
                <w:color w:val="0070C0"/>
              </w:rPr>
              <w:t>)</w:t>
            </w:r>
          </w:p>
        </w:tc>
        <w:tc>
          <w:tcPr>
            <w:tcW w:w="2551" w:type="dxa"/>
            <w:shd w:val="clear" w:color="auto" w:fill="F2F2F2"/>
            <w:vAlign w:val="center"/>
          </w:tcPr>
          <w:p w14:paraId="1A80C050"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 xml:space="preserve">Examen ORL   </w:t>
            </w:r>
          </w:p>
          <w:p w14:paraId="585E751C"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TDM sinus </w:t>
            </w:r>
          </w:p>
          <w:p w14:paraId="3ABF87EB"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Biopsie nasale</w:t>
            </w:r>
          </w:p>
        </w:tc>
      </w:tr>
      <w:tr w:rsidR="00EC2F22" w:rsidRPr="00F155BE" w14:paraId="3F5A3CD2" w14:textId="77777777" w:rsidTr="00F155BE">
        <w:trPr>
          <w:trHeight w:val="442"/>
        </w:trPr>
        <w:tc>
          <w:tcPr>
            <w:tcW w:w="1418" w:type="dxa"/>
            <w:vAlign w:val="center"/>
          </w:tcPr>
          <w:p w14:paraId="5ADE5AAA"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Ostéo-articulaire</w:t>
            </w:r>
          </w:p>
        </w:tc>
        <w:tc>
          <w:tcPr>
            <w:tcW w:w="1129" w:type="dxa"/>
            <w:vAlign w:val="center"/>
          </w:tcPr>
          <w:p w14:paraId="1F4906DF"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&lt; 5 %</w:t>
            </w:r>
          </w:p>
        </w:tc>
        <w:tc>
          <w:tcPr>
            <w:tcW w:w="3969" w:type="dxa"/>
            <w:vAlign w:val="center"/>
          </w:tcPr>
          <w:p w14:paraId="4F996E0E"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Arthralgies </w:t>
            </w:r>
            <w:r w:rsidRPr="00F155BE">
              <w:rPr>
                <w:rFonts w:ascii="Calibri" w:eastAsia="Calibri" w:hAnsi="Calibri" w:cs="Calibri"/>
                <w:color w:val="0070C0"/>
              </w:rPr>
              <w:t>; ostéites chroniques, dactylites, avec ostéolyse, kystes/lésions poinçonnés, aspect grillagé de l’os</w:t>
            </w:r>
          </w:p>
        </w:tc>
        <w:tc>
          <w:tcPr>
            <w:tcW w:w="2551" w:type="dxa"/>
            <w:vAlign w:val="center"/>
          </w:tcPr>
          <w:p w14:paraId="4C1FEF25"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Radiographies</w:t>
            </w:r>
          </w:p>
          <w:p w14:paraId="0026330A"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Échographie</w:t>
            </w:r>
          </w:p>
          <w:p w14:paraId="5480BCE1"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 xml:space="preserve">TDM </w:t>
            </w:r>
          </w:p>
          <w:p w14:paraId="69DAF10F"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IRM</w:t>
            </w:r>
          </w:p>
          <w:p w14:paraId="0F5EB534"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Biopsie osseuse ou synoviale</w:t>
            </w:r>
          </w:p>
        </w:tc>
      </w:tr>
      <w:tr w:rsidR="00EC2F22" w:rsidRPr="00F155BE" w14:paraId="1D27ED6A" w14:textId="77777777" w:rsidTr="00F155BE">
        <w:trPr>
          <w:trHeight w:val="383"/>
        </w:trPr>
        <w:tc>
          <w:tcPr>
            <w:tcW w:w="1418" w:type="dxa"/>
            <w:shd w:val="clear" w:color="auto" w:fill="F2F2F2"/>
            <w:vAlign w:val="center"/>
          </w:tcPr>
          <w:p w14:paraId="03DC0F39"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Cœur</w:t>
            </w:r>
          </w:p>
        </w:tc>
        <w:tc>
          <w:tcPr>
            <w:tcW w:w="1129" w:type="dxa"/>
            <w:shd w:val="clear" w:color="auto" w:fill="F2F2F2"/>
            <w:vAlign w:val="center"/>
          </w:tcPr>
          <w:p w14:paraId="2C40A366"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&lt; 5 %</w:t>
            </w:r>
          </w:p>
        </w:tc>
        <w:tc>
          <w:tcPr>
            <w:tcW w:w="3969" w:type="dxa"/>
            <w:shd w:val="clear" w:color="auto" w:fill="F2F2F2"/>
            <w:vAlign w:val="center"/>
          </w:tcPr>
          <w:p w14:paraId="46C9418B"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Bloc auriculo-ventriculaire ; bloc de branche droit </w:t>
            </w:r>
            <w:r w:rsidRPr="00F155BE">
              <w:rPr>
                <w:rFonts w:ascii="Calibri" w:eastAsia="Calibri" w:hAnsi="Calibri" w:cs="Calibri"/>
                <w:color w:val="0070C0"/>
              </w:rPr>
              <w:t>; tachycardie ventriculaire ; insuffisance cardiaque ; mort subite</w:t>
            </w:r>
          </w:p>
        </w:tc>
        <w:tc>
          <w:tcPr>
            <w:tcW w:w="2551" w:type="dxa"/>
            <w:shd w:val="clear" w:color="auto" w:fill="F2F2F2"/>
            <w:vAlign w:val="center"/>
          </w:tcPr>
          <w:p w14:paraId="31E441E5"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ECG </w:t>
            </w:r>
          </w:p>
          <w:p w14:paraId="1CC0C436"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Écho cœur </w:t>
            </w:r>
          </w:p>
          <w:p w14:paraId="2A34132D"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Holter ECG</w:t>
            </w:r>
          </w:p>
          <w:p w14:paraId="2AD06ABC"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IRM cœur </w:t>
            </w:r>
          </w:p>
          <w:p w14:paraId="189B696B"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18FDG-TEP cardiaque</w:t>
            </w:r>
            <w:r w:rsidRPr="00F155BE">
              <w:rPr>
                <w:rFonts w:ascii="Calibri" w:eastAsia="Calibri" w:hAnsi="Calibri" w:cs="Calibri"/>
                <w:color w:val="0070C0"/>
              </w:rPr>
              <w:t xml:space="preserve">  </w:t>
            </w:r>
          </w:p>
        </w:tc>
      </w:tr>
      <w:tr w:rsidR="00EC2F22" w:rsidRPr="00F155BE" w14:paraId="46A1CDBC" w14:textId="77777777" w:rsidTr="00F155BE">
        <w:trPr>
          <w:trHeight w:val="467"/>
        </w:trPr>
        <w:tc>
          <w:tcPr>
            <w:tcW w:w="1418" w:type="dxa"/>
            <w:shd w:val="clear" w:color="auto" w:fill="F2F2F2"/>
            <w:vAlign w:val="center"/>
          </w:tcPr>
          <w:p w14:paraId="1FCBB02F" w14:textId="77777777" w:rsidR="00EC2F22" w:rsidRPr="00F155BE" w:rsidRDefault="00EC2F22" w:rsidP="00F155BE">
            <w:pPr>
              <w:spacing w:line="276" w:lineRule="auto"/>
              <w:jc w:val="center"/>
              <w:rPr>
                <w:rFonts w:ascii="Calibri" w:eastAsia="Calibri" w:hAnsi="Calibri" w:cs="Calibri"/>
                <w:b/>
                <w:bCs/>
                <w:color w:val="0070C0"/>
              </w:rPr>
            </w:pPr>
            <w:r w:rsidRPr="00F155BE">
              <w:rPr>
                <w:rFonts w:ascii="Calibri" w:eastAsia="Calibri" w:hAnsi="Calibri" w:cs="Calibri"/>
                <w:b/>
                <w:bCs/>
                <w:color w:val="0070C0"/>
              </w:rPr>
              <w:t>Rein</w:t>
            </w:r>
          </w:p>
        </w:tc>
        <w:tc>
          <w:tcPr>
            <w:tcW w:w="1129" w:type="dxa"/>
            <w:shd w:val="clear" w:color="auto" w:fill="F2F2F2"/>
            <w:vAlign w:val="center"/>
          </w:tcPr>
          <w:p w14:paraId="6432C926" w14:textId="77777777" w:rsidR="00EC2F22" w:rsidRPr="00F155BE" w:rsidRDefault="00EC2F22" w:rsidP="00F155BE">
            <w:pPr>
              <w:spacing w:line="276" w:lineRule="auto"/>
              <w:jc w:val="center"/>
              <w:rPr>
                <w:rFonts w:ascii="Calibri" w:eastAsia="Calibri" w:hAnsi="Calibri" w:cs="Calibri"/>
                <w:color w:val="0070C0"/>
              </w:rPr>
            </w:pPr>
            <w:r w:rsidRPr="00F155BE">
              <w:rPr>
                <w:rFonts w:ascii="Calibri" w:eastAsia="Calibri" w:hAnsi="Calibri" w:cs="Calibri"/>
                <w:color w:val="0070C0"/>
              </w:rPr>
              <w:t>2 %</w:t>
            </w:r>
          </w:p>
        </w:tc>
        <w:tc>
          <w:tcPr>
            <w:tcW w:w="3969" w:type="dxa"/>
            <w:shd w:val="clear" w:color="auto" w:fill="F2F2F2"/>
            <w:vAlign w:val="center"/>
          </w:tcPr>
          <w:p w14:paraId="0B5B9AFD"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Élévation de la créatininémie</w:t>
            </w:r>
            <w:r w:rsidRPr="00F155BE">
              <w:rPr>
                <w:rFonts w:ascii="Calibri" w:eastAsia="Calibri" w:hAnsi="Calibri" w:cs="Calibri"/>
                <w:color w:val="0070C0"/>
              </w:rPr>
              <w:t xml:space="preserve">, atteinte </w:t>
            </w:r>
            <w:proofErr w:type="spellStart"/>
            <w:r w:rsidRPr="00F155BE">
              <w:rPr>
                <w:rFonts w:ascii="Calibri" w:eastAsia="Calibri" w:hAnsi="Calibri" w:cs="Calibri"/>
                <w:color w:val="0070C0"/>
              </w:rPr>
              <w:t>tubulo</w:t>
            </w:r>
            <w:proofErr w:type="spellEnd"/>
            <w:r w:rsidRPr="00F155BE">
              <w:rPr>
                <w:rFonts w:ascii="Calibri" w:eastAsia="Calibri" w:hAnsi="Calibri" w:cs="Calibri"/>
                <w:color w:val="0070C0"/>
              </w:rPr>
              <w:t>-interstitielle</w:t>
            </w:r>
            <w:r w:rsidRPr="00F155BE">
              <w:rPr>
                <w:rFonts w:ascii="Calibri" w:eastAsia="Calibri" w:hAnsi="Calibri" w:cs="Calibri"/>
                <w:color w:val="0070C0"/>
                <w:vertAlign w:val="superscript"/>
              </w:rPr>
              <w:footnoteReference w:id="6"/>
            </w:r>
            <w:r w:rsidRPr="00F155BE">
              <w:rPr>
                <w:rFonts w:ascii="Calibri" w:eastAsia="Calibri" w:hAnsi="Calibri" w:cs="Calibri"/>
                <w:color w:val="0070C0"/>
              </w:rPr>
              <w:t>, associée à une hypercalcémie dans 30 % des cas ; insuffisance rénale répondant à un traitement anti-inflammatoire</w:t>
            </w:r>
          </w:p>
          <w:p w14:paraId="545589C4"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Hypercalcémie et hypercalciurie en lien avec une anomalie du métabolisme de la vitamine D</w:t>
            </w:r>
          </w:p>
          <w:p w14:paraId="70930455"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color w:val="0070C0"/>
              </w:rPr>
              <w:t>Néphrocalcinose, lithiases</w:t>
            </w:r>
          </w:p>
        </w:tc>
        <w:tc>
          <w:tcPr>
            <w:tcW w:w="2551" w:type="dxa"/>
            <w:shd w:val="clear" w:color="auto" w:fill="F2F2F2"/>
            <w:vAlign w:val="center"/>
          </w:tcPr>
          <w:p w14:paraId="531A32CE"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Sédiment urinaire</w:t>
            </w:r>
          </w:p>
          <w:p w14:paraId="2F1BE17A"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Calciurie</w:t>
            </w:r>
          </w:p>
          <w:p w14:paraId="5BA5DA96" w14:textId="77777777" w:rsidR="00EC2F22" w:rsidRPr="00F155BE" w:rsidRDefault="00EC2F22" w:rsidP="00F155BE">
            <w:pPr>
              <w:spacing w:line="276" w:lineRule="auto"/>
              <w:jc w:val="left"/>
              <w:rPr>
                <w:rFonts w:ascii="Calibri" w:eastAsia="Calibri" w:hAnsi="Calibri" w:cs="Calibri"/>
                <w:b/>
                <w:bCs/>
                <w:color w:val="0070C0"/>
              </w:rPr>
            </w:pPr>
            <w:r w:rsidRPr="00F155BE">
              <w:rPr>
                <w:rFonts w:ascii="Calibri" w:eastAsia="Calibri" w:hAnsi="Calibri" w:cs="Calibri"/>
                <w:b/>
                <w:bCs/>
                <w:color w:val="0070C0"/>
              </w:rPr>
              <w:t>Écho rénale</w:t>
            </w:r>
          </w:p>
          <w:p w14:paraId="04BFA176" w14:textId="77777777" w:rsidR="00EC2F22" w:rsidRPr="00F155BE" w:rsidRDefault="00EC2F22" w:rsidP="00F155BE">
            <w:pPr>
              <w:spacing w:line="276" w:lineRule="auto"/>
              <w:jc w:val="left"/>
              <w:rPr>
                <w:rFonts w:ascii="Calibri" w:eastAsia="Calibri" w:hAnsi="Calibri" w:cs="Calibri"/>
                <w:color w:val="0070C0"/>
              </w:rPr>
            </w:pPr>
            <w:r w:rsidRPr="00F155BE">
              <w:rPr>
                <w:rFonts w:ascii="Calibri" w:eastAsia="Calibri" w:hAnsi="Calibri" w:cs="Calibri"/>
                <w:b/>
                <w:bCs/>
                <w:color w:val="0070C0"/>
              </w:rPr>
              <w:t>Biopsie rénale</w:t>
            </w:r>
            <w:r w:rsidRPr="00F155BE">
              <w:rPr>
                <w:rFonts w:ascii="Calibri" w:eastAsia="Calibri" w:hAnsi="Calibri" w:cs="Calibri"/>
                <w:color w:val="0070C0"/>
              </w:rPr>
              <w:t xml:space="preserve"> </w:t>
            </w:r>
          </w:p>
        </w:tc>
      </w:tr>
    </w:tbl>
    <w:p w14:paraId="485E8308" w14:textId="77777777" w:rsidR="00EC2F22" w:rsidRDefault="00EC2F22" w:rsidP="00F155BE">
      <w:pPr>
        <w:spacing w:line="276" w:lineRule="auto"/>
        <w:rPr>
          <w:color w:val="0070C0"/>
          <w:u w:val="single"/>
        </w:rPr>
      </w:pPr>
    </w:p>
    <w:p w14:paraId="6CD5ACA9" w14:textId="77777777" w:rsidR="00EC2F22" w:rsidRDefault="00EC2F22" w:rsidP="00F155BE">
      <w:pPr>
        <w:pStyle w:val="Titre2"/>
      </w:pPr>
      <w:r>
        <w:t>Atteinte oculaire</w:t>
      </w:r>
    </w:p>
    <w:p w14:paraId="5C4DB8AB" w14:textId="77777777" w:rsidR="00EC2F22" w:rsidRDefault="00EC2F22" w:rsidP="00F155BE">
      <w:pPr>
        <w:spacing w:line="276" w:lineRule="auto"/>
        <w:rPr>
          <w:color w:val="0070C0"/>
        </w:rPr>
      </w:pPr>
      <w:r>
        <w:rPr>
          <w:b/>
          <w:bCs/>
          <w:color w:val="0070C0"/>
        </w:rPr>
        <w:t>L’uvéite antérieure aiguë</w:t>
      </w:r>
      <w:r>
        <w:rPr>
          <w:b/>
          <w:bCs/>
          <w:color w:val="0070C0"/>
          <w:vertAlign w:val="superscript"/>
        </w:rPr>
        <w:footnoteReference w:id="7"/>
      </w:r>
      <w:r>
        <w:rPr>
          <w:color w:val="0070C0"/>
        </w:rPr>
        <w:t xml:space="preserve"> est évoquée devant : </w:t>
      </w:r>
    </w:p>
    <w:p w14:paraId="2CB259E7" w14:textId="77777777" w:rsidR="00EC2F22" w:rsidRDefault="00EC2F22" w:rsidP="00F155BE">
      <w:pPr>
        <w:spacing w:line="276" w:lineRule="auto"/>
        <w:rPr>
          <w:color w:val="0070C0"/>
        </w:rPr>
      </w:pPr>
      <w:r>
        <w:rPr>
          <w:color w:val="0070C0"/>
        </w:rPr>
        <w:t>- Un œil rouge et/ou une baisse d’acuité visuelle.</w:t>
      </w:r>
    </w:p>
    <w:p w14:paraId="512FCE54" w14:textId="77777777" w:rsidR="00EC2F22" w:rsidRDefault="00EC2F22" w:rsidP="00F155BE">
      <w:pPr>
        <w:spacing w:line="276" w:lineRule="auto"/>
        <w:rPr>
          <w:color w:val="0070C0"/>
        </w:rPr>
      </w:pPr>
      <w:r>
        <w:rPr>
          <w:color w:val="0070C0"/>
        </w:rPr>
        <w:t>- Le diagnostic repose sur l’examen à la lampe à fente.</w:t>
      </w:r>
    </w:p>
    <w:p w14:paraId="320B5D6F" w14:textId="77777777" w:rsidR="00EC2F22" w:rsidRDefault="00EC2F22" w:rsidP="00F155BE">
      <w:pPr>
        <w:spacing w:line="276" w:lineRule="auto"/>
        <w:rPr>
          <w:color w:val="0070C0"/>
        </w:rPr>
      </w:pPr>
      <w:r>
        <w:rPr>
          <w:color w:val="0070C0"/>
        </w:rPr>
        <w:t>- Les formes chroniques (</w:t>
      </w:r>
      <w:proofErr w:type="spellStart"/>
      <w:r>
        <w:rPr>
          <w:color w:val="0070C0"/>
        </w:rPr>
        <w:t>iridocyclite</w:t>
      </w:r>
      <w:proofErr w:type="spellEnd"/>
      <w:r>
        <w:rPr>
          <w:color w:val="0070C0"/>
        </w:rPr>
        <w:t xml:space="preserve"> chronique) peuvent menacer l’acuité visuelle par apparition de synéchies </w:t>
      </w:r>
      <w:proofErr w:type="spellStart"/>
      <w:r>
        <w:rPr>
          <w:color w:val="0070C0"/>
        </w:rPr>
        <w:t>irido</w:t>
      </w:r>
      <w:proofErr w:type="spellEnd"/>
      <w:r>
        <w:rPr>
          <w:color w:val="0070C0"/>
        </w:rPr>
        <w:t>-cristalliniennes, de cataracte, de glaucome.</w:t>
      </w:r>
    </w:p>
    <w:p w14:paraId="790C3AE5" w14:textId="77777777" w:rsidR="00EC2F22" w:rsidRDefault="00EC2F22" w:rsidP="00F155BE">
      <w:pPr>
        <w:spacing w:line="276" w:lineRule="auto"/>
        <w:rPr>
          <w:color w:val="0070C0"/>
        </w:rPr>
      </w:pPr>
    </w:p>
    <w:p w14:paraId="653C5FA5" w14:textId="77777777" w:rsidR="00EC2F22" w:rsidRDefault="00EC2F22" w:rsidP="00F155BE">
      <w:pPr>
        <w:spacing w:line="276" w:lineRule="auto"/>
        <w:rPr>
          <w:color w:val="0070C0"/>
        </w:rPr>
      </w:pPr>
      <w:r>
        <w:rPr>
          <w:color w:val="0070C0"/>
        </w:rPr>
        <w:t xml:space="preserve">Une uvéite postérieure est à rechercher par une consultation ophtalmologique systématique car parfois latente, elle menace le pronostic visuel et est souvent associée à une atteinte neurologique centrale. </w:t>
      </w:r>
    </w:p>
    <w:p w14:paraId="582E31E7" w14:textId="77777777" w:rsidR="00EC2F22" w:rsidRDefault="00EC2F22" w:rsidP="00F155BE">
      <w:pPr>
        <w:spacing w:line="276" w:lineRule="auto"/>
        <w:rPr>
          <w:color w:val="0070C0"/>
        </w:rPr>
      </w:pPr>
      <w:r>
        <w:rPr>
          <w:color w:val="0070C0"/>
        </w:rPr>
        <w:t>La sclérite</w:t>
      </w:r>
      <w:r>
        <w:rPr>
          <w:color w:val="0070C0"/>
          <w:vertAlign w:val="superscript"/>
        </w:rPr>
        <w:footnoteReference w:id="8"/>
      </w:r>
      <w:r>
        <w:rPr>
          <w:color w:val="0070C0"/>
        </w:rPr>
        <w:t xml:space="preserve"> est rare.</w:t>
      </w:r>
    </w:p>
    <w:p w14:paraId="7F3D5982" w14:textId="77777777" w:rsidR="00EC2F22" w:rsidRDefault="00EC2F22" w:rsidP="00F155BE">
      <w:pPr>
        <w:spacing w:line="276" w:lineRule="auto"/>
        <w:rPr>
          <w:color w:val="0070C0"/>
          <w:u w:val="single"/>
        </w:rPr>
      </w:pPr>
    </w:p>
    <w:p w14:paraId="6F9FD453" w14:textId="77777777" w:rsidR="00EC2F22" w:rsidRDefault="00EC2F22" w:rsidP="00F155BE">
      <w:pPr>
        <w:pStyle w:val="Titre2"/>
      </w:pPr>
      <w:r>
        <w:t xml:space="preserve"> Atteinte cutanée</w:t>
      </w:r>
    </w:p>
    <w:p w14:paraId="61A156FB" w14:textId="77777777" w:rsidR="00EC2F22" w:rsidRDefault="00EC2F22" w:rsidP="00F155BE">
      <w:pPr>
        <w:spacing w:line="276" w:lineRule="auto"/>
        <w:ind w:left="1077" w:hanging="1077"/>
        <w:rPr>
          <w:color w:val="0070C0"/>
        </w:rPr>
      </w:pPr>
      <w:r>
        <w:rPr>
          <w:color w:val="0070C0"/>
        </w:rPr>
        <w:t>Nodules cutanés (figures 2 et 3).</w:t>
      </w:r>
    </w:p>
    <w:p w14:paraId="0592CB81" w14:textId="77777777" w:rsidR="00EC2F22" w:rsidRDefault="00EC2F22" w:rsidP="00F155BE">
      <w:pPr>
        <w:spacing w:line="276" w:lineRule="auto"/>
        <w:rPr>
          <w:color w:val="0070C0"/>
        </w:rPr>
      </w:pPr>
    </w:p>
    <w:tbl>
      <w:tblPr>
        <w:tblW w:w="9072" w:type="dxa"/>
        <w:tblBorders>
          <w:top w:val="nil"/>
          <w:left w:val="nil"/>
          <w:bottom w:val="nil"/>
          <w:right w:val="nil"/>
          <w:insideH w:val="nil"/>
          <w:insideV w:val="nil"/>
        </w:tblBorders>
        <w:tblLayout w:type="fixed"/>
        <w:tblLook w:val="0400" w:firstRow="0" w:lastRow="0" w:firstColumn="0" w:lastColumn="0" w:noHBand="0" w:noVBand="1"/>
      </w:tblPr>
      <w:tblGrid>
        <w:gridCol w:w="4814"/>
        <w:gridCol w:w="4258"/>
      </w:tblGrid>
      <w:tr w:rsidR="00EC2F22" w14:paraId="1951A541" w14:textId="77777777" w:rsidTr="00F155BE">
        <w:tc>
          <w:tcPr>
            <w:tcW w:w="4814" w:type="dxa"/>
          </w:tcPr>
          <w:p w14:paraId="6B95D20D" w14:textId="77777777" w:rsidR="00EC2F22" w:rsidRDefault="00EC2F22" w:rsidP="00F155BE">
            <w:pPr>
              <w:pBdr>
                <w:top w:val="nil"/>
                <w:left w:val="nil"/>
                <w:bottom w:val="nil"/>
                <w:right w:val="nil"/>
                <w:between w:val="nil"/>
              </w:pBdr>
              <w:spacing w:line="276" w:lineRule="auto"/>
              <w:jc w:val="center"/>
              <w:rPr>
                <w:rFonts w:ascii="Arial" w:eastAsia="Arial" w:hAnsi="Arial" w:cs="Arial"/>
                <w:color w:val="0070C0"/>
                <w:sz w:val="18"/>
                <w:szCs w:val="18"/>
              </w:rPr>
            </w:pPr>
            <w:r>
              <w:rPr>
                <w:rFonts w:ascii="Arial" w:eastAsia="Arial" w:hAnsi="Arial" w:cs="Arial"/>
                <w:color w:val="0070C0"/>
                <w:sz w:val="18"/>
                <w:szCs w:val="18"/>
              </w:rPr>
              <w:t>Figure 2 : Sarcoïdose cutanée à gros nodules.</w:t>
            </w:r>
          </w:p>
          <w:p w14:paraId="6DA833C8" w14:textId="77777777" w:rsidR="00EC2F22" w:rsidRDefault="00EC2F22" w:rsidP="00F155BE">
            <w:pPr>
              <w:spacing w:line="276" w:lineRule="auto"/>
              <w:jc w:val="center"/>
              <w:rPr>
                <w:color w:val="0070C0"/>
              </w:rPr>
            </w:pPr>
            <w:r>
              <w:rPr>
                <w:noProof/>
                <w:color w:val="0070C0"/>
              </w:rPr>
              <w:drawing>
                <wp:inline distT="0" distB="0" distL="0" distR="0" wp14:anchorId="6C77346E" wp14:editId="34235394">
                  <wp:extent cx="1890230" cy="1835441"/>
                  <wp:effectExtent l="0" t="0" r="0" b="0"/>
                  <wp:docPr id="19" name="image1.jpg" descr="Figure7"/>
                  <wp:cNvGraphicFramePr/>
                  <a:graphic xmlns:a="http://schemas.openxmlformats.org/drawingml/2006/main">
                    <a:graphicData uri="http://schemas.openxmlformats.org/drawingml/2006/picture">
                      <pic:pic xmlns:pic="http://schemas.openxmlformats.org/drawingml/2006/picture">
                        <pic:nvPicPr>
                          <pic:cNvPr id="0" name="image1.jpg" descr="Figure7"/>
                          <pic:cNvPicPr preferRelativeResize="0"/>
                        </pic:nvPicPr>
                        <pic:blipFill>
                          <a:blip r:embed="rId14"/>
                          <a:srcRect/>
                          <a:stretch>
                            <a:fillRect/>
                          </a:stretch>
                        </pic:blipFill>
                        <pic:spPr>
                          <a:xfrm>
                            <a:off x="0" y="0"/>
                            <a:ext cx="1890230" cy="1835441"/>
                          </a:xfrm>
                          <a:prstGeom prst="rect">
                            <a:avLst/>
                          </a:prstGeom>
                          <a:ln/>
                        </pic:spPr>
                      </pic:pic>
                    </a:graphicData>
                  </a:graphic>
                </wp:inline>
              </w:drawing>
            </w:r>
          </w:p>
        </w:tc>
        <w:tc>
          <w:tcPr>
            <w:tcW w:w="4258" w:type="dxa"/>
          </w:tcPr>
          <w:p w14:paraId="68D7719F" w14:textId="77777777" w:rsidR="00EC2F22" w:rsidRDefault="00EC2F22" w:rsidP="00F155BE">
            <w:pPr>
              <w:pBdr>
                <w:top w:val="nil"/>
                <w:left w:val="nil"/>
                <w:bottom w:val="nil"/>
                <w:right w:val="nil"/>
                <w:between w:val="nil"/>
              </w:pBdr>
              <w:spacing w:line="276" w:lineRule="auto"/>
              <w:jc w:val="center"/>
              <w:rPr>
                <w:rFonts w:ascii="Arial" w:eastAsia="Arial" w:hAnsi="Arial" w:cs="Arial"/>
                <w:color w:val="0070C0"/>
                <w:sz w:val="18"/>
                <w:szCs w:val="18"/>
              </w:rPr>
            </w:pPr>
            <w:r>
              <w:rPr>
                <w:rFonts w:ascii="Arial" w:eastAsia="Arial" w:hAnsi="Arial" w:cs="Arial"/>
                <w:color w:val="0070C0"/>
                <w:sz w:val="18"/>
                <w:szCs w:val="18"/>
              </w:rPr>
              <w:t>Figure 3 : Sarcoïdose cutanée en plaques.</w:t>
            </w:r>
          </w:p>
          <w:p w14:paraId="2C2EC53E" w14:textId="77777777" w:rsidR="00EC2F22" w:rsidRDefault="00EC2F22" w:rsidP="00F155BE">
            <w:pPr>
              <w:spacing w:line="276" w:lineRule="auto"/>
              <w:jc w:val="center"/>
              <w:rPr>
                <w:color w:val="0070C0"/>
              </w:rPr>
            </w:pPr>
            <w:r>
              <w:rPr>
                <w:noProof/>
                <w:color w:val="0070C0"/>
              </w:rPr>
              <w:drawing>
                <wp:inline distT="0" distB="0" distL="0" distR="0" wp14:anchorId="4A4A12BB" wp14:editId="16BD7218">
                  <wp:extent cx="2232025" cy="3187065"/>
                  <wp:effectExtent l="0" t="0" r="0" b="0"/>
                  <wp:docPr id="18" name="image5.jpg" descr="Figure8"/>
                  <wp:cNvGraphicFramePr/>
                  <a:graphic xmlns:a="http://schemas.openxmlformats.org/drawingml/2006/main">
                    <a:graphicData uri="http://schemas.openxmlformats.org/drawingml/2006/picture">
                      <pic:pic xmlns:pic="http://schemas.openxmlformats.org/drawingml/2006/picture">
                        <pic:nvPicPr>
                          <pic:cNvPr id="0" name="image5.jpg" descr="Figure8"/>
                          <pic:cNvPicPr preferRelativeResize="0"/>
                        </pic:nvPicPr>
                        <pic:blipFill>
                          <a:blip r:embed="rId15"/>
                          <a:srcRect/>
                          <a:stretch>
                            <a:fillRect/>
                          </a:stretch>
                        </pic:blipFill>
                        <pic:spPr>
                          <a:xfrm>
                            <a:off x="0" y="0"/>
                            <a:ext cx="2232025" cy="3187065"/>
                          </a:xfrm>
                          <a:prstGeom prst="rect">
                            <a:avLst/>
                          </a:prstGeom>
                          <a:ln/>
                        </pic:spPr>
                      </pic:pic>
                    </a:graphicData>
                  </a:graphic>
                </wp:inline>
              </w:drawing>
            </w:r>
          </w:p>
        </w:tc>
      </w:tr>
    </w:tbl>
    <w:p w14:paraId="6C3D7E42" w14:textId="77777777" w:rsidR="00EC2F22" w:rsidRDefault="00EC2F22" w:rsidP="00F155BE">
      <w:pPr>
        <w:spacing w:line="276" w:lineRule="auto"/>
        <w:rPr>
          <w:color w:val="0070C0"/>
        </w:rPr>
      </w:pPr>
    </w:p>
    <w:tbl>
      <w:tblPr>
        <w:tblpPr w:leftFromText="141" w:rightFromText="141" w:vertAnchor="text" w:tblpX="20" w:tblpY="131"/>
        <w:tblW w:w="9072" w:type="dxa"/>
        <w:tblBorders>
          <w:top w:val="nil"/>
          <w:left w:val="nil"/>
          <w:bottom w:val="nil"/>
          <w:right w:val="nil"/>
          <w:insideH w:val="nil"/>
          <w:insideV w:val="nil"/>
        </w:tblBorders>
        <w:tblLayout w:type="fixed"/>
        <w:tblLook w:val="0400" w:firstRow="0" w:lastRow="0" w:firstColumn="0" w:lastColumn="0" w:noHBand="0" w:noVBand="1"/>
      </w:tblPr>
      <w:tblGrid>
        <w:gridCol w:w="5245"/>
        <w:gridCol w:w="3827"/>
      </w:tblGrid>
      <w:tr w:rsidR="00EC2F22" w14:paraId="3B33354E" w14:textId="77777777" w:rsidTr="00F155BE">
        <w:tc>
          <w:tcPr>
            <w:tcW w:w="5245" w:type="dxa"/>
          </w:tcPr>
          <w:p w14:paraId="0E21AD67" w14:textId="77777777" w:rsidR="00EC2F22" w:rsidRDefault="00EC2F22" w:rsidP="00F155BE">
            <w:pPr>
              <w:spacing w:line="276" w:lineRule="auto"/>
              <w:rPr>
                <w:color w:val="0070C0"/>
              </w:rPr>
            </w:pPr>
            <w:r>
              <w:rPr>
                <w:color w:val="0070C0"/>
              </w:rPr>
              <w:t xml:space="preserve">Lupus </w:t>
            </w:r>
            <w:proofErr w:type="spellStart"/>
            <w:r>
              <w:rPr>
                <w:color w:val="0070C0"/>
              </w:rPr>
              <w:t>pernio</w:t>
            </w:r>
            <w:proofErr w:type="spellEnd"/>
            <w:r>
              <w:rPr>
                <w:color w:val="0070C0"/>
              </w:rPr>
              <w:t xml:space="preserve"> (figure 4) :</w:t>
            </w:r>
          </w:p>
          <w:p w14:paraId="3D0612F9" w14:textId="77777777" w:rsidR="00EC2F22" w:rsidRDefault="00EC2F22" w:rsidP="00F155BE">
            <w:pPr>
              <w:spacing w:line="276" w:lineRule="auto"/>
              <w:rPr>
                <w:color w:val="0070C0"/>
              </w:rPr>
            </w:pPr>
            <w:r>
              <w:rPr>
                <w:color w:val="0070C0"/>
              </w:rPr>
              <w:t>- Plaque violacée et infiltrée préférentiellement sur le nez et les joues, prenant un aspect en aile de papillon, parfois sur les oreilles, les mains et les doigts.</w:t>
            </w:r>
          </w:p>
          <w:p w14:paraId="2D12AA08" w14:textId="77777777" w:rsidR="00EC2F22" w:rsidRDefault="00EC2F22" w:rsidP="00F155BE">
            <w:pPr>
              <w:spacing w:line="276" w:lineRule="auto"/>
              <w:rPr>
                <w:color w:val="0070C0"/>
              </w:rPr>
            </w:pPr>
            <w:r>
              <w:rPr>
                <w:color w:val="0070C0"/>
              </w:rPr>
              <w:t>- S’observe surtout dans les formes chroniques de sarcoïdose et doit faire rechercher une atteinte ORL.</w:t>
            </w:r>
          </w:p>
        </w:tc>
        <w:tc>
          <w:tcPr>
            <w:tcW w:w="3827" w:type="dxa"/>
          </w:tcPr>
          <w:p w14:paraId="4011CB00" w14:textId="77777777" w:rsidR="00EC2F22" w:rsidRDefault="00EC2F22" w:rsidP="00F155BE">
            <w:pPr>
              <w:pBdr>
                <w:top w:val="nil"/>
                <w:left w:val="nil"/>
                <w:bottom w:val="nil"/>
                <w:right w:val="nil"/>
                <w:between w:val="nil"/>
              </w:pBdr>
              <w:spacing w:line="276" w:lineRule="auto"/>
              <w:jc w:val="center"/>
              <w:rPr>
                <w:rFonts w:ascii="Arial" w:eastAsia="Arial" w:hAnsi="Arial" w:cs="Arial"/>
                <w:sz w:val="18"/>
                <w:szCs w:val="18"/>
              </w:rPr>
            </w:pPr>
            <w:r>
              <w:rPr>
                <w:rFonts w:ascii="Arial" w:eastAsia="Arial" w:hAnsi="Arial" w:cs="Arial"/>
                <w:color w:val="0070C0"/>
                <w:sz w:val="18"/>
                <w:szCs w:val="18"/>
              </w:rPr>
              <w:t xml:space="preserve">Figure 4 : Lupus </w:t>
            </w:r>
            <w:proofErr w:type="spellStart"/>
            <w:r>
              <w:rPr>
                <w:rFonts w:ascii="Arial" w:eastAsia="Arial" w:hAnsi="Arial" w:cs="Arial"/>
                <w:color w:val="0070C0"/>
                <w:sz w:val="18"/>
                <w:szCs w:val="18"/>
              </w:rPr>
              <w:t>pernio</w:t>
            </w:r>
            <w:proofErr w:type="spellEnd"/>
            <w:r>
              <w:rPr>
                <w:rFonts w:ascii="Arial" w:eastAsia="Arial" w:hAnsi="Arial" w:cs="Arial"/>
                <w:color w:val="0070C0"/>
                <w:sz w:val="18"/>
                <w:szCs w:val="18"/>
              </w:rPr>
              <w:t xml:space="preserve"> avec lésion de l’aile gauche du nez.</w:t>
            </w:r>
          </w:p>
          <w:p w14:paraId="05A58D87" w14:textId="77777777" w:rsidR="00EC2F22" w:rsidRDefault="00EC2F22" w:rsidP="00F155BE">
            <w:pPr>
              <w:spacing w:line="276" w:lineRule="auto"/>
              <w:jc w:val="center"/>
              <w:rPr>
                <w:color w:val="0070C0"/>
              </w:rPr>
            </w:pPr>
            <w:r>
              <w:rPr>
                <w:noProof/>
                <w:color w:val="0070C0"/>
              </w:rPr>
              <w:drawing>
                <wp:inline distT="0" distB="0" distL="0" distR="0" wp14:anchorId="7CCEB43E" wp14:editId="20E5B133">
                  <wp:extent cx="1979339" cy="2012718"/>
                  <wp:effectExtent l="0" t="0" r="0" b="0"/>
                  <wp:docPr id="21" name="image15.jpg" descr="Figure9"/>
                  <wp:cNvGraphicFramePr/>
                  <a:graphic xmlns:a="http://schemas.openxmlformats.org/drawingml/2006/main">
                    <a:graphicData uri="http://schemas.openxmlformats.org/drawingml/2006/picture">
                      <pic:pic xmlns:pic="http://schemas.openxmlformats.org/drawingml/2006/picture">
                        <pic:nvPicPr>
                          <pic:cNvPr id="0" name="image15.jpg" descr="Figure9"/>
                          <pic:cNvPicPr preferRelativeResize="0"/>
                        </pic:nvPicPr>
                        <pic:blipFill>
                          <a:blip r:embed="rId16"/>
                          <a:srcRect/>
                          <a:stretch>
                            <a:fillRect/>
                          </a:stretch>
                        </pic:blipFill>
                        <pic:spPr>
                          <a:xfrm>
                            <a:off x="0" y="0"/>
                            <a:ext cx="1979339" cy="2012718"/>
                          </a:xfrm>
                          <a:prstGeom prst="rect">
                            <a:avLst/>
                          </a:prstGeom>
                          <a:ln/>
                        </pic:spPr>
                      </pic:pic>
                    </a:graphicData>
                  </a:graphic>
                </wp:inline>
              </w:drawing>
            </w:r>
          </w:p>
        </w:tc>
      </w:tr>
      <w:tr w:rsidR="00EC2F22" w14:paraId="0A1DD5CE" w14:textId="77777777" w:rsidTr="00F155BE">
        <w:tc>
          <w:tcPr>
            <w:tcW w:w="5245" w:type="dxa"/>
          </w:tcPr>
          <w:p w14:paraId="3690D331" w14:textId="77777777" w:rsidR="00EC2F22" w:rsidRDefault="00EC2F22" w:rsidP="00F155BE">
            <w:pPr>
              <w:spacing w:line="276" w:lineRule="auto"/>
              <w:rPr>
                <w:color w:val="0070C0"/>
              </w:rPr>
            </w:pPr>
            <w:r>
              <w:rPr>
                <w:color w:val="0070C0"/>
              </w:rPr>
              <w:t>Érythème noueux (figure 5) :</w:t>
            </w:r>
          </w:p>
          <w:p w14:paraId="6D02E12E" w14:textId="77777777" w:rsidR="00EC2F22" w:rsidRDefault="00EC2F22" w:rsidP="00F155BE">
            <w:pPr>
              <w:spacing w:line="276" w:lineRule="auto"/>
              <w:rPr>
                <w:color w:val="0070C0"/>
              </w:rPr>
            </w:pPr>
            <w:r>
              <w:rPr>
                <w:color w:val="0070C0"/>
              </w:rPr>
              <w:t>- Dermo-hypodermite aiguë inflammatoire prédominant sur les faces d’extension des membres, notamment les jambes (à distinguer des lésions spécifiques) :</w:t>
            </w:r>
          </w:p>
          <w:p w14:paraId="22858E82" w14:textId="77777777" w:rsidR="00EC2F22" w:rsidRDefault="00EC2F22" w:rsidP="00F155BE">
            <w:pPr>
              <w:numPr>
                <w:ilvl w:val="0"/>
                <w:numId w:val="31"/>
              </w:numPr>
              <w:spacing w:line="276" w:lineRule="auto"/>
              <w:ind w:left="284" w:hanging="142"/>
              <w:rPr>
                <w:color w:val="0070C0"/>
              </w:rPr>
            </w:pPr>
            <w:r>
              <w:rPr>
                <w:color w:val="0070C0"/>
              </w:rPr>
              <w:t xml:space="preserve">Lésion </w:t>
            </w:r>
            <w:r>
              <w:rPr>
                <w:color w:val="0070C0"/>
                <w:u w:val="single"/>
              </w:rPr>
              <w:t>aspécifique</w:t>
            </w:r>
            <w:r>
              <w:rPr>
                <w:color w:val="0070C0"/>
              </w:rPr>
              <w:t xml:space="preserve"> : la biopsie est inutile, ne montrant </w:t>
            </w:r>
            <w:r>
              <w:rPr>
                <w:color w:val="0070C0"/>
                <w:u w:val="single"/>
              </w:rPr>
              <w:t>pas de granulome</w:t>
            </w:r>
            <w:r>
              <w:rPr>
                <w:color w:val="0070C0"/>
              </w:rPr>
              <w:t xml:space="preserve">. </w:t>
            </w:r>
          </w:p>
          <w:p w14:paraId="78B8E12C" w14:textId="77777777" w:rsidR="00EC2F22" w:rsidRDefault="00EC2F22" w:rsidP="00F155BE">
            <w:pPr>
              <w:numPr>
                <w:ilvl w:val="0"/>
                <w:numId w:val="31"/>
              </w:numPr>
              <w:spacing w:line="276" w:lineRule="auto"/>
              <w:ind w:left="284" w:hanging="142"/>
              <w:rPr>
                <w:color w:val="0070C0"/>
              </w:rPr>
            </w:pPr>
            <w:r>
              <w:rPr>
                <w:color w:val="0070C0"/>
              </w:rPr>
              <w:t xml:space="preserve">La sarcoïdose est la cause la plus fréquente d’érythème noueux en France. </w:t>
            </w:r>
          </w:p>
          <w:p w14:paraId="09E88A5C" w14:textId="77777777" w:rsidR="00F155BE" w:rsidRDefault="00F155BE" w:rsidP="00F155BE">
            <w:pPr>
              <w:spacing w:line="276" w:lineRule="auto"/>
              <w:rPr>
                <w:color w:val="0070C0"/>
              </w:rPr>
            </w:pPr>
          </w:p>
          <w:p w14:paraId="67A34DEB" w14:textId="7173FE1D" w:rsidR="00EC2F22" w:rsidRDefault="00EC2F22" w:rsidP="00F155BE">
            <w:pPr>
              <w:spacing w:line="276" w:lineRule="auto"/>
              <w:rPr>
                <w:color w:val="0070C0"/>
              </w:rPr>
            </w:pPr>
            <w:r>
              <w:rPr>
                <w:color w:val="0070C0"/>
              </w:rPr>
              <w:lastRenderedPageBreak/>
              <w:t xml:space="preserve">Son association à des adénopathies hilaires et médiastinales définit </w:t>
            </w:r>
            <w:r>
              <w:rPr>
                <w:b/>
                <w:bCs/>
                <w:color w:val="0070C0"/>
              </w:rPr>
              <w:t>le syndrome de Löfgren</w:t>
            </w:r>
            <w:r>
              <w:rPr>
                <w:color w:val="0070C0"/>
              </w:rPr>
              <w:t>, forme aiguë de sarcoïdose, souvent fébrile, touchant préférentiellement la femme originaire d’Europe du Nord. Des arthralgies ou arthrites des chevilles sont souvent associées ou peuvent remplacer l’érythème noueux, notamment chez l’homme. Le syndrome de Löfgren est d’évolution spontanément résolutive dans plus de 90 % des cas dans les 12 à 24 mois.</w:t>
            </w:r>
          </w:p>
        </w:tc>
        <w:tc>
          <w:tcPr>
            <w:tcW w:w="3827" w:type="dxa"/>
          </w:tcPr>
          <w:p w14:paraId="7EF110CD" w14:textId="77777777" w:rsidR="00EC2F22" w:rsidRDefault="00EC2F22" w:rsidP="00F155BE">
            <w:pPr>
              <w:spacing w:line="276" w:lineRule="auto"/>
              <w:jc w:val="center"/>
              <w:rPr>
                <w:color w:val="0070C0"/>
              </w:rPr>
            </w:pPr>
            <w:r>
              <w:rPr>
                <w:color w:val="0070C0"/>
              </w:rPr>
              <w:lastRenderedPageBreak/>
              <w:t>Figure 5 : Érythème noueux des membres inférieurs</w:t>
            </w:r>
          </w:p>
          <w:p w14:paraId="011E7FEA" w14:textId="77777777" w:rsidR="00EC2F22" w:rsidRDefault="00EC2F22" w:rsidP="00F155BE">
            <w:pPr>
              <w:pBdr>
                <w:top w:val="nil"/>
                <w:left w:val="nil"/>
                <w:bottom w:val="nil"/>
                <w:right w:val="nil"/>
                <w:between w:val="nil"/>
              </w:pBdr>
              <w:spacing w:line="276" w:lineRule="auto"/>
              <w:jc w:val="center"/>
              <w:rPr>
                <w:rFonts w:ascii="Arial" w:eastAsia="Arial" w:hAnsi="Arial" w:cs="Arial"/>
                <w:color w:val="0070C0"/>
                <w:sz w:val="18"/>
                <w:szCs w:val="18"/>
              </w:rPr>
            </w:pPr>
            <w:r>
              <w:rPr>
                <w:noProof/>
              </w:rPr>
              <w:lastRenderedPageBreak/>
              <w:drawing>
                <wp:anchor distT="0" distB="0" distL="114300" distR="114300" simplePos="0" relativeHeight="251949056" behindDoc="0" locked="0" layoutInCell="1" hidden="0" allowOverlap="1" wp14:anchorId="26CBC2FA" wp14:editId="7203B54D">
                  <wp:simplePos x="0" y="0"/>
                  <wp:positionH relativeFrom="column">
                    <wp:posOffset>483760</wp:posOffset>
                  </wp:positionH>
                  <wp:positionV relativeFrom="paragraph">
                    <wp:posOffset>19741</wp:posOffset>
                  </wp:positionV>
                  <wp:extent cx="1464945" cy="2186305"/>
                  <wp:effectExtent l="0" t="0" r="0" b="0"/>
                  <wp:wrapSquare wrapText="bothSides" distT="0" distB="0" distL="114300" distR="114300"/>
                  <wp:docPr id="26" name="image13.jpg" descr="Figure6"/>
                  <wp:cNvGraphicFramePr/>
                  <a:graphic xmlns:a="http://schemas.openxmlformats.org/drawingml/2006/main">
                    <a:graphicData uri="http://schemas.openxmlformats.org/drawingml/2006/picture">
                      <pic:pic xmlns:pic="http://schemas.openxmlformats.org/drawingml/2006/picture">
                        <pic:nvPicPr>
                          <pic:cNvPr id="0" name="image13.jpg" descr="Figure6"/>
                          <pic:cNvPicPr preferRelativeResize="0"/>
                        </pic:nvPicPr>
                        <pic:blipFill>
                          <a:blip r:embed="rId17"/>
                          <a:srcRect/>
                          <a:stretch>
                            <a:fillRect/>
                          </a:stretch>
                        </pic:blipFill>
                        <pic:spPr>
                          <a:xfrm>
                            <a:off x="0" y="0"/>
                            <a:ext cx="1464945" cy="2186305"/>
                          </a:xfrm>
                          <a:prstGeom prst="rect">
                            <a:avLst/>
                          </a:prstGeom>
                          <a:ln/>
                        </pic:spPr>
                      </pic:pic>
                    </a:graphicData>
                  </a:graphic>
                </wp:anchor>
              </w:drawing>
            </w:r>
          </w:p>
        </w:tc>
      </w:tr>
    </w:tbl>
    <w:p w14:paraId="359FF03E" w14:textId="77777777" w:rsidR="00EC2F22" w:rsidRDefault="00EC2F22" w:rsidP="00F155BE">
      <w:pPr>
        <w:pStyle w:val="Titre2"/>
      </w:pPr>
      <w:r>
        <w:lastRenderedPageBreak/>
        <w:t>Atteinte ORL</w:t>
      </w:r>
    </w:p>
    <w:p w14:paraId="53D0468A" w14:textId="77777777" w:rsidR="00EC2F22" w:rsidRDefault="00EC2F22" w:rsidP="00F155BE">
      <w:pPr>
        <w:spacing w:line="276" w:lineRule="auto"/>
        <w:rPr>
          <w:color w:val="0070C0"/>
        </w:rPr>
      </w:pPr>
      <w:r>
        <w:rPr>
          <w:color w:val="0070C0"/>
        </w:rPr>
        <w:t xml:space="preserve">- Syndrome de Heerfordt : </w:t>
      </w:r>
      <w:proofErr w:type="spellStart"/>
      <w:r>
        <w:rPr>
          <w:color w:val="0070C0"/>
        </w:rPr>
        <w:t>uvéo</w:t>
      </w:r>
      <w:proofErr w:type="spellEnd"/>
      <w:r>
        <w:rPr>
          <w:color w:val="0070C0"/>
        </w:rPr>
        <w:t>-parotidite bilatérale fébrile + paralysie faciale (ou atteinte d’un autre nerf crânien).</w:t>
      </w:r>
    </w:p>
    <w:p w14:paraId="782EED5A" w14:textId="77777777" w:rsidR="00EC2F22" w:rsidRDefault="00EC2F22" w:rsidP="00F155BE">
      <w:pPr>
        <w:spacing w:line="276" w:lineRule="auto"/>
        <w:rPr>
          <w:color w:val="0070C0"/>
        </w:rPr>
      </w:pPr>
      <w:bookmarkStart w:id="3" w:name="bookmark=id.eb8mhz1692s1" w:colFirst="0" w:colLast="0"/>
      <w:bookmarkEnd w:id="3"/>
      <w:r>
        <w:rPr>
          <w:color w:val="0070C0"/>
        </w:rPr>
        <w:t>- Syndrome de Mikulicz : hypertrophie des glandes lacrymales et salivaires (</w:t>
      </w:r>
      <w:proofErr w:type="spellStart"/>
      <w:r>
        <w:rPr>
          <w:color w:val="0070C0"/>
        </w:rPr>
        <w:t>sialose</w:t>
      </w:r>
      <w:proofErr w:type="spellEnd"/>
      <w:r>
        <w:rPr>
          <w:color w:val="0070C0"/>
          <w:vertAlign w:val="superscript"/>
        </w:rPr>
        <w:footnoteReference w:id="9"/>
      </w:r>
      <w:r>
        <w:rPr>
          <w:color w:val="0070C0"/>
        </w:rPr>
        <w:t xml:space="preserve">) </w:t>
      </w:r>
    </w:p>
    <w:p w14:paraId="3B549201" w14:textId="77777777" w:rsidR="00EC2F22" w:rsidRDefault="00EC2F22" w:rsidP="00F155BE">
      <w:pPr>
        <w:spacing w:line="276" w:lineRule="auto"/>
        <w:rPr>
          <w:color w:val="0070C0"/>
        </w:rPr>
      </w:pPr>
    </w:p>
    <w:p w14:paraId="3671F107" w14:textId="77777777" w:rsidR="00EC2F22" w:rsidRDefault="00EC2F22" w:rsidP="00F155BE">
      <w:pPr>
        <w:pStyle w:val="Titre2"/>
      </w:pPr>
      <w:r>
        <w:t xml:space="preserve">Atteinte cardiaque </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9067"/>
      </w:tblGrid>
      <w:tr w:rsidR="00EC2F22" w14:paraId="2B47F871" w14:textId="77777777" w:rsidTr="00F155BE">
        <w:tc>
          <w:tcPr>
            <w:tcW w:w="9067" w:type="dxa"/>
          </w:tcPr>
          <w:p w14:paraId="4C386A04" w14:textId="77777777" w:rsidR="00EC2F22" w:rsidRDefault="00EC2F22" w:rsidP="00F155BE">
            <w:pPr>
              <w:spacing w:line="276" w:lineRule="auto"/>
              <w:rPr>
                <w:color w:val="0070C0"/>
                <w:u w:val="single"/>
              </w:rPr>
            </w:pPr>
            <w:r>
              <w:rPr>
                <w:color w:val="0070C0"/>
              </w:rPr>
              <w:t>La sarcoïdose cardiaque représente la 2</w:t>
            </w:r>
            <w:r>
              <w:rPr>
                <w:color w:val="0070C0"/>
                <w:vertAlign w:val="superscript"/>
              </w:rPr>
              <w:t>ème</w:t>
            </w:r>
            <w:r>
              <w:rPr>
                <w:color w:val="0070C0"/>
              </w:rPr>
              <w:t xml:space="preserve"> cause de mortalité de sarcoïdose, principalement en raison d’une insuffisance cardiaque ou d’une mort subite secondaire à un trouble de conduction de haut grade ou à un trouble du rythme ventriculaire. L’ECG est indispensable au diagnostic de n’importe quelle forme de sarcoïdose et est à renouveler périodiquement.</w:t>
            </w:r>
            <w:r>
              <w:rPr>
                <w:noProof/>
              </w:rPr>
              <w:drawing>
                <wp:anchor distT="0" distB="0" distL="114300" distR="114300" simplePos="0" relativeHeight="251950080" behindDoc="0" locked="0" layoutInCell="1" hidden="0" allowOverlap="1" wp14:anchorId="134F4BED" wp14:editId="64208DCD">
                  <wp:simplePos x="0" y="0"/>
                  <wp:positionH relativeFrom="column">
                    <wp:posOffset>-22859</wp:posOffset>
                  </wp:positionH>
                  <wp:positionV relativeFrom="paragraph">
                    <wp:posOffset>34925</wp:posOffset>
                  </wp:positionV>
                  <wp:extent cx="732790" cy="704850"/>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732790" cy="704850"/>
                          </a:xfrm>
                          <a:prstGeom prst="rect">
                            <a:avLst/>
                          </a:prstGeom>
                          <a:ln/>
                        </pic:spPr>
                      </pic:pic>
                    </a:graphicData>
                  </a:graphic>
                </wp:anchor>
              </w:drawing>
            </w:r>
          </w:p>
        </w:tc>
      </w:tr>
    </w:tbl>
    <w:p w14:paraId="0312CA7E" w14:textId="77777777" w:rsidR="00EC2F22" w:rsidRDefault="00EC2F22" w:rsidP="00F155BE">
      <w:pPr>
        <w:spacing w:line="276" w:lineRule="auto"/>
        <w:rPr>
          <w:color w:val="0070C0"/>
        </w:rPr>
      </w:pPr>
    </w:p>
    <w:p w14:paraId="02EEE32C" w14:textId="77777777" w:rsidR="00EC2F22" w:rsidRDefault="00EC2F22" w:rsidP="00F155BE">
      <w:pPr>
        <w:spacing w:line="276" w:lineRule="auto"/>
        <w:rPr>
          <w:color w:val="0070C0"/>
        </w:rPr>
      </w:pPr>
      <w:r>
        <w:rPr>
          <w:color w:val="0070C0"/>
        </w:rPr>
        <w:t>Les signes cliniques sont non spécifiques : palpitations soutenues, malaises, syncopes, douleurs thoraciques, signes d’insuffisance cardiaque.</w:t>
      </w:r>
    </w:p>
    <w:p w14:paraId="218DC696" w14:textId="77777777" w:rsidR="00EC2F22" w:rsidRDefault="00EC2F22" w:rsidP="00F155BE">
      <w:pPr>
        <w:spacing w:line="276" w:lineRule="auto"/>
        <w:rPr>
          <w:color w:val="0070C0"/>
          <w:vertAlign w:val="superscript"/>
        </w:rPr>
      </w:pPr>
    </w:p>
    <w:p w14:paraId="57082A6C" w14:textId="77777777" w:rsidR="00EC2F22" w:rsidRDefault="00EC2F22" w:rsidP="00F155BE">
      <w:pPr>
        <w:spacing w:line="276" w:lineRule="auto"/>
        <w:rPr>
          <w:color w:val="0070C0"/>
        </w:rPr>
      </w:pPr>
      <w:r>
        <w:rPr>
          <w:color w:val="0070C0"/>
        </w:rPr>
        <w:t xml:space="preserve">ECG : l’atteinte cardiaque peut se révéler par des troubles de la conduction (notamment bloc auriculo-ventriculaire de divers degrés et bloc de branches surtout droit), des troubles du rythme ventriculaire (tachycardie ventriculaire, fibrillation ventriculaire). </w:t>
      </w:r>
    </w:p>
    <w:p w14:paraId="6F5063CC" w14:textId="77777777" w:rsidR="00EC2F22" w:rsidRDefault="00EC2F22" w:rsidP="00F155BE">
      <w:pPr>
        <w:spacing w:line="276" w:lineRule="auto"/>
        <w:rPr>
          <w:color w:val="0070C0"/>
          <w:u w:val="single"/>
        </w:rPr>
      </w:pPr>
    </w:p>
    <w:p w14:paraId="7A117EE5" w14:textId="77777777" w:rsidR="00EC2F22" w:rsidRDefault="00EC2F22" w:rsidP="00F155BE">
      <w:pPr>
        <w:pStyle w:val="Titre2"/>
      </w:pPr>
      <w:r>
        <w:t>Signes généraux</w:t>
      </w:r>
    </w:p>
    <w:p w14:paraId="0C3E05B7" w14:textId="77777777" w:rsidR="00EC2F22" w:rsidRDefault="00EC2F22" w:rsidP="00F155BE">
      <w:pPr>
        <w:spacing w:line="276" w:lineRule="auto"/>
        <w:rPr>
          <w:color w:val="0070C0"/>
        </w:rPr>
      </w:pPr>
      <w:r>
        <w:rPr>
          <w:color w:val="0070C0"/>
        </w:rPr>
        <w:t xml:space="preserve">Une asthénie importante très fréquente peut être au premier plan, y compris dans les formes limitées de la maladie. Cette fatigue peut être responsable d’un handicap majeur chez les patients. </w:t>
      </w:r>
    </w:p>
    <w:p w14:paraId="426DEDF6" w14:textId="77777777" w:rsidR="00EC2F22" w:rsidRDefault="00EC2F22" w:rsidP="00F155BE">
      <w:pPr>
        <w:spacing w:line="276" w:lineRule="auto"/>
        <w:rPr>
          <w:color w:val="0070C0"/>
        </w:rPr>
      </w:pPr>
      <w:r>
        <w:rPr>
          <w:color w:val="0070C0"/>
        </w:rPr>
        <w:t xml:space="preserve">La fièvre est rare en dehors du syndrome de Löfgren, d’une </w:t>
      </w:r>
      <w:proofErr w:type="spellStart"/>
      <w:r>
        <w:rPr>
          <w:color w:val="0070C0"/>
        </w:rPr>
        <w:t>uvéo</w:t>
      </w:r>
      <w:proofErr w:type="spellEnd"/>
      <w:r>
        <w:rPr>
          <w:color w:val="0070C0"/>
        </w:rPr>
        <w:t>-parotidite fébrile avec ou sans paralysie faciale, d’une atteinte hépatique ou rénale.</w:t>
      </w:r>
    </w:p>
    <w:p w14:paraId="0E4EBDDA" w14:textId="77777777" w:rsidR="00EC2F22" w:rsidRDefault="00EC2F22" w:rsidP="00F155BE">
      <w:pPr>
        <w:spacing w:line="276" w:lineRule="auto"/>
        <w:rPr>
          <w:color w:val="0070C0"/>
        </w:rPr>
      </w:pPr>
      <w:r>
        <w:rPr>
          <w:color w:val="0070C0"/>
        </w:rPr>
        <w:t>En dehors de ce contexte, la fièvre doit faire éliminer une infection, notamment une tuberculose, ou un autre diagnostic, notamment un lymphome.</w:t>
      </w:r>
    </w:p>
    <w:p w14:paraId="7DD6129B" w14:textId="77777777" w:rsidR="00EC2F22" w:rsidRDefault="00EC2F22" w:rsidP="00F155BE">
      <w:pPr>
        <w:spacing w:line="276" w:lineRule="auto"/>
        <w:rPr>
          <w:color w:val="0070C0"/>
        </w:rPr>
      </w:pPr>
      <w:r>
        <w:rPr>
          <w:color w:val="0070C0"/>
        </w:rPr>
        <w:lastRenderedPageBreak/>
        <w:t>Un amaigrissement peut s’observer dans le syndrome de Löfgren, ou dans les formes multiviscérales, mais comme la fièvre, une altération marquée de l’état général doit faire éliminer un diagnostic alternatif.</w:t>
      </w:r>
    </w:p>
    <w:p w14:paraId="1894D047" w14:textId="77777777" w:rsidR="00EC2F22" w:rsidRDefault="00EC2F22" w:rsidP="00F155BE">
      <w:pPr>
        <w:spacing w:line="276" w:lineRule="auto"/>
      </w:pPr>
    </w:p>
    <w:p w14:paraId="2006F2F6" w14:textId="77777777" w:rsidR="00EC2F22" w:rsidRDefault="00EC2F22" w:rsidP="00F155BE">
      <w:pPr>
        <w:pStyle w:val="titredesous-partie"/>
      </w:pPr>
      <w:r>
        <w:rPr>
          <w:shd w:val="clear" w:color="auto" w:fill="auto"/>
        </w:rPr>
        <w:t>EXAMENS COMPLEMENTAIRES</w:t>
      </w:r>
    </w:p>
    <w:p w14:paraId="45A37F90" w14:textId="77777777" w:rsidR="00EC2F22" w:rsidRDefault="00EC2F22" w:rsidP="00F155BE">
      <w:pPr>
        <w:spacing w:line="276" w:lineRule="auto"/>
        <w:rPr>
          <w:b/>
          <w:bCs/>
          <w:u w:val="single"/>
        </w:rPr>
      </w:pPr>
      <w:r>
        <w:rPr>
          <w:b/>
          <w:bCs/>
          <w:u w:val="single"/>
        </w:rPr>
        <w:t xml:space="preserve">Radiographie du thorax </w:t>
      </w:r>
    </w:p>
    <w:p w14:paraId="2C6199FF" w14:textId="77777777" w:rsidR="00EC2F22" w:rsidRDefault="00EC2F22" w:rsidP="00F155BE">
      <w:pPr>
        <w:spacing w:line="276" w:lineRule="auto"/>
      </w:pPr>
      <w:r>
        <w:t>D’une grande valeur pour le diagnostic, le pronostic et le suivi de la maladie, elle est réalisée systématiquement.</w:t>
      </w:r>
    </w:p>
    <w:p w14:paraId="375D8795" w14:textId="77777777" w:rsidR="00EC2F22" w:rsidRDefault="00EC2F22" w:rsidP="00F155BE">
      <w:pPr>
        <w:spacing w:line="276" w:lineRule="auto"/>
      </w:pPr>
      <w:r>
        <w:t xml:space="preserve">Cinq stades </w:t>
      </w:r>
      <w:r>
        <w:rPr>
          <w:u w:val="single"/>
        </w:rPr>
        <w:t>radiographiques</w:t>
      </w:r>
      <w:r>
        <w:t xml:space="preserve"> sont individualisés (Figure 6) et sont corrélés avec la probabilité de guérison spontanée de la sarcoïdose.</w:t>
      </w:r>
    </w:p>
    <w:p w14:paraId="1A271E99" w14:textId="77777777" w:rsidR="00EC2F22" w:rsidRDefault="00EC2F22" w:rsidP="00F155BE">
      <w:pPr>
        <w:spacing w:line="276" w:lineRule="auto"/>
      </w:pPr>
      <w:r>
        <w:rPr>
          <w:noProof/>
        </w:rPr>
        <w:drawing>
          <wp:anchor distT="0" distB="0" distL="114300" distR="114300" simplePos="0" relativeHeight="251951104" behindDoc="0" locked="0" layoutInCell="1" hidden="0" allowOverlap="1" wp14:anchorId="4FECCEFC" wp14:editId="4C3DC2E8">
            <wp:simplePos x="0" y="0"/>
            <wp:positionH relativeFrom="column">
              <wp:posOffset>-260187</wp:posOffset>
            </wp:positionH>
            <wp:positionV relativeFrom="paragraph">
              <wp:posOffset>160020</wp:posOffset>
            </wp:positionV>
            <wp:extent cx="153670" cy="137160"/>
            <wp:effectExtent l="0" t="0" r="0" b="0"/>
            <wp:wrapSquare wrapText="bothSides" distT="0" distB="0" distL="114300" distR="11430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69CD8149" w14:textId="77777777" w:rsidR="00EC2F22" w:rsidRDefault="00EC2F22" w:rsidP="00F155BE">
      <w:pPr>
        <w:pBdr>
          <w:top w:val="nil"/>
          <w:left w:val="nil"/>
          <w:bottom w:val="nil"/>
          <w:right w:val="nil"/>
          <w:between w:val="nil"/>
        </w:pBdr>
        <w:spacing w:line="276" w:lineRule="auto"/>
        <w:rPr>
          <w:rFonts w:ascii="Arial" w:eastAsia="Arial" w:hAnsi="Arial" w:cs="Arial"/>
          <w:color w:val="0070C0"/>
          <w:sz w:val="18"/>
          <w:szCs w:val="18"/>
        </w:rPr>
      </w:pPr>
      <w:r>
        <w:rPr>
          <w:rFonts w:ascii="Arial" w:eastAsia="Arial" w:hAnsi="Arial" w:cs="Arial"/>
          <w:color w:val="0070C0"/>
          <w:sz w:val="18"/>
          <w:szCs w:val="18"/>
        </w:rPr>
        <w:t xml:space="preserve">Figure 6 : Radiographies thoraciques illustrant 4 stades radiographiques de la sarcoïdose </w:t>
      </w:r>
      <w:proofErr w:type="spellStart"/>
      <w:r>
        <w:rPr>
          <w:rFonts w:ascii="Arial" w:eastAsia="Arial" w:hAnsi="Arial" w:cs="Arial"/>
          <w:color w:val="0070C0"/>
          <w:sz w:val="18"/>
          <w:szCs w:val="18"/>
        </w:rPr>
        <w:t>médiastino</w:t>
      </w:r>
      <w:proofErr w:type="spellEnd"/>
      <w:r>
        <w:rPr>
          <w:rFonts w:ascii="Arial" w:eastAsia="Arial" w:hAnsi="Arial" w:cs="Arial"/>
          <w:color w:val="0070C0"/>
          <w:sz w:val="18"/>
          <w:szCs w:val="18"/>
        </w:rPr>
        <w:t>-pulmonaire.</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9067"/>
      </w:tblGrid>
      <w:tr w:rsidR="00EC2F22" w14:paraId="182EAB31" w14:textId="77777777" w:rsidTr="00F155BE">
        <w:tc>
          <w:tcPr>
            <w:tcW w:w="9067" w:type="dxa"/>
          </w:tcPr>
          <w:p w14:paraId="0BE5C615" w14:textId="77777777" w:rsidR="00EC2F22" w:rsidRDefault="00EC2F22" w:rsidP="00F155BE">
            <w:pPr>
              <w:spacing w:line="276" w:lineRule="auto"/>
              <w:ind w:left="1080" w:hanging="1080"/>
              <w:rPr>
                <w:rFonts w:ascii="Calibri" w:eastAsia="Calibri" w:hAnsi="Calibri" w:cs="Calibri"/>
                <w:color w:val="0070C0"/>
              </w:rPr>
            </w:pPr>
            <w:r>
              <w:rPr>
                <w:rFonts w:ascii="Calibri" w:eastAsia="Calibri" w:hAnsi="Calibri" w:cs="Calibri"/>
                <w:color w:val="0070C0"/>
              </w:rPr>
              <w:t>Stade 0 :</w:t>
            </w:r>
            <w:r>
              <w:rPr>
                <w:rFonts w:ascii="Calibri" w:eastAsia="Calibri" w:hAnsi="Calibri" w:cs="Calibri"/>
                <w:color w:val="0070C0"/>
              </w:rPr>
              <w:tab/>
              <w:t>Radiographie de thorax normale (formes extra-thoraciques)</w:t>
            </w:r>
          </w:p>
          <w:p w14:paraId="08ECD113" w14:textId="77777777" w:rsidR="00EC2F22" w:rsidRDefault="00EC2F22" w:rsidP="00F155BE">
            <w:pPr>
              <w:spacing w:line="276" w:lineRule="auto"/>
              <w:ind w:left="1080" w:hanging="1080"/>
              <w:rPr>
                <w:rFonts w:ascii="Calibri" w:eastAsia="Calibri" w:hAnsi="Calibri" w:cs="Calibri"/>
                <w:color w:val="0070C0"/>
              </w:rPr>
            </w:pPr>
            <w:r>
              <w:rPr>
                <w:rFonts w:ascii="Calibri" w:eastAsia="Calibri" w:hAnsi="Calibri" w:cs="Calibri"/>
                <w:color w:val="0070C0"/>
              </w:rPr>
              <w:t>Stade I :</w:t>
            </w:r>
            <w:r>
              <w:rPr>
                <w:rFonts w:ascii="Calibri" w:eastAsia="Calibri" w:hAnsi="Calibri" w:cs="Calibri"/>
                <w:color w:val="0070C0"/>
              </w:rPr>
              <w:tab/>
              <w:t>Adénopathies hilaires bilatérales et médiastinales (*) sans atteinte parenchymateuse</w:t>
            </w:r>
          </w:p>
          <w:p w14:paraId="001D7749" w14:textId="77777777" w:rsidR="00EC2F22" w:rsidRDefault="00EC2F22" w:rsidP="00F155BE">
            <w:pPr>
              <w:spacing w:line="276" w:lineRule="auto"/>
              <w:ind w:left="1080" w:hanging="1080"/>
              <w:rPr>
                <w:rFonts w:ascii="Calibri" w:eastAsia="Calibri" w:hAnsi="Calibri" w:cs="Calibri"/>
                <w:color w:val="0070C0"/>
              </w:rPr>
            </w:pPr>
            <w:r>
              <w:rPr>
                <w:rFonts w:ascii="Calibri" w:eastAsia="Calibri" w:hAnsi="Calibri" w:cs="Calibri"/>
                <w:color w:val="0070C0"/>
              </w:rPr>
              <w:t>Stade II :</w:t>
            </w:r>
            <w:r>
              <w:rPr>
                <w:rFonts w:ascii="Calibri" w:eastAsia="Calibri" w:hAnsi="Calibri" w:cs="Calibri"/>
                <w:color w:val="0070C0"/>
              </w:rPr>
              <w:tab/>
              <w:t>Association d’adénopathies hilaires et médiastinales et d’une atteinte parenchymateuse pulmonaire</w:t>
            </w:r>
          </w:p>
          <w:p w14:paraId="0575D389" w14:textId="77777777" w:rsidR="00EC2F22" w:rsidRDefault="00EC2F22" w:rsidP="00F155BE">
            <w:pPr>
              <w:spacing w:line="276" w:lineRule="auto"/>
              <w:ind w:left="1080" w:hanging="1080"/>
              <w:rPr>
                <w:rFonts w:ascii="Calibri" w:eastAsia="Calibri" w:hAnsi="Calibri" w:cs="Calibri"/>
                <w:color w:val="0070C0"/>
              </w:rPr>
            </w:pPr>
            <w:r>
              <w:rPr>
                <w:rFonts w:ascii="Calibri" w:eastAsia="Calibri" w:hAnsi="Calibri" w:cs="Calibri"/>
                <w:color w:val="0070C0"/>
              </w:rPr>
              <w:t>Stade III :</w:t>
            </w:r>
            <w:r>
              <w:rPr>
                <w:rFonts w:ascii="Calibri" w:eastAsia="Calibri" w:hAnsi="Calibri" w:cs="Calibri"/>
                <w:color w:val="0070C0"/>
              </w:rPr>
              <w:tab/>
              <w:t>Atteinte parenchymateuse pulmonaire isolée</w:t>
            </w:r>
          </w:p>
          <w:p w14:paraId="1440E21A" w14:textId="77777777" w:rsidR="00EC2F22" w:rsidRDefault="00EC2F22" w:rsidP="00F155BE">
            <w:pPr>
              <w:spacing w:line="276" w:lineRule="auto"/>
              <w:ind w:left="1080" w:hanging="1080"/>
              <w:rPr>
                <w:rFonts w:ascii="Calibri" w:eastAsia="Calibri" w:hAnsi="Calibri" w:cs="Calibri"/>
                <w:color w:val="0070C0"/>
              </w:rPr>
            </w:pPr>
            <w:r>
              <w:rPr>
                <w:rFonts w:ascii="Calibri" w:eastAsia="Calibri" w:hAnsi="Calibri" w:cs="Calibri"/>
                <w:color w:val="0070C0"/>
              </w:rPr>
              <w:t>Stade IV :</w:t>
            </w:r>
            <w:r>
              <w:rPr>
                <w:rFonts w:ascii="Calibri" w:eastAsia="Calibri" w:hAnsi="Calibri" w:cs="Calibri"/>
                <w:color w:val="0070C0"/>
              </w:rPr>
              <w:tab/>
              <w:t>Fibrose pulmonaire souvent à prédominance apicale</w:t>
            </w:r>
          </w:p>
        </w:tc>
      </w:tr>
    </w:tbl>
    <w:p w14:paraId="77C930E7" w14:textId="77777777" w:rsidR="00EC2F22" w:rsidRDefault="00EC2F22" w:rsidP="00F155BE">
      <w:pPr>
        <w:spacing w:line="276" w:lineRule="auto"/>
        <w:rPr>
          <w:color w:val="0070C0"/>
        </w:rPr>
      </w:pPr>
    </w:p>
    <w:p w14:paraId="7C65F910" w14:textId="77777777" w:rsidR="00EC2F22" w:rsidRDefault="00EC2F22" w:rsidP="00F155BE">
      <w:pPr>
        <w:spacing w:line="276" w:lineRule="auto"/>
        <w:jc w:val="center"/>
        <w:rPr>
          <w:b/>
          <w:bCs/>
          <w:color w:val="0070C0"/>
        </w:rPr>
      </w:pPr>
      <w:r>
        <w:rPr>
          <w:noProof/>
          <w:color w:val="0070C0"/>
        </w:rPr>
        <w:lastRenderedPageBreak/>
        <w:drawing>
          <wp:inline distT="0" distB="0" distL="0" distR="0" wp14:anchorId="45048354" wp14:editId="592F0E19">
            <wp:extent cx="4246701" cy="4700893"/>
            <wp:effectExtent l="0" t="0" r="0" b="0"/>
            <wp:docPr id="2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9"/>
                    <a:srcRect/>
                    <a:stretch>
                      <a:fillRect/>
                    </a:stretch>
                  </pic:blipFill>
                  <pic:spPr>
                    <a:xfrm>
                      <a:off x="0" y="0"/>
                      <a:ext cx="4246701" cy="4700893"/>
                    </a:xfrm>
                    <a:prstGeom prst="rect">
                      <a:avLst/>
                    </a:prstGeom>
                    <a:ln/>
                  </pic:spPr>
                </pic:pic>
              </a:graphicData>
            </a:graphic>
          </wp:inline>
        </w:drawing>
      </w:r>
    </w:p>
    <w:p w14:paraId="6F10D16C" w14:textId="77777777" w:rsidR="00EC2F22" w:rsidRDefault="00EC2F22" w:rsidP="00F155BE">
      <w:pPr>
        <w:spacing w:line="276" w:lineRule="auto"/>
        <w:rPr>
          <w:color w:val="0070C0"/>
        </w:rPr>
      </w:pPr>
      <w:r>
        <w:rPr>
          <w:color w:val="0070C0"/>
        </w:rPr>
        <w:t>Les adénopathies intrathoraciques sont :</w:t>
      </w:r>
    </w:p>
    <w:p w14:paraId="733F0AC0" w14:textId="77777777" w:rsidR="00EC2F22" w:rsidRDefault="00EC2F22" w:rsidP="00F155BE">
      <w:pPr>
        <w:spacing w:line="276" w:lineRule="auto"/>
        <w:rPr>
          <w:color w:val="0070C0"/>
        </w:rPr>
      </w:pPr>
      <w:r>
        <w:rPr>
          <w:color w:val="0070C0"/>
        </w:rPr>
        <w:t>- Hilaires, bilatérales, symétriques, homogènes et non compressives (dans 95 % des cas) (Figure 6).</w:t>
      </w:r>
    </w:p>
    <w:p w14:paraId="548C64F4" w14:textId="77777777" w:rsidR="00EC2F22" w:rsidRDefault="00EC2F22" w:rsidP="00F155BE">
      <w:pPr>
        <w:spacing w:line="276" w:lineRule="auto"/>
        <w:rPr>
          <w:color w:val="0070C0"/>
        </w:rPr>
      </w:pPr>
      <w:r>
        <w:rPr>
          <w:color w:val="0070C0"/>
        </w:rPr>
        <w:t xml:space="preserve">- Souvent médiastinales, notamment </w:t>
      </w:r>
      <w:proofErr w:type="spellStart"/>
      <w:r>
        <w:rPr>
          <w:color w:val="0070C0"/>
        </w:rPr>
        <w:t>latéro</w:t>
      </w:r>
      <w:proofErr w:type="spellEnd"/>
      <w:r>
        <w:rPr>
          <w:color w:val="0070C0"/>
        </w:rPr>
        <w:t>-trachéales droites (70 % des cas).</w:t>
      </w:r>
    </w:p>
    <w:p w14:paraId="2909D290" w14:textId="77777777" w:rsidR="00EC2F22" w:rsidRDefault="00EC2F22" w:rsidP="00F155BE">
      <w:pPr>
        <w:spacing w:line="276" w:lineRule="auto"/>
        <w:rPr>
          <w:color w:val="0070C0"/>
        </w:rPr>
      </w:pPr>
      <w:r>
        <w:rPr>
          <w:color w:val="0070C0"/>
        </w:rPr>
        <w:t>- Plus rarement, elles peuvent être asymétriques ou compressives et doivent dans ce cas faire éliminer formellement un diagnostic alternatif.</w:t>
      </w:r>
    </w:p>
    <w:p w14:paraId="78DFA3B1" w14:textId="77777777" w:rsidR="00EC2F22" w:rsidRDefault="00EC2F22" w:rsidP="00F155BE">
      <w:pPr>
        <w:spacing w:line="276" w:lineRule="auto"/>
        <w:rPr>
          <w:color w:val="0070C0"/>
        </w:rPr>
      </w:pPr>
      <w:r>
        <w:rPr>
          <w:color w:val="0070C0"/>
        </w:rPr>
        <w:t>- Parfois calcifiées dans les formes anciennes.</w:t>
      </w:r>
    </w:p>
    <w:p w14:paraId="3697C526" w14:textId="77777777" w:rsidR="00EC2F22" w:rsidRDefault="00EC2F22" w:rsidP="00F155BE">
      <w:pPr>
        <w:spacing w:line="276" w:lineRule="auto"/>
        <w:rPr>
          <w:color w:val="0070C0"/>
        </w:rPr>
      </w:pPr>
    </w:p>
    <w:p w14:paraId="7773026A" w14:textId="77777777" w:rsidR="00EC2F22" w:rsidRDefault="00EC2F22" w:rsidP="00F155BE">
      <w:pPr>
        <w:spacing w:line="276" w:lineRule="auto"/>
        <w:rPr>
          <w:color w:val="0070C0"/>
        </w:rPr>
      </w:pPr>
      <w:r>
        <w:rPr>
          <w:color w:val="0070C0"/>
        </w:rPr>
        <w:t xml:space="preserve">L’atteinte parenchymateuse pulmonaire : </w:t>
      </w:r>
    </w:p>
    <w:p w14:paraId="1230A4E1" w14:textId="77777777" w:rsidR="00EC2F22" w:rsidRDefault="00EC2F22" w:rsidP="00F155BE">
      <w:pPr>
        <w:spacing w:line="276" w:lineRule="auto"/>
        <w:rPr>
          <w:color w:val="0070C0"/>
        </w:rPr>
      </w:pPr>
      <w:r>
        <w:rPr>
          <w:color w:val="0070C0"/>
        </w:rPr>
        <w:t>- Réalise un aspect micronodulaire diffus.</w:t>
      </w:r>
    </w:p>
    <w:p w14:paraId="777D964C" w14:textId="77777777" w:rsidR="00F155BE" w:rsidRDefault="00EC2F22" w:rsidP="00F155BE">
      <w:pPr>
        <w:spacing w:line="276" w:lineRule="auto"/>
        <w:rPr>
          <w:color w:val="0070C0"/>
        </w:rPr>
      </w:pPr>
      <w:r>
        <w:rPr>
          <w:color w:val="0070C0"/>
        </w:rPr>
        <w:t>- Prédomine dans les parties moyennes et supérieures des champs pulmonaires (Figure 7).</w:t>
      </w:r>
    </w:p>
    <w:p w14:paraId="6F770BDA" w14:textId="6326619A" w:rsidR="00EC2F22" w:rsidRDefault="00F155BE" w:rsidP="00F155BE">
      <w:pPr>
        <w:spacing w:line="276" w:lineRule="auto"/>
        <w:rPr>
          <w:color w:val="0070C0"/>
        </w:rPr>
      </w:pPr>
      <w:r w:rsidRPr="00F155BE">
        <w:rPr>
          <w:color w:val="0070C0"/>
        </w:rPr>
        <w:sym w:font="Wingdings" w:char="F0E0"/>
      </w:r>
      <w:r>
        <w:rPr>
          <w:color w:val="0070C0"/>
        </w:rPr>
        <w:t xml:space="preserve"> </w:t>
      </w:r>
      <w:r w:rsidR="00EC2F22">
        <w:rPr>
          <w:color w:val="0070C0"/>
        </w:rPr>
        <w:t>Le contraste entre l’importance de l’atteinte radiographique pulmonaire, la discrétion de la symptomatologie fonctionnelle respiratoire et la normalité de l’auscultation pulmonaire est habituel et constitue un élément en faveur du diagnostic de sarcoïdose.</w:t>
      </w:r>
    </w:p>
    <w:p w14:paraId="450EA168" w14:textId="77777777" w:rsidR="00EC2F22" w:rsidRDefault="00EC2F22" w:rsidP="00F155BE">
      <w:pPr>
        <w:spacing w:line="276" w:lineRule="auto"/>
        <w:rPr>
          <w:color w:val="0070C0"/>
        </w:rPr>
      </w:pPr>
    </w:p>
    <w:p w14:paraId="5D52EC52" w14:textId="77777777" w:rsidR="00EC2F22" w:rsidRDefault="00EC2F22" w:rsidP="00F155BE">
      <w:pPr>
        <w:spacing w:line="276" w:lineRule="auto"/>
        <w:rPr>
          <w:color w:val="0070C0"/>
        </w:rPr>
      </w:pPr>
      <w:r>
        <w:rPr>
          <w:color w:val="0070C0"/>
        </w:rPr>
        <w:t>La fibrose, quand elle est présente :</w:t>
      </w:r>
    </w:p>
    <w:p w14:paraId="5140E1F3" w14:textId="77777777" w:rsidR="00EC2F22" w:rsidRDefault="00EC2F22" w:rsidP="00F155BE">
      <w:pPr>
        <w:spacing w:line="276" w:lineRule="auto"/>
        <w:rPr>
          <w:color w:val="0070C0"/>
        </w:rPr>
      </w:pPr>
      <w:r>
        <w:rPr>
          <w:color w:val="0070C0"/>
        </w:rPr>
        <w:t>- Prédomine dans les parties supérieures et postérieures des poumons.</w:t>
      </w:r>
    </w:p>
    <w:p w14:paraId="41291127" w14:textId="2E2D7E1D" w:rsidR="00EC2F22" w:rsidRDefault="00EC2F22" w:rsidP="00F155BE">
      <w:pPr>
        <w:spacing w:line="276" w:lineRule="auto"/>
        <w:rPr>
          <w:color w:val="0070C0"/>
        </w:rPr>
      </w:pPr>
      <w:r>
        <w:rPr>
          <w:color w:val="0070C0"/>
        </w:rPr>
        <w:lastRenderedPageBreak/>
        <w:t xml:space="preserve">- Réalise des opacités parenchymateuses rétractiles avec ascension des </w:t>
      </w:r>
      <w:proofErr w:type="spellStart"/>
      <w:r>
        <w:rPr>
          <w:color w:val="0070C0"/>
        </w:rPr>
        <w:t>hiles</w:t>
      </w:r>
      <w:proofErr w:type="spellEnd"/>
      <w:r>
        <w:rPr>
          <w:color w:val="0070C0"/>
        </w:rPr>
        <w:t xml:space="preserve"> pulmonaires, une distorsion broncho-vasculaire, parfois des masses pseudo-tumorales péri-hilaires ou un aspect en rayon de miel apical (</w:t>
      </w:r>
      <w:r w:rsidR="004C208B">
        <w:rPr>
          <w:color w:val="0070C0"/>
        </w:rPr>
        <w:t>Figure 7</w:t>
      </w:r>
      <w:r>
        <w:rPr>
          <w:color w:val="0070C0"/>
        </w:rPr>
        <w:t>).</w:t>
      </w:r>
    </w:p>
    <w:p w14:paraId="5F83D1E5" w14:textId="77777777" w:rsidR="00EC2F22" w:rsidRDefault="00EC2F22" w:rsidP="00F155BE">
      <w:pPr>
        <w:spacing w:line="276" w:lineRule="auto"/>
        <w:rPr>
          <w:color w:val="0070C0"/>
        </w:rPr>
      </w:pPr>
      <w:r>
        <w:rPr>
          <w:color w:val="0070C0"/>
        </w:rPr>
        <w:t>- S’accompagne souvent :</w:t>
      </w:r>
    </w:p>
    <w:p w14:paraId="5F181807" w14:textId="77777777" w:rsidR="00EC2F22" w:rsidRDefault="00EC2F22" w:rsidP="00F155BE">
      <w:pPr>
        <w:numPr>
          <w:ilvl w:val="1"/>
          <w:numId w:val="32"/>
        </w:numPr>
        <w:spacing w:line="276" w:lineRule="auto"/>
        <w:ind w:left="284" w:hanging="142"/>
        <w:rPr>
          <w:color w:val="0070C0"/>
        </w:rPr>
      </w:pPr>
      <w:r>
        <w:rPr>
          <w:color w:val="0070C0"/>
        </w:rPr>
        <w:t>De lésions emphysémateuses para-cicatricielles et d’une déformation en «</w:t>
      </w:r>
      <w:r>
        <w:rPr>
          <w:rFonts w:ascii="Arial" w:eastAsia="Arial" w:hAnsi="Arial" w:cs="Arial"/>
          <w:color w:val="0070C0"/>
        </w:rPr>
        <w:t> </w:t>
      </w:r>
      <w:r>
        <w:rPr>
          <w:color w:val="0070C0"/>
        </w:rPr>
        <w:t>tente</w:t>
      </w:r>
      <w:r>
        <w:rPr>
          <w:rFonts w:ascii="Arial" w:eastAsia="Arial" w:hAnsi="Arial" w:cs="Arial"/>
          <w:color w:val="0070C0"/>
        </w:rPr>
        <w:t> </w:t>
      </w:r>
      <w:r>
        <w:rPr>
          <w:color w:val="0070C0"/>
        </w:rPr>
        <w:t>» des coupoles diaphragmatiques par phénomène de traction.</w:t>
      </w:r>
    </w:p>
    <w:p w14:paraId="3A5EBC94" w14:textId="77777777" w:rsidR="00EC2F22" w:rsidRDefault="00EC2F22" w:rsidP="00F155BE">
      <w:pPr>
        <w:numPr>
          <w:ilvl w:val="1"/>
          <w:numId w:val="32"/>
        </w:numPr>
        <w:spacing w:line="276" w:lineRule="auto"/>
        <w:ind w:left="284" w:hanging="142"/>
        <w:rPr>
          <w:color w:val="0070C0"/>
        </w:rPr>
      </w:pPr>
      <w:r>
        <w:rPr>
          <w:color w:val="0070C0"/>
        </w:rPr>
        <w:t>De lésions cavitaires dont le risque est la greffe aspergillaire (</w:t>
      </w:r>
      <w:proofErr w:type="spellStart"/>
      <w:r>
        <w:rPr>
          <w:color w:val="0070C0"/>
        </w:rPr>
        <w:t>aspergillome</w:t>
      </w:r>
      <w:proofErr w:type="spellEnd"/>
      <w:r>
        <w:rPr>
          <w:color w:val="0070C0"/>
        </w:rPr>
        <w:t>, aspergillose pulmonaire chronique).</w:t>
      </w:r>
    </w:p>
    <w:p w14:paraId="5F755327" w14:textId="77777777" w:rsidR="00EC2F22" w:rsidRDefault="00EC2F22" w:rsidP="00F155BE">
      <w:pPr>
        <w:spacing w:line="276" w:lineRule="auto"/>
        <w:rPr>
          <w:color w:val="0070C0"/>
        </w:rPr>
      </w:pPr>
    </w:p>
    <w:p w14:paraId="39AB253B" w14:textId="27034B10" w:rsidR="00EC2F22" w:rsidRPr="00F155BE" w:rsidRDefault="00EC2F22" w:rsidP="00F155BE">
      <w:pPr>
        <w:pBdr>
          <w:top w:val="nil"/>
          <w:left w:val="nil"/>
          <w:bottom w:val="nil"/>
          <w:right w:val="nil"/>
          <w:between w:val="nil"/>
        </w:pBdr>
        <w:spacing w:line="276" w:lineRule="auto"/>
        <w:rPr>
          <w:rFonts w:ascii="Arial" w:eastAsia="Arial" w:hAnsi="Arial" w:cs="Arial"/>
          <w:color w:val="0070C0"/>
          <w:sz w:val="18"/>
          <w:szCs w:val="18"/>
        </w:rPr>
      </w:pPr>
      <w:r>
        <w:rPr>
          <w:rFonts w:ascii="Arial" w:eastAsia="Arial" w:hAnsi="Arial" w:cs="Arial"/>
          <w:color w:val="0070C0"/>
          <w:sz w:val="18"/>
          <w:szCs w:val="18"/>
        </w:rPr>
        <w:t xml:space="preserve">Figure 7 : Radiographie de thorax d’une sarcoïdose de stade IV, avec des opacités parenchymateuses pulmonaires rétractiles, apicales. Noter l’ascension des </w:t>
      </w:r>
      <w:proofErr w:type="spellStart"/>
      <w:r>
        <w:rPr>
          <w:rFonts w:ascii="Arial" w:eastAsia="Arial" w:hAnsi="Arial" w:cs="Arial"/>
          <w:color w:val="0070C0"/>
          <w:sz w:val="18"/>
          <w:szCs w:val="18"/>
        </w:rPr>
        <w:t>hiles</w:t>
      </w:r>
      <w:proofErr w:type="spellEnd"/>
      <w:r>
        <w:rPr>
          <w:rFonts w:ascii="Arial" w:eastAsia="Arial" w:hAnsi="Arial" w:cs="Arial"/>
          <w:color w:val="0070C0"/>
          <w:sz w:val="18"/>
          <w:szCs w:val="18"/>
        </w:rPr>
        <w:t xml:space="preserve"> vers les sommets (flèches).</w:t>
      </w:r>
    </w:p>
    <w:p w14:paraId="75C01468" w14:textId="77777777" w:rsidR="00EC2F22" w:rsidRDefault="00EC2F22" w:rsidP="00F155BE">
      <w:pPr>
        <w:spacing w:line="276" w:lineRule="auto"/>
        <w:jc w:val="center"/>
        <w:rPr>
          <w:color w:val="0070C0"/>
          <w:u w:val="single"/>
        </w:rPr>
      </w:pPr>
      <w:r>
        <w:rPr>
          <w:noProof/>
          <w:color w:val="0070C0"/>
        </w:rPr>
        <w:drawing>
          <wp:inline distT="0" distB="0" distL="0" distR="0" wp14:anchorId="7D3CB416" wp14:editId="1CD5BC7C">
            <wp:extent cx="2793757" cy="3089393"/>
            <wp:effectExtent l="0" t="0" r="0" b="0"/>
            <wp:docPr id="23"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0"/>
                    <a:srcRect/>
                    <a:stretch>
                      <a:fillRect/>
                    </a:stretch>
                  </pic:blipFill>
                  <pic:spPr>
                    <a:xfrm>
                      <a:off x="0" y="0"/>
                      <a:ext cx="2793757" cy="3089393"/>
                    </a:xfrm>
                    <a:prstGeom prst="rect">
                      <a:avLst/>
                    </a:prstGeom>
                    <a:ln/>
                  </pic:spPr>
                </pic:pic>
              </a:graphicData>
            </a:graphic>
          </wp:inline>
        </w:drawing>
      </w:r>
    </w:p>
    <w:p w14:paraId="64DBE106" w14:textId="77777777" w:rsidR="00EC2F22" w:rsidRDefault="00EC2F22" w:rsidP="00F155BE">
      <w:pPr>
        <w:spacing w:line="276" w:lineRule="auto"/>
        <w:rPr>
          <w:color w:val="0070C0"/>
          <w:u w:val="single"/>
        </w:rPr>
      </w:pPr>
    </w:p>
    <w:p w14:paraId="62549E23" w14:textId="77777777" w:rsidR="00EC2F22" w:rsidRDefault="00EC2F22" w:rsidP="00F155BE">
      <w:pPr>
        <w:spacing w:line="276" w:lineRule="auto"/>
        <w:rPr>
          <w:b/>
          <w:bCs/>
          <w:smallCaps/>
          <w:color w:val="0070C0"/>
        </w:rPr>
      </w:pPr>
      <w:r>
        <w:rPr>
          <w:b/>
          <w:bCs/>
          <w:smallCaps/>
          <w:color w:val="0070C0"/>
          <w:u w:val="single"/>
        </w:rPr>
        <w:t>TOMODENSITOMÉTRIE EN HAUTE RÉSOLUTION (TDM-HR) THORACIQUE (FIGURE 8</w:t>
      </w:r>
      <w:r>
        <w:rPr>
          <w:b/>
          <w:bCs/>
          <w:smallCaps/>
          <w:color w:val="0070C0"/>
        </w:rPr>
        <w:t>)</w:t>
      </w:r>
    </w:p>
    <w:p w14:paraId="63438153" w14:textId="77777777" w:rsidR="00EC2F22" w:rsidRDefault="00EC2F22" w:rsidP="00F155BE">
      <w:pPr>
        <w:spacing w:line="276" w:lineRule="auto"/>
        <w:rPr>
          <w:color w:val="0070C0"/>
        </w:rPr>
      </w:pP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9067"/>
      </w:tblGrid>
      <w:tr w:rsidR="00EC2F22" w14:paraId="726F3BE0" w14:textId="77777777" w:rsidTr="00F155BE">
        <w:tc>
          <w:tcPr>
            <w:tcW w:w="9067" w:type="dxa"/>
          </w:tcPr>
          <w:p w14:paraId="2FC53A79" w14:textId="77777777" w:rsidR="00EC2F22" w:rsidRPr="00F155BE" w:rsidRDefault="00EC2F22" w:rsidP="00F155BE">
            <w:pPr>
              <w:spacing w:line="276" w:lineRule="auto"/>
              <w:ind w:left="720"/>
              <w:rPr>
                <w:color w:val="0070C0"/>
                <w:sz w:val="14"/>
                <w:szCs w:val="14"/>
              </w:rPr>
            </w:pPr>
            <w:r w:rsidRPr="00F155BE">
              <w:rPr>
                <w:noProof/>
                <w:sz w:val="14"/>
                <w:szCs w:val="14"/>
              </w:rPr>
              <w:drawing>
                <wp:anchor distT="0" distB="0" distL="114300" distR="114300" simplePos="0" relativeHeight="251952128" behindDoc="0" locked="0" layoutInCell="1" hidden="0" allowOverlap="1" wp14:anchorId="4EACAAB3" wp14:editId="511D8412">
                  <wp:simplePos x="0" y="0"/>
                  <wp:positionH relativeFrom="column">
                    <wp:posOffset>-22859</wp:posOffset>
                  </wp:positionH>
                  <wp:positionV relativeFrom="paragraph">
                    <wp:posOffset>34925</wp:posOffset>
                  </wp:positionV>
                  <wp:extent cx="732790" cy="704850"/>
                  <wp:effectExtent l="0" t="0" r="0" b="0"/>
                  <wp:wrapSquare wrapText="bothSides" distT="0" distB="0" distL="114300" distR="11430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732790" cy="704850"/>
                          </a:xfrm>
                          <a:prstGeom prst="rect">
                            <a:avLst/>
                          </a:prstGeom>
                          <a:ln/>
                        </pic:spPr>
                      </pic:pic>
                    </a:graphicData>
                  </a:graphic>
                </wp:anchor>
              </w:drawing>
            </w:r>
          </w:p>
          <w:p w14:paraId="3C610E52" w14:textId="77777777" w:rsidR="00EC2F22" w:rsidRDefault="00EC2F22" w:rsidP="00F155BE">
            <w:pPr>
              <w:spacing w:line="276" w:lineRule="auto"/>
              <w:ind w:left="720"/>
              <w:rPr>
                <w:color w:val="0070C0"/>
              </w:rPr>
            </w:pPr>
            <w:r>
              <w:rPr>
                <w:color w:val="0070C0"/>
              </w:rPr>
              <w:t>Tous les patients ayant une sarcoïdose devraient avoir une TDM-HR thoracique dans le bilan initial. En revanche, cet examen ne doit pas être systématique au cours du suivi.</w:t>
            </w:r>
          </w:p>
        </w:tc>
      </w:tr>
    </w:tbl>
    <w:p w14:paraId="3058E348" w14:textId="77777777" w:rsidR="00EC2F22" w:rsidRDefault="00EC2F22" w:rsidP="00F155BE">
      <w:pPr>
        <w:spacing w:line="276" w:lineRule="auto"/>
        <w:rPr>
          <w:color w:val="0070C0"/>
          <w:u w:val="single"/>
        </w:rPr>
      </w:pPr>
    </w:p>
    <w:p w14:paraId="5D141201" w14:textId="77777777" w:rsidR="00EC2F22" w:rsidRDefault="00EC2F22" w:rsidP="00F155BE">
      <w:pPr>
        <w:spacing w:line="276" w:lineRule="auto"/>
        <w:rPr>
          <w:color w:val="0070C0"/>
        </w:rPr>
      </w:pPr>
      <w:r>
        <w:rPr>
          <w:color w:val="0070C0"/>
        </w:rPr>
        <w:t xml:space="preserve">- Plus sensible que le cliché standard pour analyser les anomalies observées sur la radiographie de thorax. </w:t>
      </w:r>
    </w:p>
    <w:p w14:paraId="660389D3" w14:textId="77777777" w:rsidR="00EC2F22" w:rsidRDefault="00EC2F22" w:rsidP="00F155BE">
      <w:pPr>
        <w:spacing w:line="276" w:lineRule="auto"/>
        <w:rPr>
          <w:color w:val="0070C0"/>
        </w:rPr>
      </w:pPr>
      <w:r>
        <w:rPr>
          <w:color w:val="0070C0"/>
        </w:rPr>
        <w:t>- Illustre mieux les lésions élémentaires ainsi que leur distribution anatomique et aide à différencier les lésions inflammatoires actives réversibles des lésions fibreuses irréversibles.</w:t>
      </w:r>
    </w:p>
    <w:p w14:paraId="30CB5F36" w14:textId="77777777" w:rsidR="00EC2F22" w:rsidRDefault="00EC2F22" w:rsidP="00F155BE">
      <w:pPr>
        <w:spacing w:line="276" w:lineRule="auto"/>
        <w:rPr>
          <w:color w:val="0070C0"/>
        </w:rPr>
      </w:pPr>
      <w:r>
        <w:rPr>
          <w:color w:val="0070C0"/>
        </w:rPr>
        <w:t>- Ne modifie pas la classification en stades qui repose sur la radiographie standard.</w:t>
      </w:r>
    </w:p>
    <w:p w14:paraId="05106241" w14:textId="77777777" w:rsidR="00EC2F22" w:rsidRDefault="00EC2F22" w:rsidP="00F155BE">
      <w:pPr>
        <w:spacing w:line="276" w:lineRule="auto"/>
        <w:rPr>
          <w:color w:val="0070C0"/>
        </w:rPr>
      </w:pPr>
      <w:r>
        <w:rPr>
          <w:color w:val="0070C0"/>
        </w:rPr>
        <w:t xml:space="preserve">- Une injection de produit de contraste est utile en cas d’adénopathies intrathoraciques, pour mieux visualiser une compression vasculaire en cas d’hypertension pulmonaire ou pour chercher une embolie pulmonaire. </w:t>
      </w:r>
    </w:p>
    <w:p w14:paraId="6095FD9A" w14:textId="77777777" w:rsidR="00EC2F22" w:rsidRDefault="00EC2F22" w:rsidP="00F155BE">
      <w:pPr>
        <w:spacing w:line="276" w:lineRule="auto"/>
        <w:rPr>
          <w:color w:val="0070C0"/>
        </w:rPr>
      </w:pPr>
      <w:r>
        <w:rPr>
          <w:color w:val="0070C0"/>
        </w:rPr>
        <w:lastRenderedPageBreak/>
        <w:t xml:space="preserve">- Le scanner thoracique permet également de mieux préciser les mécanismes d’un trouble ventilatoire obstructif ou d’une hypertension pulmonaire. </w:t>
      </w:r>
    </w:p>
    <w:p w14:paraId="752EDA4E" w14:textId="77777777" w:rsidR="00EC2F22" w:rsidRDefault="00EC2F22" w:rsidP="00F155BE">
      <w:pPr>
        <w:spacing w:line="276" w:lineRule="auto"/>
        <w:rPr>
          <w:color w:val="0070C0"/>
        </w:rPr>
      </w:pPr>
      <w:r>
        <w:rPr>
          <w:color w:val="0070C0"/>
        </w:rPr>
        <w:t>- Il guide le choix des meilleurs gestes endoscopiques à envisager pour le diagnostic.</w:t>
      </w:r>
    </w:p>
    <w:p w14:paraId="2179C89E" w14:textId="77777777" w:rsidR="00EC2F22" w:rsidRDefault="00EC2F22" w:rsidP="00F155BE">
      <w:pPr>
        <w:spacing w:line="276" w:lineRule="auto"/>
        <w:ind w:left="720"/>
        <w:rPr>
          <w:color w:val="0070C0"/>
        </w:rPr>
      </w:pPr>
    </w:p>
    <w:p w14:paraId="581206A0" w14:textId="77777777" w:rsidR="00EC2F22" w:rsidRDefault="00EC2F22" w:rsidP="00F155BE">
      <w:pPr>
        <w:spacing w:line="276" w:lineRule="auto"/>
        <w:rPr>
          <w:color w:val="0070C0"/>
        </w:rPr>
      </w:pPr>
      <w:r>
        <w:rPr>
          <w:color w:val="0070C0"/>
        </w:rPr>
        <w:t>L’atteinte parenchymateuse caractéristique comprend :</w:t>
      </w:r>
    </w:p>
    <w:p w14:paraId="46950EED" w14:textId="77777777" w:rsidR="00EC2F22" w:rsidRDefault="00EC2F22" w:rsidP="00F155BE">
      <w:pPr>
        <w:spacing w:line="276" w:lineRule="auto"/>
        <w:rPr>
          <w:color w:val="0070C0"/>
        </w:rPr>
      </w:pPr>
      <w:r>
        <w:rPr>
          <w:color w:val="0070C0"/>
        </w:rPr>
        <w:t>- Des micronodules, confluents, bilatéraux.</w:t>
      </w:r>
    </w:p>
    <w:p w14:paraId="5F6A7C07" w14:textId="54960E4D" w:rsidR="00EC2F22" w:rsidRDefault="00EC2F22" w:rsidP="00F155BE">
      <w:pPr>
        <w:spacing w:line="276" w:lineRule="auto"/>
        <w:rPr>
          <w:color w:val="0070C0"/>
        </w:rPr>
      </w:pPr>
      <w:r>
        <w:rPr>
          <w:color w:val="0070C0"/>
        </w:rPr>
        <w:t xml:space="preserve">- Prédomine dans la moitié supérieure des poumons selon une distribution lymphatique c’est-à-dire le long des axes </w:t>
      </w:r>
      <w:proofErr w:type="spellStart"/>
      <w:r>
        <w:rPr>
          <w:color w:val="0070C0"/>
        </w:rPr>
        <w:t>péribronchovasculaires</w:t>
      </w:r>
      <w:proofErr w:type="spellEnd"/>
      <w:r>
        <w:rPr>
          <w:color w:val="0070C0"/>
        </w:rPr>
        <w:t xml:space="preserve"> qui sont épaissis et les zones sous-pleurales, y compris le long des scissures (Figure </w:t>
      </w:r>
      <w:r w:rsidR="004C208B">
        <w:rPr>
          <w:color w:val="0070C0"/>
        </w:rPr>
        <w:t>8</w:t>
      </w:r>
      <w:r>
        <w:rPr>
          <w:color w:val="0070C0"/>
        </w:rPr>
        <w:t>).</w:t>
      </w:r>
    </w:p>
    <w:p w14:paraId="132501E5" w14:textId="77777777" w:rsidR="00EC2F22" w:rsidRDefault="00EC2F22" w:rsidP="00F155BE">
      <w:pPr>
        <w:spacing w:line="276" w:lineRule="auto"/>
        <w:rPr>
          <w:color w:val="0070C0"/>
        </w:rPr>
      </w:pPr>
      <w:r>
        <w:rPr>
          <w:color w:val="0070C0"/>
        </w:rPr>
        <w:t>- À l’échelle du lobule pulmonaire, ils prédominent dans la zone péri-lobulaire et peuvent s’accompagner de réticulations septales.</w:t>
      </w:r>
    </w:p>
    <w:p w14:paraId="0DC67082" w14:textId="77777777" w:rsidR="00EC2F22" w:rsidRDefault="00EC2F22" w:rsidP="00F155BE">
      <w:pPr>
        <w:spacing w:line="276" w:lineRule="auto"/>
        <w:rPr>
          <w:color w:val="0070C0"/>
        </w:rPr>
      </w:pPr>
    </w:p>
    <w:p w14:paraId="10D6D531" w14:textId="77777777" w:rsidR="00EC2F22" w:rsidRDefault="00EC2F22" w:rsidP="00F155BE">
      <w:pPr>
        <w:pBdr>
          <w:top w:val="nil"/>
          <w:left w:val="nil"/>
          <w:bottom w:val="nil"/>
          <w:right w:val="nil"/>
          <w:between w:val="nil"/>
        </w:pBdr>
        <w:spacing w:line="276" w:lineRule="auto"/>
        <w:rPr>
          <w:rFonts w:ascii="Arial" w:eastAsia="Arial" w:hAnsi="Arial" w:cs="Arial"/>
          <w:color w:val="0070C0"/>
          <w:sz w:val="18"/>
          <w:szCs w:val="18"/>
        </w:rPr>
      </w:pPr>
      <w:r>
        <w:rPr>
          <w:rFonts w:ascii="Arial" w:eastAsia="Arial" w:hAnsi="Arial" w:cs="Arial"/>
          <w:color w:val="0070C0"/>
          <w:sz w:val="18"/>
          <w:szCs w:val="18"/>
        </w:rPr>
        <w:t>Figure 8 : TDM thoracique d’une atteinte parenchymateuse pulmonaire caractéristique de la sarcoïdose. Micronodules de distribution lymphatique. Noter les micronodules réalisant un aspect « perlé » des scissures (flèche).</w:t>
      </w:r>
    </w:p>
    <w:p w14:paraId="1CBD617D" w14:textId="77777777" w:rsidR="00EC2F22" w:rsidRDefault="00EC2F22" w:rsidP="00F155BE">
      <w:pPr>
        <w:spacing w:line="276" w:lineRule="auto"/>
        <w:jc w:val="center"/>
        <w:rPr>
          <w:color w:val="0070C0"/>
        </w:rPr>
      </w:pPr>
      <w:r>
        <w:rPr>
          <w:noProof/>
          <w:color w:val="0070C0"/>
        </w:rPr>
        <w:drawing>
          <wp:inline distT="0" distB="0" distL="0" distR="0" wp14:anchorId="746087B8" wp14:editId="36438E3D">
            <wp:extent cx="4059486" cy="2543920"/>
            <wp:effectExtent l="0" t="0" r="0" b="0"/>
            <wp:docPr id="24" name="image16.jpg" descr="Figure4+traits"/>
            <wp:cNvGraphicFramePr/>
            <a:graphic xmlns:a="http://schemas.openxmlformats.org/drawingml/2006/main">
              <a:graphicData uri="http://schemas.openxmlformats.org/drawingml/2006/picture">
                <pic:pic xmlns:pic="http://schemas.openxmlformats.org/drawingml/2006/picture">
                  <pic:nvPicPr>
                    <pic:cNvPr id="0" name="image16.jpg" descr="Figure4+traits"/>
                    <pic:cNvPicPr preferRelativeResize="0"/>
                  </pic:nvPicPr>
                  <pic:blipFill>
                    <a:blip r:embed="rId21"/>
                    <a:srcRect/>
                    <a:stretch>
                      <a:fillRect/>
                    </a:stretch>
                  </pic:blipFill>
                  <pic:spPr>
                    <a:xfrm>
                      <a:off x="0" y="0"/>
                      <a:ext cx="4059486" cy="2543920"/>
                    </a:xfrm>
                    <a:prstGeom prst="rect">
                      <a:avLst/>
                    </a:prstGeom>
                    <a:ln/>
                  </pic:spPr>
                </pic:pic>
              </a:graphicData>
            </a:graphic>
          </wp:inline>
        </w:drawing>
      </w:r>
    </w:p>
    <w:p w14:paraId="2851C417" w14:textId="77777777" w:rsidR="00EC2F22" w:rsidRDefault="00EC2F22" w:rsidP="00F155BE">
      <w:pPr>
        <w:spacing w:line="276" w:lineRule="auto"/>
        <w:rPr>
          <w:color w:val="0070C0"/>
        </w:rPr>
      </w:pPr>
    </w:p>
    <w:p w14:paraId="63DC6B5D" w14:textId="77777777" w:rsidR="00EC2F22" w:rsidRDefault="00EC2F22" w:rsidP="00F155BE">
      <w:pPr>
        <w:spacing w:line="276" w:lineRule="auto"/>
        <w:rPr>
          <w:color w:val="0070C0"/>
        </w:rPr>
      </w:pPr>
      <w:r>
        <w:rPr>
          <w:color w:val="0070C0"/>
        </w:rPr>
        <w:t>La TDM détecte plus précocement :</w:t>
      </w:r>
    </w:p>
    <w:p w14:paraId="1A0FB3CB" w14:textId="3606508E" w:rsidR="00EC2F22" w:rsidRDefault="00EC2F22" w:rsidP="00F155BE">
      <w:pPr>
        <w:spacing w:line="276" w:lineRule="auto"/>
        <w:rPr>
          <w:color w:val="0070C0"/>
        </w:rPr>
      </w:pPr>
      <w:r>
        <w:rPr>
          <w:color w:val="0070C0"/>
        </w:rPr>
        <w:t xml:space="preserve">- Les signes de fibrose (bronchectasies par traction, distorsion des scissures et des axes broncho-vasculaires, rayon de miel apical et postérieur (Figure </w:t>
      </w:r>
      <w:r w:rsidR="004C208B">
        <w:rPr>
          <w:color w:val="0070C0"/>
        </w:rPr>
        <w:t>9</w:t>
      </w:r>
      <w:r>
        <w:rPr>
          <w:color w:val="0070C0"/>
        </w:rPr>
        <w:t>)).</w:t>
      </w:r>
    </w:p>
    <w:p w14:paraId="67712086" w14:textId="77777777" w:rsidR="00EC2F22" w:rsidRDefault="00EC2F22" w:rsidP="00F155BE">
      <w:pPr>
        <w:spacing w:line="276" w:lineRule="auto"/>
        <w:rPr>
          <w:color w:val="0070C0"/>
        </w:rPr>
      </w:pPr>
      <w:r>
        <w:rPr>
          <w:color w:val="0070C0"/>
        </w:rPr>
        <w:t>- Les complications, notamment aspergillose pulmonaire</w:t>
      </w:r>
      <w:r>
        <w:rPr>
          <w:color w:val="EE0000"/>
        </w:rPr>
        <w:t xml:space="preserve"> </w:t>
      </w:r>
      <w:r>
        <w:rPr>
          <w:color w:val="0070C0"/>
        </w:rPr>
        <w:t>chronique/</w:t>
      </w:r>
      <w:proofErr w:type="spellStart"/>
      <w:r>
        <w:rPr>
          <w:color w:val="0070C0"/>
        </w:rPr>
        <w:t>aspergillome</w:t>
      </w:r>
      <w:proofErr w:type="spellEnd"/>
      <w:r>
        <w:rPr>
          <w:color w:val="0070C0"/>
        </w:rPr>
        <w:t xml:space="preserve"> (image en grelot déclive avec la position du patient, Figure 9). </w:t>
      </w:r>
    </w:p>
    <w:p w14:paraId="79F9B434" w14:textId="77777777" w:rsidR="00EC2F22" w:rsidRDefault="00EC2F22" w:rsidP="00F155BE">
      <w:pPr>
        <w:spacing w:line="276" w:lineRule="auto"/>
        <w:rPr>
          <w:color w:val="0070C0"/>
        </w:rPr>
      </w:pPr>
    </w:p>
    <w:p w14:paraId="7392B360" w14:textId="0C46902D" w:rsidR="00EC2F22" w:rsidRPr="00F155BE" w:rsidRDefault="00EC2F22" w:rsidP="00F155BE">
      <w:pPr>
        <w:pBdr>
          <w:top w:val="nil"/>
          <w:left w:val="nil"/>
          <w:bottom w:val="nil"/>
          <w:right w:val="nil"/>
          <w:between w:val="nil"/>
        </w:pBdr>
        <w:spacing w:line="276" w:lineRule="auto"/>
        <w:rPr>
          <w:rFonts w:ascii="Arial" w:eastAsia="Arial" w:hAnsi="Arial" w:cs="Arial"/>
          <w:color w:val="0070C0"/>
          <w:sz w:val="18"/>
          <w:szCs w:val="18"/>
          <w:u w:val="single"/>
        </w:rPr>
      </w:pPr>
      <w:r>
        <w:rPr>
          <w:rFonts w:ascii="Arial" w:eastAsia="Arial" w:hAnsi="Arial" w:cs="Arial"/>
          <w:color w:val="0070C0"/>
          <w:sz w:val="18"/>
          <w:szCs w:val="18"/>
        </w:rPr>
        <w:t xml:space="preserve">Figure 9 : TDM thoracique d’une sarcoïdose de stade IV radiographique avec deux principales présentations de fibrose. À gauche : distorsions bronchiques (flèche) et masses péri-hilaires (°). À droite : rayon de miel (étoile blanche) ; à noter un </w:t>
      </w:r>
      <w:proofErr w:type="spellStart"/>
      <w:r>
        <w:rPr>
          <w:rFonts w:ascii="Arial" w:eastAsia="Arial" w:hAnsi="Arial" w:cs="Arial"/>
          <w:color w:val="0070C0"/>
          <w:sz w:val="18"/>
          <w:szCs w:val="18"/>
        </w:rPr>
        <w:t>aspergillome</w:t>
      </w:r>
      <w:proofErr w:type="spellEnd"/>
      <w:r>
        <w:rPr>
          <w:rFonts w:ascii="Arial" w:eastAsia="Arial" w:hAnsi="Arial" w:cs="Arial"/>
          <w:color w:val="0070C0"/>
          <w:sz w:val="18"/>
          <w:szCs w:val="18"/>
        </w:rPr>
        <w:t xml:space="preserve"> intra-cavitaire (étoile noire).</w:t>
      </w:r>
    </w:p>
    <w:p w14:paraId="5DF86222" w14:textId="77777777" w:rsidR="00EC2F22" w:rsidRDefault="00EC2F22" w:rsidP="00F155BE">
      <w:pPr>
        <w:spacing w:line="276" w:lineRule="auto"/>
        <w:rPr>
          <w:color w:val="0070C0"/>
          <w:u w:val="single"/>
        </w:rPr>
      </w:pPr>
      <w:r>
        <w:rPr>
          <w:noProof/>
          <w:color w:val="0070C0"/>
        </w:rPr>
        <w:lastRenderedPageBreak/>
        <w:drawing>
          <wp:inline distT="0" distB="0" distL="0" distR="0" wp14:anchorId="58B47F51" wp14:editId="6605EC49">
            <wp:extent cx="5739897" cy="2134804"/>
            <wp:effectExtent l="0" t="0" r="0" b="0"/>
            <wp:docPr id="25"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22"/>
                    <a:srcRect/>
                    <a:stretch>
                      <a:fillRect/>
                    </a:stretch>
                  </pic:blipFill>
                  <pic:spPr>
                    <a:xfrm>
                      <a:off x="0" y="0"/>
                      <a:ext cx="5751497" cy="2139118"/>
                    </a:xfrm>
                    <a:prstGeom prst="rect">
                      <a:avLst/>
                    </a:prstGeom>
                    <a:ln/>
                  </pic:spPr>
                </pic:pic>
              </a:graphicData>
            </a:graphic>
          </wp:inline>
        </w:drawing>
      </w:r>
    </w:p>
    <w:p w14:paraId="1CD9A0B9" w14:textId="77777777" w:rsidR="00EC2F22" w:rsidRDefault="00EC2F22" w:rsidP="00F155BE">
      <w:pPr>
        <w:spacing w:line="276" w:lineRule="auto"/>
        <w:rPr>
          <w:color w:val="0070C0"/>
          <w:u w:val="single"/>
        </w:rPr>
      </w:pPr>
    </w:p>
    <w:p w14:paraId="63F7A209" w14:textId="77777777" w:rsidR="00EC2F22" w:rsidRDefault="00EC2F22" w:rsidP="00F155BE">
      <w:pPr>
        <w:spacing w:line="276" w:lineRule="auto"/>
        <w:rPr>
          <w:b/>
          <w:bCs/>
          <w:smallCaps/>
          <w:color w:val="0070C0"/>
          <w:u w:val="single"/>
        </w:rPr>
      </w:pPr>
      <w:r>
        <w:rPr>
          <w:b/>
          <w:bCs/>
          <w:smallCaps/>
          <w:color w:val="0070C0"/>
          <w:u w:val="single"/>
        </w:rPr>
        <w:t>ÉPREUVES</w:t>
      </w:r>
      <w:r>
        <w:rPr>
          <w:b/>
          <w:bCs/>
          <w:smallCaps/>
          <w:color w:val="EE0000"/>
          <w:u w:val="single"/>
        </w:rPr>
        <w:t xml:space="preserve"> </w:t>
      </w:r>
      <w:r>
        <w:rPr>
          <w:b/>
          <w:bCs/>
          <w:smallCaps/>
          <w:color w:val="0070C0"/>
          <w:u w:val="single"/>
        </w:rPr>
        <w:t>FONCTIONNELLES RESPIRATOIRES (EFR</w:t>
      </w:r>
      <w:r>
        <w:rPr>
          <w:b/>
          <w:bCs/>
          <w:smallCaps/>
          <w:color w:val="0070C0"/>
        </w:rPr>
        <w:t>)</w:t>
      </w:r>
    </w:p>
    <w:p w14:paraId="2E102264" w14:textId="77777777" w:rsidR="00EC2F22" w:rsidRDefault="00EC2F22" w:rsidP="00F155BE">
      <w:pPr>
        <w:spacing w:line="276" w:lineRule="auto"/>
        <w:rPr>
          <w:color w:val="0070C0"/>
          <w:u w:val="single"/>
        </w:rPr>
      </w:pP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9067"/>
      </w:tblGrid>
      <w:tr w:rsidR="00EC2F22" w14:paraId="5CA4335A" w14:textId="77777777" w:rsidTr="00F155BE">
        <w:tc>
          <w:tcPr>
            <w:tcW w:w="9067" w:type="dxa"/>
          </w:tcPr>
          <w:p w14:paraId="3C04181E" w14:textId="77777777" w:rsidR="00EC2F22" w:rsidRDefault="00EC2F22" w:rsidP="00F155BE">
            <w:pPr>
              <w:spacing w:line="276" w:lineRule="auto"/>
              <w:ind w:left="720"/>
              <w:rPr>
                <w:color w:val="0070C0"/>
              </w:rPr>
            </w:pPr>
            <w:r>
              <w:rPr>
                <w:noProof/>
              </w:rPr>
              <w:drawing>
                <wp:anchor distT="0" distB="0" distL="114300" distR="114300" simplePos="0" relativeHeight="251953152" behindDoc="0" locked="0" layoutInCell="1" hidden="0" allowOverlap="1" wp14:anchorId="54F6970D" wp14:editId="130DA7A4">
                  <wp:simplePos x="0" y="0"/>
                  <wp:positionH relativeFrom="column">
                    <wp:posOffset>-22859</wp:posOffset>
                  </wp:positionH>
                  <wp:positionV relativeFrom="paragraph">
                    <wp:posOffset>34925</wp:posOffset>
                  </wp:positionV>
                  <wp:extent cx="732790" cy="704850"/>
                  <wp:effectExtent l="0" t="0" r="0" b="0"/>
                  <wp:wrapSquare wrapText="bothSides" distT="0" distB="0" distL="114300" distR="11430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732790" cy="704850"/>
                          </a:xfrm>
                          <a:prstGeom prst="rect">
                            <a:avLst/>
                          </a:prstGeom>
                          <a:ln/>
                        </pic:spPr>
                      </pic:pic>
                    </a:graphicData>
                  </a:graphic>
                </wp:anchor>
              </w:drawing>
            </w:r>
          </w:p>
          <w:p w14:paraId="041DFCCF" w14:textId="77777777" w:rsidR="00EC2F22" w:rsidRDefault="00EC2F22" w:rsidP="00F155BE">
            <w:pPr>
              <w:spacing w:line="276" w:lineRule="auto"/>
              <w:rPr>
                <w:color w:val="0070C0"/>
              </w:rPr>
            </w:pPr>
            <w:r>
              <w:rPr>
                <w:color w:val="0070C0"/>
              </w:rPr>
              <w:t xml:space="preserve">Les EFR doivent être systématiques lors du bilan initial chez tous les patients ayant une sarcoïdose </w:t>
            </w:r>
            <w:proofErr w:type="spellStart"/>
            <w:r>
              <w:rPr>
                <w:color w:val="0070C0"/>
              </w:rPr>
              <w:t>médiastino</w:t>
            </w:r>
            <w:proofErr w:type="spellEnd"/>
            <w:r>
              <w:rPr>
                <w:color w:val="0070C0"/>
              </w:rPr>
              <w:t xml:space="preserve">-pulmonaire, comportant au minimum une spirométrie. </w:t>
            </w:r>
          </w:p>
          <w:p w14:paraId="0D7856BC" w14:textId="77777777" w:rsidR="00EC2F22" w:rsidRDefault="00EC2F22" w:rsidP="00F155BE">
            <w:pPr>
              <w:spacing w:line="276" w:lineRule="auto"/>
              <w:rPr>
                <w:color w:val="0070C0"/>
              </w:rPr>
            </w:pPr>
          </w:p>
        </w:tc>
      </w:tr>
    </w:tbl>
    <w:p w14:paraId="2252E15C" w14:textId="77777777" w:rsidR="00EC2F22" w:rsidRDefault="00EC2F22" w:rsidP="00F155BE">
      <w:pPr>
        <w:spacing w:line="276" w:lineRule="auto"/>
        <w:rPr>
          <w:color w:val="0070C0"/>
          <w:u w:val="single"/>
        </w:rPr>
      </w:pPr>
    </w:p>
    <w:p w14:paraId="609C3BD8" w14:textId="77777777" w:rsidR="00EC2F22" w:rsidRDefault="00EC2F22" w:rsidP="00F155BE">
      <w:pPr>
        <w:spacing w:line="276" w:lineRule="auto"/>
        <w:rPr>
          <w:color w:val="0070C0"/>
        </w:rPr>
      </w:pPr>
      <w:r>
        <w:rPr>
          <w:color w:val="0070C0"/>
        </w:rPr>
        <w:t xml:space="preserve">En cas d’atteinte parenchymateuse et/ou de symptômes respiratoires, les EFR devraient être complétés par une pléthysmographie et une mesure de la DLCO, et en cas de trouble ventilatoire obstructif par un test aux bêta-2 mimétiques (un asthme peut être associé, et l’hyperréactivité bronchique est possible en cas d’atteinte bronchique de la sarcoïdose). </w:t>
      </w:r>
    </w:p>
    <w:p w14:paraId="64B0BADD" w14:textId="77777777" w:rsidR="00EC2F22" w:rsidRDefault="00EC2F22" w:rsidP="00F155BE">
      <w:pPr>
        <w:numPr>
          <w:ilvl w:val="0"/>
          <w:numId w:val="33"/>
        </w:numPr>
        <w:spacing w:line="276" w:lineRule="auto"/>
        <w:ind w:left="426" w:hanging="142"/>
        <w:rPr>
          <w:color w:val="0070C0"/>
        </w:rPr>
      </w:pPr>
      <w:r>
        <w:rPr>
          <w:color w:val="0070C0"/>
        </w:rPr>
        <w:t>Spirométrie normale ou peu altérée dans 30 % des cas dans les stades I radiographiques</w:t>
      </w:r>
      <w:r>
        <w:rPr>
          <w:color w:val="EE0000"/>
        </w:rPr>
        <w:t xml:space="preserve"> </w:t>
      </w:r>
      <w:r>
        <w:rPr>
          <w:color w:val="0070C0"/>
        </w:rPr>
        <w:t>et les atteintes parenchymateuses minimes.</w:t>
      </w:r>
    </w:p>
    <w:p w14:paraId="6AFD919D" w14:textId="77777777" w:rsidR="00EC2F22" w:rsidRDefault="00EC2F22" w:rsidP="00F155BE">
      <w:pPr>
        <w:numPr>
          <w:ilvl w:val="0"/>
          <w:numId w:val="33"/>
        </w:numPr>
        <w:spacing w:line="276" w:lineRule="auto"/>
        <w:ind w:left="426" w:hanging="142"/>
        <w:rPr>
          <w:color w:val="0070C0"/>
        </w:rPr>
      </w:pPr>
      <w:r>
        <w:rPr>
          <w:color w:val="0070C0"/>
        </w:rPr>
        <w:t>Syndrome restrictif (30 %), syndrome obstructif (30 %), syndrome mixte (10 %).</w:t>
      </w:r>
    </w:p>
    <w:p w14:paraId="1CC8325E" w14:textId="77777777" w:rsidR="00EC2F22" w:rsidRDefault="00EC2F22" w:rsidP="00F155BE">
      <w:pPr>
        <w:numPr>
          <w:ilvl w:val="0"/>
          <w:numId w:val="33"/>
        </w:numPr>
        <w:spacing w:line="276" w:lineRule="auto"/>
        <w:ind w:left="426" w:hanging="142"/>
        <w:rPr>
          <w:color w:val="0070C0"/>
        </w:rPr>
      </w:pPr>
      <w:r>
        <w:rPr>
          <w:color w:val="0070C0"/>
        </w:rPr>
        <w:t xml:space="preserve">Une diminution précoce de la diffusion alvéolo-capillaire mesurée par la DLCO est l’anomalie la plus fréquente.  </w:t>
      </w:r>
    </w:p>
    <w:p w14:paraId="4740FD37" w14:textId="77777777" w:rsidR="00EC2F22" w:rsidRDefault="00EC2F22" w:rsidP="00F155BE">
      <w:pPr>
        <w:numPr>
          <w:ilvl w:val="0"/>
          <w:numId w:val="33"/>
        </w:numPr>
        <w:spacing w:line="276" w:lineRule="auto"/>
        <w:ind w:left="426" w:hanging="142"/>
        <w:rPr>
          <w:color w:val="0070C0"/>
        </w:rPr>
      </w:pPr>
      <w:r>
        <w:rPr>
          <w:color w:val="0070C0"/>
        </w:rPr>
        <w:t>Les gaz du sang sont longtemps normaux au repos.</w:t>
      </w:r>
    </w:p>
    <w:p w14:paraId="233F023F" w14:textId="77777777" w:rsidR="00EC2F22" w:rsidRDefault="00EC2F22" w:rsidP="00F155BE">
      <w:pPr>
        <w:numPr>
          <w:ilvl w:val="0"/>
          <w:numId w:val="33"/>
        </w:numPr>
        <w:spacing w:line="276" w:lineRule="auto"/>
        <w:ind w:left="426" w:hanging="142"/>
        <w:rPr>
          <w:color w:val="0070C0"/>
        </w:rPr>
      </w:pPr>
      <w:r>
        <w:rPr>
          <w:color w:val="0070C0"/>
        </w:rPr>
        <w:t>Le test de marche de 6 minutes est un test simple pour mettre en évidence une réduction de la distance parcourue et une désaturation en oxygène à l’effort : il peut refléter une insuffisance respiratoire ou une hypertension pulmonaire.</w:t>
      </w:r>
    </w:p>
    <w:p w14:paraId="4345E781" w14:textId="77777777" w:rsidR="00EC2F22" w:rsidRDefault="00EC2F22" w:rsidP="00F155BE">
      <w:pPr>
        <w:numPr>
          <w:ilvl w:val="0"/>
          <w:numId w:val="33"/>
        </w:numPr>
        <w:spacing w:line="276" w:lineRule="auto"/>
        <w:ind w:left="426" w:hanging="142"/>
        <w:rPr>
          <w:color w:val="0070C0"/>
        </w:rPr>
      </w:pPr>
      <w:r>
        <w:rPr>
          <w:color w:val="0070C0"/>
        </w:rPr>
        <w:t xml:space="preserve">En cas de dyspnée inexpliquée, l’épreuve cardio-pulmonaire à l’exercice est utile pour préciser les mécanismes responsables de la dyspnée (atteinte parenchymateuse, cardio-vasculaire, ou musculaire). </w:t>
      </w:r>
    </w:p>
    <w:p w14:paraId="6BCF17AD" w14:textId="77777777" w:rsidR="00EC2F22" w:rsidRDefault="00EC2F22" w:rsidP="00F155BE">
      <w:pPr>
        <w:spacing w:line="276" w:lineRule="auto"/>
        <w:rPr>
          <w:color w:val="0070C0"/>
          <w:u w:val="single"/>
        </w:rPr>
      </w:pPr>
    </w:p>
    <w:p w14:paraId="02CC438F" w14:textId="77777777" w:rsidR="00EC2F22" w:rsidRDefault="00EC2F22" w:rsidP="00F155BE">
      <w:pPr>
        <w:spacing w:line="276" w:lineRule="auto"/>
        <w:rPr>
          <w:b/>
          <w:bCs/>
          <w:smallCaps/>
          <w:color w:val="0070C0"/>
          <w:u w:val="single"/>
        </w:rPr>
      </w:pPr>
      <w:r>
        <w:rPr>
          <w:b/>
          <w:bCs/>
          <w:smallCaps/>
          <w:color w:val="0070C0"/>
          <w:u w:val="single"/>
        </w:rPr>
        <w:t xml:space="preserve">ENDOSCOPIE BRONCHIQUE </w:t>
      </w:r>
    </w:p>
    <w:p w14:paraId="7148743A" w14:textId="77777777" w:rsidR="00EC2F22" w:rsidRDefault="00EC2F22" w:rsidP="00F155BE">
      <w:pPr>
        <w:spacing w:line="276" w:lineRule="auto"/>
        <w:rPr>
          <w:color w:val="0070C0"/>
        </w:rPr>
      </w:pPr>
      <w:r>
        <w:rPr>
          <w:color w:val="0070C0"/>
        </w:rPr>
        <w:t>- Intérêt essentiellement diagnostique, mais pas systématique (si le diagnostic a pu être obtenu par un prélèvement histologique d’un site plus facilement accessible).</w:t>
      </w:r>
    </w:p>
    <w:p w14:paraId="039FC685" w14:textId="77777777" w:rsidR="00EC2F22" w:rsidRDefault="00EC2F22" w:rsidP="00F155BE">
      <w:pPr>
        <w:spacing w:line="276" w:lineRule="auto"/>
        <w:rPr>
          <w:color w:val="0070C0"/>
        </w:rPr>
      </w:pPr>
      <w:r>
        <w:rPr>
          <w:color w:val="0070C0"/>
        </w:rPr>
        <w:t xml:space="preserve">- Elle est également utile pour mieux préciser les mécanismes d’un trouble ventilatoire obstructif, notamment détecter des sténoses bronchiques, et faire des prélèvements microbiologiques afin d’éliminer un diagnostic différentiel ou une complication, notamment une infection </w:t>
      </w:r>
      <w:proofErr w:type="spellStart"/>
      <w:r>
        <w:rPr>
          <w:color w:val="0070C0"/>
        </w:rPr>
        <w:t>mycobactérienne</w:t>
      </w:r>
      <w:proofErr w:type="spellEnd"/>
      <w:r>
        <w:rPr>
          <w:color w:val="0070C0"/>
        </w:rPr>
        <w:t xml:space="preserve"> ou aspergillaire.</w:t>
      </w:r>
    </w:p>
    <w:p w14:paraId="238F80A9" w14:textId="77777777" w:rsidR="00EC2F22" w:rsidRDefault="00EC2F22" w:rsidP="00F155BE">
      <w:pPr>
        <w:spacing w:line="276" w:lineRule="auto"/>
        <w:rPr>
          <w:color w:val="0070C0"/>
        </w:rPr>
      </w:pPr>
      <w:r>
        <w:rPr>
          <w:color w:val="0070C0"/>
        </w:rPr>
        <w:lastRenderedPageBreak/>
        <w:t>- Aspect macroscopique souvent normal ou révèle une muqueuse dite «</w:t>
      </w:r>
      <w:r>
        <w:rPr>
          <w:rFonts w:ascii="Arial" w:eastAsia="Arial" w:hAnsi="Arial" w:cs="Arial"/>
          <w:color w:val="0070C0"/>
        </w:rPr>
        <w:t> </w:t>
      </w:r>
      <w:r>
        <w:rPr>
          <w:color w:val="0070C0"/>
        </w:rPr>
        <w:t>en fond d’œil</w:t>
      </w:r>
      <w:r>
        <w:rPr>
          <w:rFonts w:ascii="Arial" w:eastAsia="Arial" w:hAnsi="Arial" w:cs="Arial"/>
          <w:color w:val="0070C0"/>
        </w:rPr>
        <w:t> </w:t>
      </w:r>
      <w:r>
        <w:rPr>
          <w:color w:val="0070C0"/>
        </w:rPr>
        <w:t xml:space="preserve">», plus rarement des granulations blanchâtres évocatrices des bronches proximales ou des sténoses bronchiques. </w:t>
      </w:r>
    </w:p>
    <w:p w14:paraId="53478A8A" w14:textId="77777777" w:rsidR="00EC2F22" w:rsidRDefault="00EC2F22" w:rsidP="00F155BE">
      <w:pPr>
        <w:spacing w:line="276" w:lineRule="auto"/>
        <w:rPr>
          <w:color w:val="0070C0"/>
        </w:rPr>
      </w:pPr>
      <w:r>
        <w:rPr>
          <w:color w:val="0070C0"/>
        </w:rPr>
        <w:t>- Permet la réalisation de prélèvements histologiques à visée diagnostique (voir infra</w:t>
      </w:r>
      <w:r>
        <w:rPr>
          <w:b/>
          <w:bCs/>
          <w:color w:val="0070C0"/>
        </w:rPr>
        <w:t>) :</w:t>
      </w:r>
    </w:p>
    <w:p w14:paraId="7A9AC458" w14:textId="77777777" w:rsidR="00EC2F22" w:rsidRDefault="00EC2F22" w:rsidP="00F155BE">
      <w:pPr>
        <w:numPr>
          <w:ilvl w:val="1"/>
          <w:numId w:val="35"/>
        </w:numPr>
        <w:spacing w:line="276" w:lineRule="auto"/>
        <w:ind w:left="284" w:hanging="142"/>
        <w:rPr>
          <w:color w:val="0070C0"/>
        </w:rPr>
      </w:pPr>
      <w:r>
        <w:rPr>
          <w:b/>
          <w:bCs/>
          <w:color w:val="0070C0"/>
        </w:rPr>
        <w:t>Les biopsies étagées d’éperons bronchiques proximaux</w:t>
      </w:r>
      <w:r>
        <w:rPr>
          <w:color w:val="0070C0"/>
        </w:rPr>
        <w:t xml:space="preserve"> (sensibilité 50-60 % dans la détection de granulomes épithélioïdes et giganto-cellulaires, plus importante en cas d’anomalie macroscopique de la muqueuse bronchique).</w:t>
      </w:r>
    </w:p>
    <w:p w14:paraId="1E6B599C" w14:textId="77777777" w:rsidR="00EC2F22" w:rsidRDefault="00EC2F22" w:rsidP="00F155BE">
      <w:pPr>
        <w:numPr>
          <w:ilvl w:val="1"/>
          <w:numId w:val="35"/>
        </w:numPr>
        <w:spacing w:line="276" w:lineRule="auto"/>
        <w:ind w:left="284" w:hanging="142"/>
        <w:rPr>
          <w:color w:val="0070C0"/>
        </w:rPr>
      </w:pPr>
      <w:r>
        <w:rPr>
          <w:b/>
          <w:bCs/>
          <w:color w:val="0070C0"/>
        </w:rPr>
        <w:t>Le lavage bronchoalvéolaire (LBA)</w:t>
      </w:r>
      <w:r>
        <w:rPr>
          <w:color w:val="0070C0"/>
        </w:rPr>
        <w:t xml:space="preserve"> a une valeur d’orientation diagnostique : </w:t>
      </w:r>
    </w:p>
    <w:p w14:paraId="1759700B" w14:textId="77777777" w:rsidR="00EC2F22" w:rsidRDefault="00EC2F22" w:rsidP="00F155BE">
      <w:pPr>
        <w:numPr>
          <w:ilvl w:val="2"/>
          <w:numId w:val="36"/>
        </w:numPr>
        <w:spacing w:line="276" w:lineRule="auto"/>
        <w:ind w:left="567" w:hanging="283"/>
        <w:rPr>
          <w:color w:val="0070C0"/>
        </w:rPr>
      </w:pPr>
      <w:r>
        <w:rPr>
          <w:color w:val="0070C0"/>
        </w:rPr>
        <w:t xml:space="preserve">Alvéolite lymphocytaire modérée (20-50 %) à lymphocytes T CD4+. </w:t>
      </w:r>
    </w:p>
    <w:p w14:paraId="5D2C1C94" w14:textId="77777777" w:rsidR="00EC2F22" w:rsidRDefault="00EC2F22" w:rsidP="00F155BE">
      <w:pPr>
        <w:numPr>
          <w:ilvl w:val="2"/>
          <w:numId w:val="36"/>
        </w:numPr>
        <w:spacing w:line="276" w:lineRule="auto"/>
        <w:ind w:left="567" w:hanging="283"/>
        <w:rPr>
          <w:color w:val="0070C0"/>
        </w:rPr>
      </w:pPr>
      <w:r>
        <w:rPr>
          <w:color w:val="0070C0"/>
        </w:rPr>
        <w:t>Rapport CD4/CD8 augmenté (notamment &gt; 3,5) évoque la sarcoïdose, mais est inconstant et ne suffit pas à affirmer le diagnostic.</w:t>
      </w:r>
    </w:p>
    <w:p w14:paraId="005137A8" w14:textId="77777777" w:rsidR="00EC2F22" w:rsidRDefault="00EC2F22" w:rsidP="00F155BE">
      <w:pPr>
        <w:numPr>
          <w:ilvl w:val="1"/>
          <w:numId w:val="37"/>
        </w:numPr>
        <w:spacing w:line="276" w:lineRule="auto"/>
        <w:ind w:left="284" w:hanging="142"/>
        <w:rPr>
          <w:color w:val="0070C0"/>
        </w:rPr>
      </w:pPr>
      <w:r>
        <w:rPr>
          <w:color w:val="0070C0"/>
        </w:rPr>
        <w:t xml:space="preserve">La </w:t>
      </w:r>
      <w:r>
        <w:rPr>
          <w:b/>
          <w:bCs/>
          <w:color w:val="0070C0"/>
        </w:rPr>
        <w:t>ponction à l’aiguille des ganglions médiastinaux</w:t>
      </w:r>
      <w:r>
        <w:rPr>
          <w:color w:val="0070C0"/>
        </w:rPr>
        <w:t xml:space="preserve">, en particulier guidée par écho-endoscopie bronchique (méthode connue sous l’acronyme </w:t>
      </w:r>
      <w:r>
        <w:rPr>
          <w:i/>
          <w:iCs/>
          <w:color w:val="0070C0"/>
        </w:rPr>
        <w:t>EBUS-</w:t>
      </w:r>
      <w:proofErr w:type="spellStart"/>
      <w:r>
        <w:rPr>
          <w:i/>
          <w:iCs/>
          <w:color w:val="0070C0"/>
          <w:highlight w:val="white"/>
        </w:rPr>
        <w:t>endobronchial</w:t>
      </w:r>
      <w:proofErr w:type="spellEnd"/>
      <w:r>
        <w:rPr>
          <w:i/>
          <w:iCs/>
          <w:color w:val="0070C0"/>
          <w:highlight w:val="white"/>
        </w:rPr>
        <w:t xml:space="preserve"> </w:t>
      </w:r>
      <w:proofErr w:type="spellStart"/>
      <w:r>
        <w:rPr>
          <w:i/>
          <w:iCs/>
          <w:color w:val="0070C0"/>
          <w:highlight w:val="white"/>
        </w:rPr>
        <w:t>ultrasound</w:t>
      </w:r>
      <w:proofErr w:type="spellEnd"/>
      <w:r>
        <w:rPr>
          <w:color w:val="0070C0"/>
          <w:highlight w:val="white"/>
        </w:rPr>
        <w:t>).</w:t>
      </w:r>
    </w:p>
    <w:p w14:paraId="46D0CBFF" w14:textId="77777777" w:rsidR="00EC2F22" w:rsidRDefault="00EC2F22" w:rsidP="00F155BE">
      <w:pPr>
        <w:numPr>
          <w:ilvl w:val="1"/>
          <w:numId w:val="37"/>
        </w:numPr>
        <w:spacing w:line="276" w:lineRule="auto"/>
        <w:ind w:left="284" w:hanging="142"/>
        <w:rPr>
          <w:color w:val="0070C0"/>
        </w:rPr>
      </w:pPr>
      <w:r>
        <w:rPr>
          <w:color w:val="0070C0"/>
        </w:rPr>
        <w:t xml:space="preserve">Les </w:t>
      </w:r>
      <w:r>
        <w:rPr>
          <w:b/>
          <w:bCs/>
          <w:color w:val="0070C0"/>
        </w:rPr>
        <w:t xml:space="preserve">biopsies pulmonaires </w:t>
      </w:r>
      <w:proofErr w:type="spellStart"/>
      <w:r>
        <w:rPr>
          <w:b/>
          <w:bCs/>
          <w:color w:val="0070C0"/>
        </w:rPr>
        <w:t>transbronchiques</w:t>
      </w:r>
      <w:proofErr w:type="spellEnd"/>
      <w:r>
        <w:rPr>
          <w:color w:val="0070C0"/>
        </w:rPr>
        <w:t xml:space="preserve"> permettant un prélèvement de parenchyme de petite taille sont plus sensibles que les biopsies bronchiques, mais exposent à un risque faible d’hémorragie ou de pneumothorax. </w:t>
      </w:r>
    </w:p>
    <w:p w14:paraId="532ED6AB" w14:textId="77777777" w:rsidR="00EC2F22" w:rsidRDefault="00EC2F22" w:rsidP="00F155BE">
      <w:pPr>
        <w:spacing w:line="276" w:lineRule="auto"/>
        <w:ind w:left="1080"/>
        <w:rPr>
          <w:color w:val="0070C0"/>
        </w:rPr>
      </w:pPr>
    </w:p>
    <w:p w14:paraId="46EE4EF7" w14:textId="77777777" w:rsidR="00EC2F22" w:rsidRDefault="00EC2F22" w:rsidP="00F155BE">
      <w:pPr>
        <w:spacing w:line="276" w:lineRule="auto"/>
        <w:rPr>
          <w:b/>
          <w:bCs/>
          <w:smallCaps/>
          <w:color w:val="0070C0"/>
          <w:u w:val="single"/>
        </w:rPr>
      </w:pPr>
      <w:r>
        <w:rPr>
          <w:b/>
          <w:bCs/>
          <w:smallCaps/>
          <w:color w:val="0070C0"/>
          <w:u w:val="single"/>
        </w:rPr>
        <w:t>MÉDIASTINOSCOPIE</w:t>
      </w:r>
    </w:p>
    <w:p w14:paraId="3F582256" w14:textId="77777777" w:rsidR="00EC2F22" w:rsidRDefault="00EC2F22" w:rsidP="00F155BE">
      <w:pPr>
        <w:spacing w:line="276" w:lineRule="auto"/>
        <w:rPr>
          <w:color w:val="0070C0"/>
        </w:rPr>
      </w:pPr>
      <w:r>
        <w:rPr>
          <w:color w:val="0070C0"/>
        </w:rPr>
        <w:t xml:space="preserve">Est maintenant très rarement réalisée car supplantée par la ponction à l’aiguille des ganglions médiastinaux, guidée par écho-endoscopie bronchique. La réalisation d’une </w:t>
      </w:r>
      <w:proofErr w:type="spellStart"/>
      <w:r>
        <w:rPr>
          <w:color w:val="0070C0"/>
        </w:rPr>
        <w:t>médiastinoscopie</w:t>
      </w:r>
      <w:proofErr w:type="spellEnd"/>
      <w:r>
        <w:rPr>
          <w:color w:val="0070C0"/>
        </w:rPr>
        <w:t xml:space="preserve"> sous anesthésie générale permet</w:t>
      </w:r>
      <w:r>
        <w:rPr>
          <w:b/>
          <w:bCs/>
          <w:color w:val="0070C0"/>
        </w:rPr>
        <w:t>,</w:t>
      </w:r>
      <w:r>
        <w:rPr>
          <w:color w:val="0070C0"/>
        </w:rPr>
        <w:t xml:space="preserve"> dans près de 100 % des cas</w:t>
      </w:r>
      <w:r>
        <w:rPr>
          <w:b/>
          <w:bCs/>
          <w:color w:val="0070C0"/>
        </w:rPr>
        <w:t>,</w:t>
      </w:r>
      <w:r>
        <w:rPr>
          <w:color w:val="0070C0"/>
        </w:rPr>
        <w:t xml:space="preserve"> de faire le diagnostic histopathologique.</w:t>
      </w:r>
    </w:p>
    <w:p w14:paraId="332A1775" w14:textId="77777777" w:rsidR="00EC2F22" w:rsidRDefault="00EC2F22" w:rsidP="00F155BE">
      <w:pPr>
        <w:spacing w:line="276" w:lineRule="auto"/>
        <w:rPr>
          <w:color w:val="0070C0"/>
        </w:rPr>
      </w:pPr>
    </w:p>
    <w:p w14:paraId="70D2B1A7" w14:textId="77777777" w:rsidR="00EC2F22" w:rsidRDefault="00EC2F22" w:rsidP="00F155BE">
      <w:pPr>
        <w:spacing w:line="276" w:lineRule="auto"/>
        <w:rPr>
          <w:b/>
          <w:bCs/>
          <w:smallCaps/>
          <w:color w:val="0070C0"/>
          <w:u w:val="single"/>
        </w:rPr>
      </w:pPr>
      <w:r>
        <w:rPr>
          <w:b/>
          <w:bCs/>
          <w:smallCaps/>
          <w:color w:val="0070C0"/>
          <w:u w:val="single"/>
        </w:rPr>
        <w:t xml:space="preserve">TEP-SCANNER AU 18-FDG </w:t>
      </w:r>
    </w:p>
    <w:p w14:paraId="5DF63ED0" w14:textId="77777777" w:rsidR="00EC2F22" w:rsidRDefault="00EC2F22" w:rsidP="00F155BE">
      <w:pPr>
        <w:spacing w:line="276" w:lineRule="auto"/>
        <w:rPr>
          <w:color w:val="0070C0"/>
        </w:rPr>
      </w:pPr>
      <w:r>
        <w:rPr>
          <w:color w:val="0070C0"/>
        </w:rPr>
        <w:t xml:space="preserve">La tomographie par émission de positons au 18-Fluorodeoxyglucose (18FDG-TEP) peut être indiquée pour : </w:t>
      </w:r>
    </w:p>
    <w:p w14:paraId="4AD4A82C" w14:textId="77777777" w:rsidR="00EC2F22" w:rsidRDefault="00EC2F22" w:rsidP="00F155BE">
      <w:pPr>
        <w:spacing w:line="276" w:lineRule="auto"/>
        <w:rPr>
          <w:color w:val="0070C0"/>
        </w:rPr>
      </w:pPr>
      <w:r>
        <w:rPr>
          <w:color w:val="0070C0"/>
        </w:rPr>
        <w:t>- La recherche d’un site occulte à biopsier en l’absence de confirmation histologique sur les sites usuels.</w:t>
      </w:r>
    </w:p>
    <w:p w14:paraId="5B448E6D" w14:textId="77777777" w:rsidR="00EC2F22" w:rsidRDefault="00EC2F22" w:rsidP="00F155BE">
      <w:pPr>
        <w:spacing w:line="276" w:lineRule="auto"/>
        <w:rPr>
          <w:color w:val="0070C0"/>
        </w:rPr>
      </w:pPr>
      <w:r>
        <w:rPr>
          <w:color w:val="0070C0"/>
        </w:rPr>
        <w:t>- La confirmation d’une atteinte cardiaque active (protocole dédié TEP-cœur).</w:t>
      </w:r>
    </w:p>
    <w:p w14:paraId="7018E1C2" w14:textId="77777777" w:rsidR="00EC2F22" w:rsidRDefault="00EC2F22" w:rsidP="00F155BE">
      <w:pPr>
        <w:spacing w:line="276" w:lineRule="auto"/>
        <w:rPr>
          <w:color w:val="0070C0"/>
        </w:rPr>
      </w:pPr>
      <w:r>
        <w:rPr>
          <w:color w:val="0070C0"/>
        </w:rPr>
        <w:t>- La recherche du mécanisme d’une fatigue importante inexpliquée.</w:t>
      </w:r>
    </w:p>
    <w:p w14:paraId="0599BA7A" w14:textId="77777777" w:rsidR="00EC2F22" w:rsidRDefault="00EC2F22" w:rsidP="00F155BE">
      <w:pPr>
        <w:spacing w:line="276" w:lineRule="auto"/>
        <w:rPr>
          <w:color w:val="0070C0"/>
        </w:rPr>
      </w:pPr>
      <w:r>
        <w:rPr>
          <w:color w:val="0070C0"/>
        </w:rPr>
        <w:t>- L’évaluation de l’activité de la maladie dans les stades IV radiographiques</w:t>
      </w:r>
    </w:p>
    <w:p w14:paraId="75939C7B" w14:textId="77777777" w:rsidR="00EC2F22" w:rsidRDefault="00EC2F22" w:rsidP="00F155BE">
      <w:pPr>
        <w:spacing w:line="276" w:lineRule="auto"/>
        <w:rPr>
          <w:color w:val="0070C0"/>
        </w:rPr>
      </w:pPr>
    </w:p>
    <w:p w14:paraId="3AE7036F" w14:textId="77777777" w:rsidR="00EC2F22" w:rsidRDefault="00EC2F22" w:rsidP="00F155BE">
      <w:pPr>
        <w:spacing w:line="276" w:lineRule="auto"/>
        <w:rPr>
          <w:color w:val="0070C0"/>
        </w:rPr>
      </w:pPr>
      <w:r>
        <w:rPr>
          <w:color w:val="0070C0"/>
        </w:rPr>
        <w:t xml:space="preserve">Elle </w:t>
      </w:r>
      <w:r>
        <w:rPr>
          <w:b/>
          <w:bCs/>
          <w:color w:val="0070C0"/>
        </w:rPr>
        <w:t>n’a pas de place en routine</w:t>
      </w:r>
      <w:r>
        <w:rPr>
          <w:color w:val="0070C0"/>
        </w:rPr>
        <w:t xml:space="preserve"> et son caractère irradiant et son coût doivent être pris en considération. </w:t>
      </w:r>
    </w:p>
    <w:p w14:paraId="4B7B90C4" w14:textId="77777777" w:rsidR="00EC2F22" w:rsidRDefault="00EC2F22" w:rsidP="00F155BE">
      <w:pPr>
        <w:spacing w:line="276" w:lineRule="auto"/>
        <w:rPr>
          <w:b/>
          <w:bCs/>
          <w:color w:val="0070C0"/>
        </w:rPr>
      </w:pPr>
    </w:p>
    <w:p w14:paraId="5E6D8811" w14:textId="77777777" w:rsidR="00EC2F22" w:rsidRDefault="00EC2F22" w:rsidP="00F155BE">
      <w:pPr>
        <w:spacing w:line="276" w:lineRule="auto"/>
        <w:rPr>
          <w:b/>
          <w:bCs/>
          <w:color w:val="0070C0"/>
        </w:rPr>
      </w:pPr>
      <w:r>
        <w:rPr>
          <w:b/>
          <w:bCs/>
          <w:color w:val="0070C0"/>
        </w:rPr>
        <w:t>Examens biologiques en dehors des anomalies liées à une atteinte d’organe.</w:t>
      </w:r>
    </w:p>
    <w:p w14:paraId="2B09DE5A" w14:textId="77777777" w:rsidR="00EC2F22" w:rsidRDefault="00EC2F22" w:rsidP="00F155BE">
      <w:pPr>
        <w:spacing w:line="276" w:lineRule="auto"/>
        <w:rPr>
          <w:color w:val="0070C0"/>
        </w:rPr>
      </w:pPr>
    </w:p>
    <w:p w14:paraId="34A3E4EF" w14:textId="77777777" w:rsidR="00EC2F22" w:rsidRDefault="00EC2F22" w:rsidP="00F155BE">
      <w:pPr>
        <w:spacing w:line="276" w:lineRule="auto"/>
        <w:rPr>
          <w:color w:val="0070C0"/>
        </w:rPr>
      </w:pPr>
      <w:r>
        <w:rPr>
          <w:color w:val="0070C0"/>
        </w:rPr>
        <w:t xml:space="preserve">Calcémie et Calciurie : Troubles du métabolisme phosphocalcique </w:t>
      </w:r>
    </w:p>
    <w:p w14:paraId="0E926E2F" w14:textId="77777777" w:rsidR="00EC2F22" w:rsidRDefault="00EC2F22" w:rsidP="00F155BE">
      <w:pPr>
        <w:spacing w:line="276" w:lineRule="auto"/>
        <w:rPr>
          <w:color w:val="0070C0"/>
        </w:rPr>
      </w:pPr>
      <w:r>
        <w:rPr>
          <w:color w:val="0070C0"/>
        </w:rPr>
        <w:t xml:space="preserve">- Par élévation de l’absorption intestinale du calcium et augmentation du turn-over osseux secondaire à une élévation des taux de calcitriol (1-25 (OH)2 D3) liée à la sécrétion de la 1α-hydroxylase par les macrophages </w:t>
      </w:r>
      <w:proofErr w:type="spellStart"/>
      <w:r>
        <w:rPr>
          <w:color w:val="0070C0"/>
        </w:rPr>
        <w:t>sarcoïdiens</w:t>
      </w:r>
      <w:proofErr w:type="spellEnd"/>
      <w:r>
        <w:rPr>
          <w:color w:val="0070C0"/>
        </w:rPr>
        <w:t>.</w:t>
      </w:r>
    </w:p>
    <w:p w14:paraId="2299ADE2" w14:textId="77777777" w:rsidR="00EC2F22" w:rsidRDefault="00EC2F22" w:rsidP="00F155BE">
      <w:pPr>
        <w:spacing w:line="276" w:lineRule="auto"/>
        <w:rPr>
          <w:color w:val="0070C0"/>
        </w:rPr>
      </w:pPr>
      <w:r>
        <w:rPr>
          <w:color w:val="0070C0"/>
        </w:rPr>
        <w:t>- Hypercalciurie fréquente.</w:t>
      </w:r>
    </w:p>
    <w:p w14:paraId="7CB08267" w14:textId="77777777" w:rsidR="00EC2F22" w:rsidRDefault="00EC2F22" w:rsidP="00F155BE">
      <w:pPr>
        <w:spacing w:line="276" w:lineRule="auto"/>
        <w:rPr>
          <w:color w:val="0070C0"/>
        </w:rPr>
      </w:pPr>
      <w:r>
        <w:rPr>
          <w:color w:val="0070C0"/>
        </w:rPr>
        <w:lastRenderedPageBreak/>
        <w:t>- Dans 5 à 10 % des cas hypercalcémie</w:t>
      </w:r>
      <w:r>
        <w:rPr>
          <w:color w:val="0070C0"/>
          <w:vertAlign w:val="superscript"/>
        </w:rPr>
        <w:footnoteReference w:id="10"/>
      </w:r>
      <w:r>
        <w:rPr>
          <w:color w:val="0070C0"/>
        </w:rPr>
        <w:t>, surtout l’été, lors d’une exposition solaire (à déconseiller en cas de troubles du métabolisme calcique), d’une majoration des apports alimentaires de calcium ou de la prise de vitamine D.</w:t>
      </w:r>
    </w:p>
    <w:p w14:paraId="1A879850" w14:textId="77777777" w:rsidR="00EC2F22" w:rsidRDefault="00EC2F22" w:rsidP="00F155BE">
      <w:pPr>
        <w:spacing w:line="276" w:lineRule="auto"/>
        <w:ind w:left="720"/>
        <w:rPr>
          <w:color w:val="0070C0"/>
        </w:rPr>
      </w:pPr>
    </w:p>
    <w:p w14:paraId="5EEB084E" w14:textId="77777777" w:rsidR="00EC2F22" w:rsidRDefault="00EC2F22" w:rsidP="00F155BE">
      <w:pPr>
        <w:spacing w:line="276" w:lineRule="auto"/>
        <w:rPr>
          <w:color w:val="0070C0"/>
        </w:rPr>
      </w:pPr>
      <w:r>
        <w:rPr>
          <w:color w:val="0070C0"/>
        </w:rPr>
        <w:t>NFS : Lymphopénie (prédominant sur les lymphocytes T CD4+).</w:t>
      </w:r>
    </w:p>
    <w:p w14:paraId="79AA90F8" w14:textId="77777777" w:rsidR="00EC2F22" w:rsidRDefault="00EC2F22" w:rsidP="00F155BE">
      <w:pPr>
        <w:spacing w:line="276" w:lineRule="auto"/>
        <w:rPr>
          <w:color w:val="0070C0"/>
        </w:rPr>
      </w:pPr>
    </w:p>
    <w:p w14:paraId="1F8864DE" w14:textId="77777777" w:rsidR="00EC2F22" w:rsidRDefault="00EC2F22" w:rsidP="00F155BE">
      <w:pPr>
        <w:spacing w:line="276" w:lineRule="auto"/>
        <w:rPr>
          <w:color w:val="0070C0"/>
        </w:rPr>
      </w:pPr>
      <w:r>
        <w:rPr>
          <w:color w:val="0070C0"/>
        </w:rPr>
        <w:t>Électrophorèse</w:t>
      </w:r>
      <w:r>
        <w:rPr>
          <w:color w:val="EE0000"/>
        </w:rPr>
        <w:t xml:space="preserve"> </w:t>
      </w:r>
      <w:r>
        <w:rPr>
          <w:color w:val="0070C0"/>
        </w:rPr>
        <w:t xml:space="preserve">des protides : </w:t>
      </w:r>
      <w:proofErr w:type="spellStart"/>
      <w:r>
        <w:rPr>
          <w:color w:val="0070C0"/>
        </w:rPr>
        <w:t>Hypergammaglobulinémie</w:t>
      </w:r>
      <w:proofErr w:type="spellEnd"/>
      <w:r>
        <w:rPr>
          <w:color w:val="0070C0"/>
        </w:rPr>
        <w:t xml:space="preserve"> polyclonale à l’électrophorèse des protides plasmatiques (témoignant de l’activation des lymphocytes B).</w:t>
      </w:r>
    </w:p>
    <w:p w14:paraId="4E926C58" w14:textId="77777777" w:rsidR="00EC2F22" w:rsidRDefault="00EC2F22" w:rsidP="00F155BE">
      <w:pPr>
        <w:spacing w:line="276" w:lineRule="auto"/>
        <w:rPr>
          <w:color w:val="0070C0"/>
        </w:rPr>
      </w:pPr>
    </w:p>
    <w:p w14:paraId="625341AF" w14:textId="77777777" w:rsidR="00EC2F22" w:rsidRDefault="00EC2F22" w:rsidP="00F155BE">
      <w:pPr>
        <w:spacing w:line="276" w:lineRule="auto"/>
        <w:rPr>
          <w:color w:val="0070C0"/>
        </w:rPr>
      </w:pPr>
      <w:r>
        <w:rPr>
          <w:color w:val="0070C0"/>
        </w:rPr>
        <w:t xml:space="preserve">Test par intradermo-réaction (IDR) </w:t>
      </w:r>
      <w:proofErr w:type="gramStart"/>
      <w:r>
        <w:rPr>
          <w:color w:val="0070C0"/>
        </w:rPr>
        <w:t>à la tuberculine négatif</w:t>
      </w:r>
      <w:proofErr w:type="gramEnd"/>
      <w:r>
        <w:rPr>
          <w:color w:val="0070C0"/>
        </w:rPr>
        <w:t xml:space="preserve"> dans 80 % des cas environ (anergie tuberculinique) :</w:t>
      </w:r>
    </w:p>
    <w:p w14:paraId="2F0BCEFC" w14:textId="77777777" w:rsidR="00EC2F22" w:rsidRDefault="00EC2F22" w:rsidP="00F155BE">
      <w:pPr>
        <w:spacing w:line="276" w:lineRule="auto"/>
        <w:rPr>
          <w:color w:val="0070C0"/>
        </w:rPr>
      </w:pPr>
      <w:r>
        <w:rPr>
          <w:color w:val="0070C0"/>
        </w:rPr>
        <w:t>- C’est surtout sa négativation qui a une valeur d’orientation diagnostique.</w:t>
      </w:r>
    </w:p>
    <w:p w14:paraId="73106F69" w14:textId="77777777" w:rsidR="00EC2F22" w:rsidRDefault="00EC2F22" w:rsidP="00F155BE">
      <w:pPr>
        <w:spacing w:line="276" w:lineRule="auto"/>
        <w:rPr>
          <w:color w:val="0070C0"/>
        </w:rPr>
      </w:pPr>
      <w:r>
        <w:rPr>
          <w:color w:val="0070C0"/>
        </w:rPr>
        <w:t>- Le test tuberculinique est de moins en moins réalisé en pratique.</w:t>
      </w:r>
    </w:p>
    <w:p w14:paraId="588F157D" w14:textId="77777777" w:rsidR="00EC2F22" w:rsidRDefault="00EC2F22" w:rsidP="00F155BE">
      <w:pPr>
        <w:spacing w:line="276" w:lineRule="auto"/>
        <w:rPr>
          <w:color w:val="0070C0"/>
        </w:rPr>
      </w:pPr>
      <w:r>
        <w:rPr>
          <w:color w:val="0070C0"/>
        </w:rPr>
        <w:t xml:space="preserve">- Les tests IGRA = </w:t>
      </w:r>
      <w:proofErr w:type="spellStart"/>
      <w:r>
        <w:rPr>
          <w:color w:val="0070C0"/>
        </w:rPr>
        <w:t>interferon</w:t>
      </w:r>
      <w:proofErr w:type="spellEnd"/>
      <w:r>
        <w:rPr>
          <w:color w:val="0070C0"/>
        </w:rPr>
        <w:t xml:space="preserve"> gamma release </w:t>
      </w:r>
      <w:proofErr w:type="spellStart"/>
      <w:r>
        <w:rPr>
          <w:color w:val="0070C0"/>
        </w:rPr>
        <w:t>assay</w:t>
      </w:r>
      <w:proofErr w:type="spellEnd"/>
      <w:r>
        <w:rPr>
          <w:color w:val="0070C0"/>
        </w:rPr>
        <w:t xml:space="preserve"> (comme </w:t>
      </w:r>
      <w:proofErr w:type="spellStart"/>
      <w:r>
        <w:rPr>
          <w:color w:val="0070C0"/>
        </w:rPr>
        <w:t>QuantiFERON</w:t>
      </w:r>
      <w:proofErr w:type="spellEnd"/>
      <w:r>
        <w:rPr>
          <w:color w:val="0070C0"/>
        </w:rPr>
        <w:t>) sont possiblement moins affectés par l’anergie de la sarcoïdose que le test tuberculinique.</w:t>
      </w:r>
    </w:p>
    <w:p w14:paraId="0438507A" w14:textId="77777777" w:rsidR="00EC2F22" w:rsidRDefault="00EC2F22" w:rsidP="00F155BE">
      <w:pPr>
        <w:spacing w:line="276" w:lineRule="auto"/>
        <w:ind w:left="360"/>
        <w:rPr>
          <w:color w:val="0070C0"/>
          <w:vertAlign w:val="superscript"/>
        </w:rPr>
      </w:pPr>
    </w:p>
    <w:p w14:paraId="7F7419A7" w14:textId="77777777" w:rsidR="00EC2F22" w:rsidRDefault="00EC2F22" w:rsidP="00F155BE">
      <w:pPr>
        <w:spacing w:line="276" w:lineRule="auto"/>
        <w:rPr>
          <w:color w:val="0070C0"/>
        </w:rPr>
      </w:pPr>
    </w:p>
    <w:p w14:paraId="24092ADC" w14:textId="77777777" w:rsidR="00EC2F22" w:rsidRDefault="00EC2F22" w:rsidP="00F155BE">
      <w:pPr>
        <w:spacing w:line="276" w:lineRule="auto"/>
        <w:rPr>
          <w:color w:val="0070C0"/>
        </w:rPr>
      </w:pPr>
      <w:r>
        <w:rPr>
          <w:color w:val="0070C0"/>
        </w:rPr>
        <w:t>À</w:t>
      </w:r>
      <w:r>
        <w:rPr>
          <w:b/>
          <w:bCs/>
          <w:color w:val="EE0000"/>
        </w:rPr>
        <w:t xml:space="preserve"> </w:t>
      </w:r>
      <w:r>
        <w:rPr>
          <w:color w:val="0070C0"/>
        </w:rPr>
        <w:t xml:space="preserve">noter qu’il est important de rechercher chez les patients, lors du bilan diagnostique, un </w:t>
      </w:r>
      <w:proofErr w:type="spellStart"/>
      <w:r>
        <w:rPr>
          <w:color w:val="0070C0"/>
        </w:rPr>
        <w:t>contage</w:t>
      </w:r>
      <w:proofErr w:type="spellEnd"/>
      <w:r>
        <w:rPr>
          <w:color w:val="0070C0"/>
        </w:rPr>
        <w:t xml:space="preserve"> tuberculeux, un séjour en zone d’endémie et de réaliser une IDR à la tuberculine ou test IGRA (1) chez les patients ayant une sarcoïdose à risque épidémiologique de tuberculose, (2) et impérativement dans le bilan pré thérapeutique d’un traitement par anti-TNF-α</w:t>
      </w:r>
      <w:r>
        <w:rPr>
          <w:b/>
          <w:bCs/>
          <w:color w:val="0070C0"/>
        </w:rPr>
        <w:t>.</w:t>
      </w:r>
    </w:p>
    <w:p w14:paraId="0EBDF1E6" w14:textId="77777777" w:rsidR="00EC2F22" w:rsidRDefault="00EC2F22" w:rsidP="00F155BE">
      <w:pPr>
        <w:spacing w:line="276" w:lineRule="auto"/>
        <w:rPr>
          <w:color w:val="0070C0"/>
        </w:rPr>
      </w:pPr>
    </w:p>
    <w:p w14:paraId="27F5ABF8" w14:textId="77777777" w:rsidR="00EC2F22" w:rsidRDefault="00EC2F22" w:rsidP="00F155BE">
      <w:pPr>
        <w:spacing w:line="276" w:lineRule="auto"/>
        <w:rPr>
          <w:color w:val="0070C0"/>
        </w:rPr>
      </w:pPr>
      <w:r>
        <w:rPr>
          <w:color w:val="0070C0"/>
        </w:rPr>
        <w:t>Dosage de l’Enzyme de conversion de l’angiotensine sérique (ECA) :</w:t>
      </w:r>
    </w:p>
    <w:p w14:paraId="16D31167" w14:textId="77777777" w:rsidR="00EC2F22" w:rsidRDefault="00EC2F22" w:rsidP="00F155BE">
      <w:pPr>
        <w:spacing w:line="276" w:lineRule="auto"/>
        <w:rPr>
          <w:color w:val="0070C0"/>
        </w:rPr>
      </w:pPr>
      <w:r>
        <w:rPr>
          <w:color w:val="0070C0"/>
        </w:rPr>
        <w:t>- Produite par les macrophages activés des granulomes.</w:t>
      </w:r>
    </w:p>
    <w:p w14:paraId="3A4F5AC2" w14:textId="77777777" w:rsidR="00EC2F22" w:rsidRDefault="00EC2F22" w:rsidP="00F155BE">
      <w:pPr>
        <w:spacing w:line="276" w:lineRule="auto"/>
        <w:rPr>
          <w:color w:val="0070C0"/>
        </w:rPr>
      </w:pPr>
      <w:r>
        <w:rPr>
          <w:color w:val="0070C0"/>
        </w:rPr>
        <w:t>- Traduit l’étendue de la masse granulomateuse et est corrélée à l’activité de la maladie.</w:t>
      </w:r>
    </w:p>
    <w:p w14:paraId="1159A31D" w14:textId="77777777" w:rsidR="00EC2F22" w:rsidRDefault="00EC2F22" w:rsidP="00F155BE">
      <w:pPr>
        <w:spacing w:line="276" w:lineRule="auto"/>
        <w:rPr>
          <w:color w:val="0070C0"/>
        </w:rPr>
      </w:pPr>
      <w:r>
        <w:rPr>
          <w:color w:val="0070C0"/>
        </w:rPr>
        <w:t>- Peu sensible, élevée dans environ 60 % des cas.</w:t>
      </w:r>
    </w:p>
    <w:p w14:paraId="36D352D2" w14:textId="77777777" w:rsidR="00EC2F22" w:rsidRDefault="00EC2F22" w:rsidP="00F155BE">
      <w:pPr>
        <w:spacing w:line="276" w:lineRule="auto"/>
        <w:rPr>
          <w:color w:val="0070C0"/>
        </w:rPr>
      </w:pPr>
      <w:r>
        <w:rPr>
          <w:color w:val="0070C0"/>
        </w:rPr>
        <w:t>- Test non spécifique qui peut s’élever dans d’autres affections.</w:t>
      </w:r>
    </w:p>
    <w:p w14:paraId="641D2079" w14:textId="77777777" w:rsidR="00EC2F22" w:rsidRDefault="00EC2F22" w:rsidP="00F155BE">
      <w:pPr>
        <w:spacing w:line="276" w:lineRule="auto"/>
        <w:rPr>
          <w:color w:val="0070C0"/>
        </w:rPr>
      </w:pPr>
      <w:r>
        <w:rPr>
          <w:color w:val="0070C0"/>
        </w:rPr>
        <w:t>- Ininterprétable chez les patients qui prennent des inhibiteurs de l’enzyme de conversion.</w:t>
      </w:r>
    </w:p>
    <w:p w14:paraId="4C73A829" w14:textId="77777777" w:rsidR="00EC2F22" w:rsidRDefault="00EC2F22" w:rsidP="00F155BE">
      <w:pPr>
        <w:spacing w:line="276" w:lineRule="auto"/>
        <w:rPr>
          <w:b/>
          <w:bCs/>
          <w:i/>
          <w:iCs/>
          <w:smallCaps/>
        </w:rPr>
      </w:pPr>
    </w:p>
    <w:p w14:paraId="0C06FD72" w14:textId="77777777" w:rsidR="00EC2F22" w:rsidRDefault="00EC2F22" w:rsidP="00127CAC">
      <w:pPr>
        <w:pStyle w:val="titredepartie"/>
      </w:pPr>
      <w:r>
        <w:t>TRAITEMENTS ET PRISE EN CHARGE</w:t>
      </w:r>
    </w:p>
    <w:p w14:paraId="0335BC02" w14:textId="77777777" w:rsidR="00EC2F22" w:rsidRDefault="00EC2F22" w:rsidP="00F155BE">
      <w:pPr>
        <w:spacing w:line="276" w:lineRule="auto"/>
        <w:rPr>
          <w:color w:val="0070C0"/>
        </w:rPr>
      </w:pPr>
      <w:r>
        <w:rPr>
          <w:color w:val="0070C0"/>
        </w:rPr>
        <w:t xml:space="preserve">- Pour mémoire, le traitement de la sarcoïdose n’est pas systématique. </w:t>
      </w:r>
    </w:p>
    <w:p w14:paraId="3F7A580B" w14:textId="77777777" w:rsidR="00EC2F22" w:rsidRDefault="00EC2F22" w:rsidP="00F155BE">
      <w:pPr>
        <w:spacing w:line="276" w:lineRule="auto"/>
        <w:rPr>
          <w:color w:val="0070C0"/>
        </w:rPr>
      </w:pPr>
      <w:r>
        <w:rPr>
          <w:color w:val="0070C0"/>
        </w:rPr>
        <w:t xml:space="preserve">- Il est nécessaire chez environ la moitié des patients, d’emblée ou en cours de suivi. </w:t>
      </w:r>
    </w:p>
    <w:p w14:paraId="53906421" w14:textId="77777777" w:rsidR="00EC2F22" w:rsidRDefault="00EC2F22" w:rsidP="00F155BE">
      <w:pPr>
        <w:spacing w:line="276" w:lineRule="auto"/>
        <w:rPr>
          <w:color w:val="0070C0"/>
        </w:rPr>
      </w:pPr>
      <w:r>
        <w:rPr>
          <w:color w:val="0070C0"/>
        </w:rPr>
        <w:t>- Il est guidé par la présence d’une forme à risque de la maladie mettant en jeu le pronostic vital ou</w:t>
      </w:r>
      <w:r>
        <w:rPr>
          <w:color w:val="0070C0"/>
        </w:rPr>
        <w:br/>
        <w:t>fonctionnel de l’organe affecté, ou de signes d’inconfort persistant retentissant sur la qualité</w:t>
      </w:r>
      <w:r>
        <w:rPr>
          <w:color w:val="0070C0"/>
        </w:rPr>
        <w:br/>
        <w:t xml:space="preserve">de vie du patient. </w:t>
      </w:r>
    </w:p>
    <w:p w14:paraId="655E376E" w14:textId="77777777" w:rsidR="00EC2F22" w:rsidRDefault="00EC2F22" w:rsidP="00F155BE">
      <w:pPr>
        <w:spacing w:line="276" w:lineRule="auto"/>
        <w:rPr>
          <w:color w:val="0070C0"/>
        </w:rPr>
      </w:pPr>
      <w:r>
        <w:rPr>
          <w:color w:val="0070C0"/>
        </w:rPr>
        <w:t>- Il n’existe pas de traitement curatif, mais uniquement suspensif de la réaction granulomateuse.</w:t>
      </w:r>
    </w:p>
    <w:p w14:paraId="6A8150F3" w14:textId="77777777" w:rsidR="00EC2F22" w:rsidRDefault="00EC2F22" w:rsidP="00F155BE">
      <w:pPr>
        <w:spacing w:line="276" w:lineRule="auto"/>
      </w:pPr>
      <w:r>
        <w:rPr>
          <w:noProof/>
        </w:rPr>
        <w:drawing>
          <wp:anchor distT="0" distB="0" distL="114300" distR="114300" simplePos="0" relativeHeight="251954176" behindDoc="0" locked="0" layoutInCell="1" hidden="0" allowOverlap="1" wp14:anchorId="0DE4F0DC" wp14:editId="22F8D6D4">
            <wp:simplePos x="0" y="0"/>
            <wp:positionH relativeFrom="column">
              <wp:posOffset>-233728</wp:posOffset>
            </wp:positionH>
            <wp:positionV relativeFrom="paragraph">
              <wp:posOffset>159385</wp:posOffset>
            </wp:positionV>
            <wp:extent cx="135890" cy="138430"/>
            <wp:effectExtent l="0" t="0" r="0" b="0"/>
            <wp:wrapSquare wrapText="bothSides" distT="0" distB="0" distL="114300" distR="11430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135890" cy="138430"/>
                    </a:xfrm>
                    <a:prstGeom prst="rect">
                      <a:avLst/>
                    </a:prstGeom>
                    <a:ln/>
                  </pic:spPr>
                </pic:pic>
              </a:graphicData>
            </a:graphic>
          </wp:anchor>
        </w:drawing>
      </w:r>
    </w:p>
    <w:p w14:paraId="7E0B59E2" w14:textId="77777777" w:rsidR="00EC2F22" w:rsidRDefault="00EC2F22" w:rsidP="00F155BE">
      <w:pPr>
        <w:spacing w:line="276" w:lineRule="auto"/>
        <w:rPr>
          <w:color w:val="00B050"/>
        </w:rPr>
      </w:pPr>
      <w:r>
        <w:rPr>
          <w:color w:val="00B050"/>
        </w:rPr>
        <w:t>Les traitements pouvant être prescrits au cours de la Sarcoïdose sont de différentes natures et comprennent, selon le contexte, la corticothérapie, l’hydroxychloroquine, des immunosuppresseurs tels que le méthotrexate, ainsi que des biothérapies de type anti-TNFα.</w:t>
      </w:r>
    </w:p>
    <w:p w14:paraId="14842A9D" w14:textId="77777777" w:rsidR="00EC2F22" w:rsidRDefault="00EC2F22" w:rsidP="00F155BE">
      <w:pPr>
        <w:spacing w:line="276" w:lineRule="auto"/>
        <w:rPr>
          <w:b/>
          <w:bCs/>
          <w:i/>
          <w:iCs/>
          <w:smallCaps/>
        </w:rPr>
      </w:pPr>
    </w:p>
    <w:p w14:paraId="2D639816" w14:textId="77777777" w:rsidR="00EC2F22" w:rsidRDefault="00EC2F22" w:rsidP="00127CAC">
      <w:pPr>
        <w:pStyle w:val="titredepartie"/>
      </w:pPr>
      <w:r>
        <w:lastRenderedPageBreak/>
        <w:t>Modalités évolutives et complications de la sarcoïdose</w:t>
      </w:r>
    </w:p>
    <w:p w14:paraId="60CE4FAB" w14:textId="77777777" w:rsidR="00EC2F22" w:rsidRDefault="00EC2F22" w:rsidP="00F155BE">
      <w:pPr>
        <w:spacing w:line="276" w:lineRule="auto"/>
      </w:pPr>
    </w:p>
    <w:p w14:paraId="65D33E7E" w14:textId="5683FF4B" w:rsidR="00EC2F22" w:rsidRDefault="00127CAC" w:rsidP="00127CAC">
      <w:pPr>
        <w:pStyle w:val="titredesous-partie"/>
        <w:numPr>
          <w:ilvl w:val="0"/>
          <w:numId w:val="47"/>
        </w:numPr>
      </w:pPr>
      <w:r>
        <w:rPr>
          <w:noProof/>
        </w:rPr>
        <w:drawing>
          <wp:anchor distT="0" distB="0" distL="114300" distR="114300" simplePos="0" relativeHeight="251955200" behindDoc="0" locked="0" layoutInCell="1" hidden="0" allowOverlap="1" wp14:anchorId="3F56519E" wp14:editId="076B3A11">
            <wp:simplePos x="0" y="0"/>
            <wp:positionH relativeFrom="column">
              <wp:posOffset>-271943</wp:posOffset>
            </wp:positionH>
            <wp:positionV relativeFrom="paragraph">
              <wp:posOffset>340995</wp:posOffset>
            </wp:positionV>
            <wp:extent cx="153670" cy="137160"/>
            <wp:effectExtent l="0" t="0" r="0" b="0"/>
            <wp:wrapSquare wrapText="bothSides" distT="0" distB="0" distL="114300" distR="11430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00EC2F22">
        <w:rPr>
          <w:shd w:val="clear" w:color="auto" w:fill="auto"/>
        </w:rPr>
        <w:t>Formes récentes – formes chroniques</w:t>
      </w:r>
    </w:p>
    <w:p w14:paraId="56BB4270" w14:textId="5EB81094" w:rsidR="00EC2F22" w:rsidRDefault="00EC2F22" w:rsidP="00F155BE">
      <w:pPr>
        <w:spacing w:line="276" w:lineRule="auto"/>
        <w:rPr>
          <w:color w:val="0070C0"/>
        </w:rPr>
      </w:pPr>
      <w:r>
        <w:rPr>
          <w:b/>
          <w:bCs/>
          <w:color w:val="0070C0"/>
        </w:rPr>
        <w:t>L’évolution et la sévérité</w:t>
      </w:r>
      <w:r>
        <w:rPr>
          <w:color w:val="0070C0"/>
        </w:rPr>
        <w:t xml:space="preserve"> de la sarcoïdose sont très variables, près de la moitié des patients présenteront une résolution spontanée de la maladie dans les 2 ans, tandis qu’après 5 ans d’évolution une rémission est très peu probable. </w:t>
      </w:r>
    </w:p>
    <w:p w14:paraId="6060D742" w14:textId="72A97998" w:rsidR="00127CAC" w:rsidRDefault="00127CAC" w:rsidP="00F155BE">
      <w:pPr>
        <w:spacing w:line="276" w:lineRule="auto"/>
        <w:rPr>
          <w:color w:val="0070C0"/>
        </w:rPr>
      </w:pPr>
      <w:r w:rsidRPr="00127CAC">
        <w:rPr>
          <w:color w:val="0070C0"/>
        </w:rPr>
        <w:t>Ainsi la sarcoïdose est classée en forme aiguë (&lt; 2 ans) et chronique (≥ 3-5 ans).</w:t>
      </w:r>
    </w:p>
    <w:p w14:paraId="68F09BED" w14:textId="77777777" w:rsidR="00EC2F22" w:rsidRDefault="00EC2F22" w:rsidP="00F155BE">
      <w:pPr>
        <w:spacing w:line="276" w:lineRule="auto"/>
        <w:rPr>
          <w:color w:val="0070C0"/>
        </w:rPr>
      </w:pPr>
      <w:r>
        <w:rPr>
          <w:color w:val="0070C0"/>
        </w:rPr>
        <w:t>Le syndrome de Löfgren est la forme aiguë la plus fréquente et caricaturale de la sarcoïdose qui régresse dans la grande majorité des cas spontanément dans les 12 à 24 mois après le début des symptômes.</w:t>
      </w:r>
    </w:p>
    <w:p w14:paraId="719AB9BF" w14:textId="77777777" w:rsidR="00EC2F22" w:rsidRDefault="00EC2F22" w:rsidP="00F155BE">
      <w:pPr>
        <w:spacing w:line="276" w:lineRule="auto"/>
        <w:rPr>
          <w:color w:val="0070C0"/>
        </w:rPr>
      </w:pPr>
      <w:r>
        <w:rPr>
          <w:color w:val="0070C0"/>
        </w:rPr>
        <w:t>Le risque principal des formes chroniques est le développement d’une fibrose pulmonaire.</w:t>
      </w:r>
    </w:p>
    <w:p w14:paraId="57D4CEBE" w14:textId="77777777" w:rsidR="00EC2F22" w:rsidRDefault="00EC2F22" w:rsidP="00F155BE">
      <w:pPr>
        <w:spacing w:line="276" w:lineRule="auto"/>
        <w:rPr>
          <w:color w:val="0070C0"/>
        </w:rPr>
      </w:pPr>
    </w:p>
    <w:p w14:paraId="1A0C40B1" w14:textId="41E5FD90" w:rsidR="00EC2F22" w:rsidRDefault="00EC2F22" w:rsidP="00127CAC">
      <w:pPr>
        <w:pStyle w:val="titredesous-partie"/>
        <w:numPr>
          <w:ilvl w:val="0"/>
          <w:numId w:val="47"/>
        </w:numPr>
      </w:pPr>
      <w:r>
        <w:rPr>
          <w:shd w:val="clear" w:color="auto" w:fill="auto"/>
        </w:rPr>
        <w:t xml:space="preserve">Modalités du suivi des patients </w:t>
      </w:r>
    </w:p>
    <w:p w14:paraId="631A8ED4" w14:textId="77777777" w:rsidR="00EC2F22" w:rsidRDefault="00EC2F22" w:rsidP="00F155BE">
      <w:pPr>
        <w:spacing w:line="276" w:lineRule="auto"/>
        <w:rPr>
          <w:color w:val="0070C0"/>
        </w:rPr>
      </w:pPr>
      <w:r>
        <w:rPr>
          <w:color w:val="0070C0"/>
        </w:rPr>
        <w:t xml:space="preserve">Les patients doivent être revus tous les 3-6 mois jusqu’à ce que la guérison soit assurée. </w:t>
      </w:r>
    </w:p>
    <w:p w14:paraId="0CE654A1" w14:textId="77777777" w:rsidR="00EC2F22" w:rsidRDefault="00EC2F22" w:rsidP="00F155BE">
      <w:pPr>
        <w:spacing w:line="276" w:lineRule="auto"/>
        <w:rPr>
          <w:color w:val="0070C0"/>
        </w:rPr>
      </w:pPr>
      <w:r>
        <w:rPr>
          <w:color w:val="0070C0"/>
        </w:rPr>
        <w:t xml:space="preserve">À chaque visite, la prise en charge est guidée par la recherche de signes cliniques respiratoires et extra-respiratoires et d’examens complémentaires orientés. </w:t>
      </w:r>
    </w:p>
    <w:p w14:paraId="7B495065" w14:textId="77777777" w:rsidR="00EC2F22" w:rsidRDefault="00EC2F22" w:rsidP="00F155BE">
      <w:pPr>
        <w:spacing w:line="276" w:lineRule="auto"/>
        <w:rPr>
          <w:color w:val="0070C0"/>
        </w:rPr>
      </w:pPr>
      <w:r>
        <w:rPr>
          <w:color w:val="0070C0"/>
        </w:rPr>
        <w:t xml:space="preserve">- La radiographie de thorax représente un élément clé de la surveillance en association avec les EFR. </w:t>
      </w:r>
    </w:p>
    <w:p w14:paraId="469E1D77" w14:textId="77777777" w:rsidR="00EC2F22" w:rsidRDefault="00EC2F22" w:rsidP="00F155BE">
      <w:pPr>
        <w:spacing w:line="276" w:lineRule="auto"/>
        <w:rPr>
          <w:color w:val="0070C0"/>
        </w:rPr>
      </w:pPr>
      <w:r>
        <w:rPr>
          <w:color w:val="0070C0"/>
        </w:rPr>
        <w:t>- Dosage de l’ECA, lorsqu’il est initialement élevé, et biologie sanguine comportant hémogramme, fonction rénale, calcémie, enzymes hépatiques.</w:t>
      </w:r>
    </w:p>
    <w:p w14:paraId="3ADD31ED" w14:textId="77777777" w:rsidR="00EC2F22" w:rsidRDefault="00EC2F22" w:rsidP="00F155BE">
      <w:pPr>
        <w:spacing w:line="276" w:lineRule="auto"/>
        <w:rPr>
          <w:color w:val="0070C0"/>
        </w:rPr>
      </w:pPr>
      <w:r>
        <w:rPr>
          <w:color w:val="0070C0"/>
        </w:rPr>
        <w:t>- ECG.</w:t>
      </w:r>
    </w:p>
    <w:p w14:paraId="52D126D1" w14:textId="77777777" w:rsidR="00EC2F22" w:rsidRDefault="00EC2F22" w:rsidP="00F155BE">
      <w:pPr>
        <w:spacing w:line="276" w:lineRule="auto"/>
        <w:rPr>
          <w:color w:val="0070C0"/>
        </w:rPr>
      </w:pPr>
    </w:p>
    <w:p w14:paraId="3CCAF1F9" w14:textId="77777777" w:rsidR="00EC2F22" w:rsidRDefault="00EC2F22" w:rsidP="00F155BE">
      <w:pPr>
        <w:spacing w:line="276" w:lineRule="auto"/>
        <w:rPr>
          <w:color w:val="0070C0"/>
        </w:rPr>
      </w:pPr>
      <w:r>
        <w:rPr>
          <w:color w:val="0070C0"/>
        </w:rPr>
        <w:t xml:space="preserve">Les rechutes surviennent le plus souvent dans les 2 à 6 mois qui suivent l’interruption du traitement et sont exceptionnelles après 3 ans de recul sans traitement. Il existe souvent une concordance entre les manifestations initiales de la sarcoïdose et les sites concernés par la rechute. </w:t>
      </w:r>
    </w:p>
    <w:p w14:paraId="50B1B353" w14:textId="77777777" w:rsidR="00EC2F22" w:rsidRDefault="00EC2F22" w:rsidP="00F155BE">
      <w:pPr>
        <w:spacing w:line="276" w:lineRule="auto"/>
        <w:rPr>
          <w:color w:val="0070C0"/>
        </w:rPr>
      </w:pPr>
      <w:r>
        <w:rPr>
          <w:color w:val="0070C0"/>
        </w:rPr>
        <w:t>La guérison de la maladie est définie par une rémission stable en dehors de tout traitement pendant 3 ans.</w:t>
      </w:r>
    </w:p>
    <w:p w14:paraId="4C395723" w14:textId="77777777" w:rsidR="00EC2F22" w:rsidRDefault="00EC2F22" w:rsidP="00F155BE">
      <w:pPr>
        <w:spacing w:line="276" w:lineRule="auto"/>
        <w:rPr>
          <w:b/>
          <w:bCs/>
          <w:color w:val="0070C0"/>
        </w:rPr>
      </w:pPr>
    </w:p>
    <w:p w14:paraId="4ED0A757" w14:textId="3721D875" w:rsidR="00EC2F22" w:rsidRDefault="00EC2F22" w:rsidP="00127CAC">
      <w:pPr>
        <w:pStyle w:val="titredesous-partie"/>
        <w:numPr>
          <w:ilvl w:val="0"/>
          <w:numId w:val="47"/>
        </w:numPr>
      </w:pPr>
      <w:r>
        <w:rPr>
          <w:shd w:val="clear" w:color="auto" w:fill="auto"/>
        </w:rPr>
        <w:t xml:space="preserve">Pronostic </w:t>
      </w:r>
    </w:p>
    <w:p w14:paraId="35B09557" w14:textId="77777777" w:rsidR="00EC2F22" w:rsidRDefault="00EC2F22" w:rsidP="00F155BE">
      <w:pPr>
        <w:spacing w:line="276" w:lineRule="auto"/>
        <w:rPr>
          <w:color w:val="0070C0"/>
        </w:rPr>
      </w:pPr>
      <w:r>
        <w:rPr>
          <w:color w:val="0070C0"/>
        </w:rPr>
        <w:t>Le pronostic de la sarcoïdose est favorable dans 80 % des cas avec ou sans traitement</w:t>
      </w:r>
      <w:r>
        <w:rPr>
          <w:rFonts w:ascii="Arial" w:eastAsia="Arial" w:hAnsi="Arial" w:cs="Arial"/>
          <w:color w:val="0070C0"/>
        </w:rPr>
        <w:t> </w:t>
      </w:r>
      <w:r>
        <w:rPr>
          <w:color w:val="0070C0"/>
        </w:rPr>
        <w:t xml:space="preserve">; 10 à 20 % des patients vont garder des séquelles et 1-5 % des patients vont décéder de leur sarcoïdose. </w:t>
      </w:r>
    </w:p>
    <w:p w14:paraId="525DF130" w14:textId="77777777" w:rsidR="00EC2F22" w:rsidRDefault="00EC2F22" w:rsidP="00F155BE">
      <w:pPr>
        <w:spacing w:line="276" w:lineRule="auto"/>
        <w:rPr>
          <w:color w:val="0070C0"/>
          <w:u w:val="single"/>
        </w:rPr>
      </w:pPr>
    </w:p>
    <w:p w14:paraId="3C1C8176" w14:textId="77777777" w:rsidR="00127CAC" w:rsidRPr="00127CAC" w:rsidRDefault="00127CAC" w:rsidP="00127CAC">
      <w:pPr>
        <w:pStyle w:val="Paragraphedeliste"/>
        <w:numPr>
          <w:ilvl w:val="0"/>
          <w:numId w:val="1"/>
        </w:numPr>
        <w:spacing w:after="240"/>
        <w:outlineLvl w:val="2"/>
        <w:rPr>
          <w:b/>
          <w:bCs/>
          <w:vanish/>
        </w:rPr>
      </w:pPr>
    </w:p>
    <w:p w14:paraId="79332C40" w14:textId="77777777" w:rsidR="00127CAC" w:rsidRPr="00127CAC" w:rsidRDefault="00127CAC" w:rsidP="00127CAC">
      <w:pPr>
        <w:pStyle w:val="Paragraphedeliste"/>
        <w:numPr>
          <w:ilvl w:val="0"/>
          <w:numId w:val="1"/>
        </w:numPr>
        <w:spacing w:after="240"/>
        <w:outlineLvl w:val="2"/>
        <w:rPr>
          <w:b/>
          <w:bCs/>
          <w:vanish/>
        </w:rPr>
      </w:pPr>
    </w:p>
    <w:p w14:paraId="1246D0CE" w14:textId="77777777" w:rsidR="00127CAC" w:rsidRPr="00127CAC" w:rsidRDefault="00127CAC" w:rsidP="00127CAC">
      <w:pPr>
        <w:pStyle w:val="Paragraphedeliste"/>
        <w:numPr>
          <w:ilvl w:val="0"/>
          <w:numId w:val="1"/>
        </w:numPr>
        <w:spacing w:after="240"/>
        <w:outlineLvl w:val="2"/>
        <w:rPr>
          <w:b/>
          <w:bCs/>
          <w:vanish/>
        </w:rPr>
      </w:pPr>
    </w:p>
    <w:p w14:paraId="78FA9C52" w14:textId="3B35994C" w:rsidR="00EC2F22" w:rsidRDefault="00EC2F22" w:rsidP="00127CAC">
      <w:pPr>
        <w:pStyle w:val="Titre3"/>
      </w:pPr>
      <w:r>
        <w:t>Atteinte pulmonaire</w:t>
      </w:r>
    </w:p>
    <w:p w14:paraId="414BE67B" w14:textId="77777777" w:rsidR="00EC2F22" w:rsidRDefault="00EC2F22" w:rsidP="00F155BE">
      <w:pPr>
        <w:spacing w:line="276" w:lineRule="auto"/>
        <w:rPr>
          <w:color w:val="0070C0"/>
        </w:rPr>
      </w:pPr>
      <w:r>
        <w:rPr>
          <w:color w:val="0070C0"/>
        </w:rPr>
        <w:t>Le principal risque évolutif est l’évolution vers une fibrose pulmonaire avec :</w:t>
      </w:r>
    </w:p>
    <w:p w14:paraId="17D5DDB8" w14:textId="77777777" w:rsidR="00EC2F22" w:rsidRDefault="00EC2F22" w:rsidP="00F155BE">
      <w:pPr>
        <w:spacing w:line="276" w:lineRule="auto"/>
        <w:rPr>
          <w:color w:val="0070C0"/>
        </w:rPr>
      </w:pPr>
      <w:r>
        <w:rPr>
          <w:color w:val="0070C0"/>
        </w:rPr>
        <w:t>- Développement d’une insuffisance respiratoire chronique avec éventuellement une hypertension pulmonaire et une insuffisance cardiaque droite, éléments de mauvais pronostic.</w:t>
      </w:r>
    </w:p>
    <w:p w14:paraId="02A797F1" w14:textId="77777777" w:rsidR="00EC2F22" w:rsidRDefault="00EC2F22" w:rsidP="00F155BE">
      <w:pPr>
        <w:spacing w:line="276" w:lineRule="auto"/>
        <w:rPr>
          <w:color w:val="0070C0"/>
        </w:rPr>
      </w:pPr>
      <w:r>
        <w:rPr>
          <w:color w:val="0070C0"/>
        </w:rPr>
        <w:t>- Risque d’infection aspergillaire chronique avec hémoptysies.</w:t>
      </w:r>
    </w:p>
    <w:p w14:paraId="727C9F96" w14:textId="77777777" w:rsidR="00EC2F22" w:rsidRDefault="00EC2F22" w:rsidP="00F155BE">
      <w:pPr>
        <w:spacing w:line="276" w:lineRule="auto"/>
        <w:rPr>
          <w:color w:val="0070C0"/>
        </w:rPr>
      </w:pPr>
      <w:r>
        <w:rPr>
          <w:color w:val="0070C0"/>
        </w:rPr>
        <w:t xml:space="preserve">- Principale cause de mortalité par sarcoïdose en Europe et aux États-Unis. </w:t>
      </w:r>
    </w:p>
    <w:p w14:paraId="32032FB0" w14:textId="77777777" w:rsidR="00EC2F22" w:rsidRDefault="00EC2F22" w:rsidP="00F155BE">
      <w:pPr>
        <w:spacing w:line="276" w:lineRule="auto"/>
        <w:ind w:left="720"/>
        <w:rPr>
          <w:color w:val="0070C0"/>
        </w:rPr>
      </w:pPr>
    </w:p>
    <w:p w14:paraId="3F493699" w14:textId="77777777" w:rsidR="00EC2F22" w:rsidRDefault="00EC2F22" w:rsidP="00127CAC">
      <w:pPr>
        <w:pStyle w:val="Titre3"/>
      </w:pPr>
      <w:r>
        <w:t>Atteintes extra-thoraciques</w:t>
      </w:r>
    </w:p>
    <w:p w14:paraId="76C0663E" w14:textId="77777777" w:rsidR="00EC2F22" w:rsidRDefault="00EC2F22" w:rsidP="00F155BE">
      <w:pPr>
        <w:spacing w:line="276" w:lineRule="auto"/>
        <w:rPr>
          <w:color w:val="0070C0"/>
        </w:rPr>
      </w:pPr>
      <w:r>
        <w:rPr>
          <w:color w:val="0070C0"/>
        </w:rPr>
        <w:lastRenderedPageBreak/>
        <w:t>Certaines peuvent mettre en jeu le pronostic fonctionnel d’un organe voire le pronostic vital, si elles sont méconnues ou non traitées (par exemple une atteinte oculaire peut se compliquer d’une diminution importante et irréversible de l’acuité visuelle, voire de cécité, une atteinte cardiaque ou neurologique peut engager le pronostic vital).</w:t>
      </w:r>
    </w:p>
    <w:p w14:paraId="4E1F507C" w14:textId="77777777" w:rsidR="00EC2F22" w:rsidRDefault="00EC2F22" w:rsidP="00F155BE">
      <w:pPr>
        <w:spacing w:line="276" w:lineRule="auto"/>
        <w:rPr>
          <w:color w:val="0070C0"/>
        </w:rPr>
      </w:pPr>
      <w:r>
        <w:rPr>
          <w:color w:val="0070C0"/>
        </w:rPr>
        <w:t>Certaines localisations sont source de morbidité importante (par exemple une atteinte hépatique, ou une atteinte cutanée disgracieuse).</w:t>
      </w:r>
    </w:p>
    <w:p w14:paraId="225F778C" w14:textId="77777777" w:rsidR="00EC2F22" w:rsidRDefault="00EC2F22" w:rsidP="00F155BE">
      <w:pPr>
        <w:spacing w:line="276" w:lineRule="auto"/>
        <w:rPr>
          <w:color w:val="0070C0"/>
          <w:u w:val="single"/>
        </w:rPr>
      </w:pPr>
    </w:p>
    <w:p w14:paraId="4379E8D0" w14:textId="77777777" w:rsidR="00EC2F22" w:rsidRDefault="00EC2F22" w:rsidP="00127CAC">
      <w:pPr>
        <w:pStyle w:val="Titre3"/>
      </w:pPr>
      <w:r>
        <w:t>Facteurs pronostiques</w:t>
      </w:r>
    </w:p>
    <w:p w14:paraId="36E53AD2" w14:textId="77777777" w:rsidR="00EC2F22" w:rsidRDefault="00EC2F22" w:rsidP="00F155BE">
      <w:pPr>
        <w:spacing w:line="276" w:lineRule="auto"/>
        <w:rPr>
          <w:color w:val="0070C0"/>
        </w:rPr>
      </w:pPr>
      <w:r>
        <w:rPr>
          <w:color w:val="0070C0"/>
        </w:rPr>
        <w:t>Les principaux facteurs pronostiques de la sarcoïdose sont résumés dans le tableau 5.</w:t>
      </w:r>
    </w:p>
    <w:p w14:paraId="130E5A2A" w14:textId="77777777" w:rsidR="00EC2F22" w:rsidRDefault="00EC2F22" w:rsidP="00F155BE">
      <w:pPr>
        <w:spacing w:line="276" w:lineRule="auto"/>
        <w:rPr>
          <w:b/>
          <w:bCs/>
          <w:color w:val="0070C0"/>
        </w:rPr>
      </w:pPr>
    </w:p>
    <w:p w14:paraId="28A5C8DD" w14:textId="49152F4C" w:rsidR="00EC2F22" w:rsidRDefault="00EC2F22" w:rsidP="00F155BE">
      <w:pPr>
        <w:pBdr>
          <w:top w:val="nil"/>
          <w:left w:val="nil"/>
          <w:bottom w:val="nil"/>
          <w:right w:val="nil"/>
          <w:between w:val="nil"/>
        </w:pBdr>
        <w:spacing w:line="276" w:lineRule="auto"/>
        <w:rPr>
          <w:rFonts w:ascii="Arial" w:eastAsia="Arial" w:hAnsi="Arial" w:cs="Arial"/>
          <w:color w:val="0070C0"/>
          <w:sz w:val="18"/>
          <w:szCs w:val="18"/>
        </w:rPr>
      </w:pPr>
      <w:r>
        <w:rPr>
          <w:rFonts w:ascii="Arial" w:eastAsia="Arial" w:hAnsi="Arial" w:cs="Arial"/>
          <w:color w:val="0070C0"/>
          <w:sz w:val="18"/>
          <w:szCs w:val="18"/>
        </w:rPr>
        <w:t xml:space="preserve">Tableau </w:t>
      </w:r>
      <w:r w:rsidR="004C208B">
        <w:rPr>
          <w:rFonts w:ascii="Arial" w:eastAsia="Arial" w:hAnsi="Arial" w:cs="Arial"/>
          <w:color w:val="0070C0"/>
          <w:sz w:val="18"/>
          <w:szCs w:val="18"/>
        </w:rPr>
        <w:t>2</w:t>
      </w:r>
      <w:r>
        <w:rPr>
          <w:rFonts w:ascii="Arial" w:eastAsia="Arial" w:hAnsi="Arial" w:cs="Arial"/>
          <w:color w:val="0070C0"/>
          <w:sz w:val="18"/>
          <w:szCs w:val="18"/>
        </w:rPr>
        <w:t> : Critères pronostiques de la sarcoïdose.</w:t>
      </w:r>
    </w:p>
    <w:tbl>
      <w:tblPr>
        <w:tblW w:w="9067" w:type="dxa"/>
        <w:tblBorders>
          <w:top w:val="single" w:sz="2" w:space="0" w:color="0070C0"/>
          <w:left w:val="single" w:sz="2" w:space="0" w:color="0070C0"/>
          <w:bottom w:val="single" w:sz="2" w:space="0" w:color="0070C0"/>
          <w:right w:val="single" w:sz="2" w:space="0" w:color="0070C0"/>
          <w:insideH w:val="single" w:sz="2" w:space="0" w:color="0070C0"/>
          <w:insideV w:val="single" w:sz="2" w:space="0" w:color="0070C0"/>
        </w:tblBorders>
        <w:tblLayout w:type="fixed"/>
        <w:tblLook w:val="0400" w:firstRow="0" w:lastRow="0" w:firstColumn="0" w:lastColumn="0" w:noHBand="0" w:noVBand="1"/>
      </w:tblPr>
      <w:tblGrid>
        <w:gridCol w:w="5524"/>
        <w:gridCol w:w="3543"/>
      </w:tblGrid>
      <w:tr w:rsidR="00EC2F22" w14:paraId="346D70A4" w14:textId="77777777" w:rsidTr="00127CAC">
        <w:tc>
          <w:tcPr>
            <w:tcW w:w="5524" w:type="dxa"/>
            <w:shd w:val="clear" w:color="auto" w:fill="0070C0"/>
          </w:tcPr>
          <w:p w14:paraId="7B178453" w14:textId="77777777" w:rsidR="00EC2F22" w:rsidRDefault="00EC2F22" w:rsidP="00F155BE">
            <w:pPr>
              <w:pBdr>
                <w:top w:val="nil"/>
                <w:left w:val="nil"/>
                <w:bottom w:val="nil"/>
                <w:right w:val="nil"/>
                <w:between w:val="nil"/>
              </w:pBdr>
              <w:spacing w:line="276" w:lineRule="auto"/>
              <w:jc w:val="center"/>
              <w:rPr>
                <w:rFonts w:ascii="Calibri" w:eastAsia="Calibri" w:hAnsi="Calibri" w:cs="Calibri"/>
                <w:b/>
                <w:bCs/>
                <w:color w:val="FFFFFF"/>
                <w:sz w:val="18"/>
                <w:szCs w:val="18"/>
              </w:rPr>
            </w:pPr>
            <w:r>
              <w:rPr>
                <w:rFonts w:ascii="Calibri" w:eastAsia="Calibri" w:hAnsi="Calibri" w:cs="Calibri"/>
                <w:b/>
                <w:bCs/>
                <w:color w:val="FFFFFF"/>
              </w:rPr>
              <w:t>Défavorables</w:t>
            </w:r>
          </w:p>
        </w:tc>
        <w:tc>
          <w:tcPr>
            <w:tcW w:w="3543" w:type="dxa"/>
            <w:shd w:val="clear" w:color="auto" w:fill="0070C0"/>
          </w:tcPr>
          <w:p w14:paraId="503C4D47" w14:textId="77777777" w:rsidR="00EC2F22" w:rsidRDefault="00EC2F22" w:rsidP="00F155BE">
            <w:pPr>
              <w:pBdr>
                <w:top w:val="nil"/>
                <w:left w:val="nil"/>
                <w:bottom w:val="nil"/>
                <w:right w:val="nil"/>
                <w:between w:val="nil"/>
              </w:pBdr>
              <w:spacing w:line="276" w:lineRule="auto"/>
              <w:jc w:val="center"/>
              <w:rPr>
                <w:rFonts w:ascii="Calibri" w:eastAsia="Calibri" w:hAnsi="Calibri" w:cs="Calibri"/>
                <w:b/>
                <w:bCs/>
                <w:color w:val="FFFFFF"/>
                <w:sz w:val="18"/>
                <w:szCs w:val="18"/>
              </w:rPr>
            </w:pPr>
            <w:r>
              <w:rPr>
                <w:rFonts w:ascii="Calibri" w:eastAsia="Calibri" w:hAnsi="Calibri" w:cs="Calibri"/>
                <w:b/>
                <w:bCs/>
                <w:color w:val="FFFFFF"/>
              </w:rPr>
              <w:t>Favorables</w:t>
            </w:r>
          </w:p>
        </w:tc>
      </w:tr>
      <w:tr w:rsidR="00EC2F22" w14:paraId="6904B3F5" w14:textId="77777777" w:rsidTr="00127CAC">
        <w:tc>
          <w:tcPr>
            <w:tcW w:w="5524" w:type="dxa"/>
          </w:tcPr>
          <w:p w14:paraId="658700DE"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rPr>
            </w:pPr>
            <w:r>
              <w:rPr>
                <w:rFonts w:ascii="Calibri" w:eastAsia="Calibri" w:hAnsi="Calibri" w:cs="Calibri"/>
                <w:color w:val="0070C0"/>
              </w:rPr>
              <w:t>Début après 40 ans</w:t>
            </w:r>
          </w:p>
          <w:p w14:paraId="073934D2"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rPr>
            </w:pPr>
            <w:r>
              <w:rPr>
                <w:rFonts w:ascii="Calibri" w:eastAsia="Calibri" w:hAnsi="Calibri" w:cs="Calibri"/>
                <w:color w:val="0070C0"/>
              </w:rPr>
              <w:t>Chronicité</w:t>
            </w:r>
          </w:p>
          <w:p w14:paraId="38AC0C8B"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Stades III/IV radiographiques</w:t>
            </w:r>
            <w:r>
              <w:rPr>
                <w:rFonts w:ascii="Calibri" w:eastAsia="Calibri" w:hAnsi="Calibri" w:cs="Calibri"/>
                <w:color w:val="0070C0"/>
              </w:rPr>
              <w:tab/>
            </w:r>
            <w:r>
              <w:rPr>
                <w:rFonts w:ascii="Calibri" w:eastAsia="Calibri" w:hAnsi="Calibri" w:cs="Calibri"/>
                <w:color w:val="0070C0"/>
              </w:rPr>
              <w:tab/>
            </w:r>
          </w:p>
          <w:p w14:paraId="3B6A0970"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Syndrome obstructif aux EFR</w:t>
            </w:r>
          </w:p>
          <w:p w14:paraId="6DF8D877"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Localisations extra-respiratoires graves ou chroniques*</w:t>
            </w:r>
          </w:p>
          <w:p w14:paraId="7E9531B5"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xml:space="preserve">Afro-descendance   </w:t>
            </w:r>
            <w:r>
              <w:rPr>
                <w:rFonts w:ascii="Calibri" w:eastAsia="Calibri" w:hAnsi="Calibri" w:cs="Calibri"/>
                <w:color w:val="0070C0"/>
              </w:rPr>
              <w:tab/>
            </w:r>
            <w:r>
              <w:rPr>
                <w:rFonts w:ascii="Calibri" w:eastAsia="Calibri" w:hAnsi="Calibri" w:cs="Calibri"/>
                <w:color w:val="0070C0"/>
              </w:rPr>
              <w:tab/>
            </w:r>
            <w:r>
              <w:rPr>
                <w:rFonts w:ascii="Calibri" w:eastAsia="Calibri" w:hAnsi="Calibri" w:cs="Calibri"/>
                <w:color w:val="0070C0"/>
              </w:rPr>
              <w:tab/>
              <w:t xml:space="preserve">            </w:t>
            </w:r>
          </w:p>
          <w:p w14:paraId="3CA0DCEC"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sz w:val="18"/>
                <w:szCs w:val="18"/>
              </w:rPr>
            </w:pPr>
            <w:r>
              <w:rPr>
                <w:rFonts w:ascii="Calibri" w:eastAsia="Calibri" w:hAnsi="Calibri" w:cs="Calibri"/>
                <w:color w:val="0070C0"/>
              </w:rPr>
              <w:t>Atteinte multi viscérale de &gt;3 organes</w:t>
            </w:r>
            <w:r>
              <w:rPr>
                <w:rFonts w:ascii="Calibri" w:eastAsia="Calibri" w:hAnsi="Calibri" w:cs="Calibri"/>
                <w:color w:val="0070C0"/>
              </w:rPr>
              <w:tab/>
            </w:r>
          </w:p>
        </w:tc>
        <w:tc>
          <w:tcPr>
            <w:tcW w:w="3543" w:type="dxa"/>
          </w:tcPr>
          <w:p w14:paraId="0248206E"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rPr>
            </w:pPr>
            <w:r>
              <w:rPr>
                <w:rFonts w:ascii="Calibri" w:eastAsia="Calibri" w:hAnsi="Calibri" w:cs="Calibri"/>
                <w:color w:val="0070C0"/>
              </w:rPr>
              <w:t>Érythème noueux</w:t>
            </w:r>
          </w:p>
          <w:p w14:paraId="2410D582"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rPr>
            </w:pPr>
            <w:r>
              <w:rPr>
                <w:rFonts w:ascii="Calibri" w:eastAsia="Calibri" w:hAnsi="Calibri" w:cs="Calibri"/>
                <w:color w:val="0070C0"/>
              </w:rPr>
              <w:t>Forme aiguë (par exemple uvéite aiguë)</w:t>
            </w:r>
          </w:p>
          <w:p w14:paraId="34DBA2E3" w14:textId="77777777" w:rsidR="00EC2F22" w:rsidRDefault="00EC2F22" w:rsidP="00F155BE">
            <w:pPr>
              <w:pBdr>
                <w:top w:val="nil"/>
                <w:left w:val="nil"/>
                <w:bottom w:val="nil"/>
                <w:right w:val="nil"/>
                <w:between w:val="nil"/>
              </w:pBdr>
              <w:spacing w:line="276" w:lineRule="auto"/>
              <w:rPr>
                <w:rFonts w:ascii="Calibri" w:eastAsia="Calibri" w:hAnsi="Calibri" w:cs="Calibri"/>
                <w:color w:val="0070C0"/>
                <w:sz w:val="18"/>
                <w:szCs w:val="18"/>
              </w:rPr>
            </w:pPr>
            <w:r>
              <w:rPr>
                <w:rFonts w:ascii="Calibri" w:eastAsia="Calibri" w:hAnsi="Calibri" w:cs="Calibri"/>
                <w:color w:val="0070C0"/>
              </w:rPr>
              <w:t>Stade I asymptomatique</w:t>
            </w:r>
          </w:p>
        </w:tc>
      </w:tr>
    </w:tbl>
    <w:p w14:paraId="7478A181" w14:textId="77777777" w:rsidR="00EC2F22" w:rsidRDefault="00EC2F22" w:rsidP="00F155BE">
      <w:pPr>
        <w:pBdr>
          <w:top w:val="nil"/>
          <w:left w:val="nil"/>
          <w:bottom w:val="nil"/>
          <w:right w:val="nil"/>
          <w:between w:val="nil"/>
        </w:pBdr>
        <w:spacing w:line="276" w:lineRule="auto"/>
        <w:rPr>
          <w:rFonts w:ascii="Arial" w:eastAsia="Arial" w:hAnsi="Arial" w:cs="Arial"/>
          <w:b/>
          <w:bCs/>
          <w:color w:val="0070C0"/>
          <w:sz w:val="18"/>
          <w:szCs w:val="18"/>
        </w:rPr>
      </w:pPr>
      <w:r>
        <w:rPr>
          <w:rFonts w:ascii="Arial" w:eastAsia="Arial" w:hAnsi="Arial" w:cs="Arial"/>
          <w:b/>
          <w:bCs/>
          <w:smallCaps/>
          <w:color w:val="0070C0"/>
          <w:sz w:val="18"/>
          <w:szCs w:val="18"/>
        </w:rPr>
        <w:t>*</w:t>
      </w:r>
      <w:r>
        <w:rPr>
          <w:rFonts w:ascii="Arial" w:eastAsia="Arial" w:hAnsi="Arial" w:cs="Arial"/>
          <w:color w:val="0070C0"/>
          <w:sz w:val="18"/>
          <w:szCs w:val="18"/>
        </w:rPr>
        <w:t xml:space="preserve"> atteinte neurologique centrale, atteinte cardiaque, lupus </w:t>
      </w:r>
      <w:proofErr w:type="spellStart"/>
      <w:r>
        <w:rPr>
          <w:rFonts w:ascii="Arial" w:eastAsia="Arial" w:hAnsi="Arial" w:cs="Arial"/>
          <w:color w:val="0070C0"/>
          <w:sz w:val="18"/>
          <w:szCs w:val="18"/>
        </w:rPr>
        <w:t>pernio</w:t>
      </w:r>
      <w:proofErr w:type="spellEnd"/>
      <w:r>
        <w:rPr>
          <w:rFonts w:ascii="Arial" w:eastAsia="Arial" w:hAnsi="Arial" w:cs="Arial"/>
          <w:color w:val="0070C0"/>
          <w:sz w:val="18"/>
          <w:szCs w:val="18"/>
        </w:rPr>
        <w:t>, uvéite chronique/postérieure, hypercalcémie chronique, néphrocalcinose, atteinte osseuse, rénale, ORL, splénomégalie</w:t>
      </w:r>
    </w:p>
    <w:p w14:paraId="52D8DA75" w14:textId="77777777" w:rsidR="00EC2F22" w:rsidRDefault="00EC2F22" w:rsidP="00F155BE">
      <w:pPr>
        <w:spacing w:line="276" w:lineRule="auto"/>
        <w:rPr>
          <w:b/>
          <w:bCs/>
          <w:color w:val="0070C0"/>
        </w:rPr>
      </w:pPr>
    </w:p>
    <w:p w14:paraId="64419970" w14:textId="77777777" w:rsidR="00EC2F22" w:rsidRDefault="00EC2F22" w:rsidP="00127CAC">
      <w:pPr>
        <w:pStyle w:val="titredepartie"/>
      </w:pPr>
      <w:r>
        <w:t>DEMARCHE diagnostiQUE RESUMEE</w:t>
      </w:r>
    </w:p>
    <w:p w14:paraId="43A83CD9" w14:textId="77777777" w:rsidR="00EC2F22" w:rsidRDefault="00EC2F22" w:rsidP="00F155BE">
      <w:pPr>
        <w:spacing w:line="276" w:lineRule="auto"/>
        <w:rPr>
          <w:i/>
          <w:iCs/>
        </w:rPr>
      </w:pPr>
      <w:r>
        <w:rPr>
          <w:b/>
          <w:bCs/>
          <w:i/>
          <w:iCs/>
        </w:rPr>
        <w:t xml:space="preserve">Le diagnostic de sarcoïdose repose </w:t>
      </w:r>
      <w:r>
        <w:rPr>
          <w:i/>
          <w:iCs/>
        </w:rPr>
        <w:t xml:space="preserve">sur 3 éléments : </w:t>
      </w:r>
    </w:p>
    <w:p w14:paraId="28331E89" w14:textId="77777777" w:rsidR="00EC2F22" w:rsidRDefault="00EC2F22" w:rsidP="00F155BE">
      <w:pPr>
        <w:spacing w:line="276" w:lineRule="auto"/>
      </w:pPr>
      <w:r>
        <w:t xml:space="preserve">- Présentation </w:t>
      </w:r>
      <w:proofErr w:type="spellStart"/>
      <w:r>
        <w:t>clinico</w:t>
      </w:r>
      <w:proofErr w:type="spellEnd"/>
      <w:r>
        <w:t>-radiographique évocatrice ou au moins compatible.</w:t>
      </w:r>
    </w:p>
    <w:p w14:paraId="4C272F1B" w14:textId="77777777" w:rsidR="00EC2F22" w:rsidRDefault="00EC2F22" w:rsidP="00F155BE">
      <w:pPr>
        <w:spacing w:line="276" w:lineRule="auto"/>
      </w:pPr>
      <w:r>
        <w:t>- Mise en évidence de granulomes typiques sans nécrose caséeuse (Figure 1).</w:t>
      </w:r>
    </w:p>
    <w:p w14:paraId="164707A3" w14:textId="77777777" w:rsidR="00EC2F22" w:rsidRDefault="00EC2F22" w:rsidP="00F155BE">
      <w:pPr>
        <w:spacing w:line="276" w:lineRule="auto"/>
      </w:pPr>
      <w:r>
        <w:t>- Élimination des autres granulomatoses (tableau 4).</w:t>
      </w:r>
    </w:p>
    <w:p w14:paraId="3DFCB01D" w14:textId="77777777" w:rsidR="00EC2F22" w:rsidRDefault="00EC2F22" w:rsidP="00F155BE">
      <w:pPr>
        <w:spacing w:line="276" w:lineRule="auto"/>
        <w:rPr>
          <w:b/>
          <w:bCs/>
          <w:smallCaps/>
        </w:rPr>
      </w:pPr>
    </w:p>
    <w:p w14:paraId="21FD0F58" w14:textId="77777777" w:rsidR="00EC2F22" w:rsidRDefault="00EC2F22" w:rsidP="00F155BE">
      <w:pPr>
        <w:spacing w:line="276" w:lineRule="auto"/>
        <w:rPr>
          <w:b/>
          <w:bCs/>
          <w:smallCaps/>
        </w:rPr>
      </w:pPr>
      <w:r>
        <w:rPr>
          <w:b/>
          <w:bCs/>
          <w:smallCaps/>
        </w:rPr>
        <w:t xml:space="preserve">ETAPE 1 </w:t>
      </w:r>
      <w:r>
        <w:rPr>
          <w:b/>
          <w:bCs/>
        </w:rPr>
        <w:t xml:space="preserve">= présentation </w:t>
      </w:r>
      <w:proofErr w:type="spellStart"/>
      <w:r>
        <w:rPr>
          <w:b/>
          <w:bCs/>
        </w:rPr>
        <w:t>clinico</w:t>
      </w:r>
      <w:proofErr w:type="spellEnd"/>
      <w:r>
        <w:t>-</w:t>
      </w:r>
      <w:r>
        <w:rPr>
          <w:b/>
          <w:bCs/>
        </w:rPr>
        <w:t xml:space="preserve">radiologique évocatrice : </w:t>
      </w:r>
    </w:p>
    <w:p w14:paraId="04426F66" w14:textId="77777777" w:rsidR="00EC2F22" w:rsidRDefault="00EC2F22" w:rsidP="00F155BE">
      <w:pPr>
        <w:spacing w:line="276" w:lineRule="auto"/>
        <w:rPr>
          <w:b/>
          <w:bCs/>
        </w:rPr>
      </w:pPr>
      <w:r>
        <w:t xml:space="preserve">Le diagnostic de sarcoïdose est évoqué devant l’une ou plusieurs des manifestations décrites ci-dessus et impose une exploration initiale systématique afin d’affirmer le diagnostic en éliminant les diagnostics différentiels, de rechercher l’atteinte de certains organes et d’évaluer le retentissement pulmonaire de la maladie et l’activité de la maladie (tableau 3). </w:t>
      </w:r>
    </w:p>
    <w:p w14:paraId="03B85A06" w14:textId="77777777" w:rsidR="00EC2F22" w:rsidRDefault="00EC2F22" w:rsidP="00F155BE">
      <w:pPr>
        <w:spacing w:line="276" w:lineRule="auto"/>
        <w:rPr>
          <w:b/>
          <w:bCs/>
        </w:rPr>
      </w:pPr>
    </w:p>
    <w:p w14:paraId="526253F9" w14:textId="77777777" w:rsidR="00EC2F22" w:rsidRDefault="00EC2F22" w:rsidP="00F155BE">
      <w:pPr>
        <w:pBdr>
          <w:top w:val="nil"/>
          <w:left w:val="nil"/>
          <w:bottom w:val="nil"/>
          <w:right w:val="nil"/>
          <w:between w:val="nil"/>
        </w:pBdr>
        <w:spacing w:line="276" w:lineRule="auto"/>
        <w:rPr>
          <w:rFonts w:ascii="Arial" w:eastAsia="Arial" w:hAnsi="Arial" w:cs="Arial"/>
          <w:sz w:val="18"/>
          <w:szCs w:val="18"/>
        </w:rPr>
      </w:pPr>
      <w:bookmarkStart w:id="4" w:name="_heading=h.kyy1p358h9cv" w:colFirst="0" w:colLast="0"/>
      <w:bookmarkEnd w:id="4"/>
      <w:r>
        <w:rPr>
          <w:rFonts w:ascii="Arial" w:eastAsia="Arial" w:hAnsi="Arial" w:cs="Arial"/>
          <w:sz w:val="18"/>
          <w:szCs w:val="18"/>
        </w:rPr>
        <w:t xml:space="preserve">Tableau 3 : Bilan initial proposé dans la </w:t>
      </w:r>
      <w:sdt>
        <w:sdtPr>
          <w:tag w:val="goog_rdk_3"/>
          <w:id w:val="830514148"/>
        </w:sdtPr>
        <w:sdtContent/>
      </w:sdt>
      <w:r>
        <w:rPr>
          <w:rFonts w:ascii="Arial" w:eastAsia="Arial" w:hAnsi="Arial" w:cs="Arial"/>
          <w:sz w:val="18"/>
          <w:szCs w:val="18"/>
        </w:rPr>
        <w:t>sarcoïdose.</w:t>
      </w:r>
    </w:p>
    <w:tbl>
      <w:tblPr>
        <w:tblW w:w="9067" w:type="dxa"/>
        <w:tblBorders>
          <w:top w:val="single" w:sz="2" w:space="0" w:color="747474" w:themeColor="background2" w:themeShade="80"/>
          <w:left w:val="single" w:sz="2" w:space="0" w:color="747474" w:themeColor="background2" w:themeShade="80"/>
          <w:bottom w:val="single" w:sz="2" w:space="0" w:color="747474" w:themeColor="background2" w:themeShade="80"/>
          <w:right w:val="single" w:sz="2" w:space="0" w:color="747474" w:themeColor="background2" w:themeShade="80"/>
          <w:insideH w:val="single" w:sz="2" w:space="0" w:color="747474" w:themeColor="background2" w:themeShade="80"/>
          <w:insideV w:val="single" w:sz="2" w:space="0" w:color="747474" w:themeColor="background2" w:themeShade="80"/>
        </w:tblBorders>
        <w:tblLayout w:type="fixed"/>
        <w:tblLook w:val="0400" w:firstRow="0" w:lastRow="0" w:firstColumn="0" w:lastColumn="0" w:noHBand="0" w:noVBand="1"/>
      </w:tblPr>
      <w:tblGrid>
        <w:gridCol w:w="1840"/>
        <w:gridCol w:w="7227"/>
      </w:tblGrid>
      <w:tr w:rsidR="00EC2F22" w14:paraId="6361BCA3" w14:textId="77777777" w:rsidTr="00127CAC">
        <w:tc>
          <w:tcPr>
            <w:tcW w:w="1840" w:type="dxa"/>
            <w:shd w:val="clear" w:color="auto" w:fill="D1D1D1" w:themeFill="background2" w:themeFillShade="E6"/>
            <w:vAlign w:val="center"/>
          </w:tcPr>
          <w:p w14:paraId="213C4F5A" w14:textId="77777777" w:rsidR="00EC2F22" w:rsidRPr="00127CAC" w:rsidRDefault="00EC2F22" w:rsidP="00F155BE">
            <w:pPr>
              <w:spacing w:line="276" w:lineRule="auto"/>
              <w:jc w:val="center"/>
              <w:rPr>
                <w:rFonts w:ascii="Calibri" w:eastAsia="Calibri" w:hAnsi="Calibri" w:cs="Calibri"/>
                <w:b/>
                <w:bCs/>
                <w:color w:val="000000" w:themeColor="text1"/>
              </w:rPr>
            </w:pPr>
            <w:r w:rsidRPr="00127CAC">
              <w:rPr>
                <w:rFonts w:ascii="Calibri" w:eastAsia="Calibri" w:hAnsi="Calibri" w:cs="Calibri"/>
                <w:b/>
                <w:bCs/>
                <w:color w:val="000000" w:themeColor="text1"/>
              </w:rPr>
              <w:t>Entretien</w:t>
            </w:r>
          </w:p>
        </w:tc>
        <w:tc>
          <w:tcPr>
            <w:tcW w:w="7227" w:type="dxa"/>
          </w:tcPr>
          <w:p w14:paraId="21BCE5A5" w14:textId="77777777" w:rsidR="00EC2F22" w:rsidRDefault="00EC2F22" w:rsidP="00F155BE">
            <w:pPr>
              <w:spacing w:line="276" w:lineRule="auto"/>
              <w:rPr>
                <w:rFonts w:ascii="Calibri" w:eastAsia="Calibri" w:hAnsi="Calibri" w:cs="Calibri"/>
              </w:rPr>
            </w:pPr>
            <w:r>
              <w:rPr>
                <w:rFonts w:ascii="Calibri" w:eastAsia="Calibri" w:hAnsi="Calibri" w:cs="Calibri"/>
              </w:rPr>
              <w:t>- Diagnostic positif : antécédent familial de sarcoïdose, personnel d’érythème noueux.</w:t>
            </w:r>
          </w:p>
          <w:p w14:paraId="66C2BC63" w14:textId="77777777" w:rsidR="00EC2F22" w:rsidRDefault="00EC2F22" w:rsidP="00F155BE">
            <w:pPr>
              <w:spacing w:line="276" w:lineRule="auto"/>
              <w:rPr>
                <w:rFonts w:ascii="Calibri" w:eastAsia="Calibri" w:hAnsi="Calibri" w:cs="Calibri"/>
              </w:rPr>
            </w:pPr>
            <w:r>
              <w:rPr>
                <w:rFonts w:ascii="Calibri" w:eastAsia="Calibri" w:hAnsi="Calibri" w:cs="Calibri"/>
              </w:rPr>
              <w:t>- Diagnostic différentiel : exposition professionnelle (béryllium) environnementale (PHS), médicamenteuse, infections à répétitions (DICV), contage tuberculeux et séjour en zone d’endémie.</w:t>
            </w:r>
          </w:p>
          <w:p w14:paraId="57C20CD0" w14:textId="77777777" w:rsidR="00EC2F22" w:rsidRDefault="00EC2F22" w:rsidP="00F155BE">
            <w:pPr>
              <w:spacing w:line="276" w:lineRule="auto"/>
              <w:rPr>
                <w:rFonts w:ascii="Calibri" w:eastAsia="Calibri" w:hAnsi="Calibri" w:cs="Calibri"/>
              </w:rPr>
            </w:pPr>
            <w:r>
              <w:rPr>
                <w:rFonts w:ascii="Calibri" w:eastAsia="Calibri" w:hAnsi="Calibri" w:cs="Calibri"/>
              </w:rPr>
              <w:t xml:space="preserve">- Bilan pré-thérapeutique  </w:t>
            </w:r>
          </w:p>
          <w:p w14:paraId="4A726227" w14:textId="77777777" w:rsidR="00EC2F22" w:rsidRDefault="00EC2F22" w:rsidP="00F155BE">
            <w:pPr>
              <w:numPr>
                <w:ilvl w:val="1"/>
                <w:numId w:val="38"/>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Corticoïdes : risque cardiovasculaire, obésité, diabète, ostéoporose, psychose, dépression grave et antécédent de tentative de suicide.</w:t>
            </w:r>
          </w:p>
          <w:p w14:paraId="212C3CCC" w14:textId="77777777" w:rsidR="00EC2F22" w:rsidRDefault="00EC2F22" w:rsidP="00F155BE">
            <w:pPr>
              <w:numPr>
                <w:ilvl w:val="1"/>
                <w:numId w:val="38"/>
              </w:numPr>
              <w:pBdr>
                <w:top w:val="nil"/>
                <w:left w:val="nil"/>
                <w:bottom w:val="nil"/>
                <w:right w:val="nil"/>
                <w:between w:val="nil"/>
              </w:pBdr>
              <w:spacing w:line="276" w:lineRule="auto"/>
              <w:ind w:left="347" w:hanging="142"/>
              <w:rPr>
                <w:rFonts w:ascii="Calibri" w:eastAsia="Calibri" w:hAnsi="Calibri" w:cs="Calibri"/>
              </w:rPr>
            </w:pPr>
            <w:proofErr w:type="spellStart"/>
            <w:r>
              <w:rPr>
                <w:rFonts w:ascii="Calibri" w:eastAsia="Calibri" w:hAnsi="Calibri" w:cs="Calibri"/>
              </w:rPr>
              <w:t>Hydroxycholoroquine</w:t>
            </w:r>
            <w:proofErr w:type="spellEnd"/>
            <w:r>
              <w:rPr>
                <w:rFonts w:ascii="Calibri" w:eastAsia="Calibri" w:hAnsi="Calibri" w:cs="Calibri"/>
              </w:rPr>
              <w:t> : antécédent de rétinopathie.</w:t>
            </w:r>
          </w:p>
          <w:p w14:paraId="392534A7" w14:textId="77777777" w:rsidR="00EC2F22" w:rsidRDefault="00EC2F22" w:rsidP="00F155BE">
            <w:pPr>
              <w:numPr>
                <w:ilvl w:val="1"/>
                <w:numId w:val="38"/>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lastRenderedPageBreak/>
              <w:t>Immunosuppresseurs : désir d’enfants (méthotrexate).</w:t>
            </w:r>
          </w:p>
        </w:tc>
      </w:tr>
      <w:tr w:rsidR="00EC2F22" w14:paraId="7256729C" w14:textId="77777777" w:rsidTr="00127CAC">
        <w:tc>
          <w:tcPr>
            <w:tcW w:w="1840" w:type="dxa"/>
            <w:shd w:val="clear" w:color="auto" w:fill="D1D1D1" w:themeFill="background2" w:themeFillShade="E6"/>
            <w:vAlign w:val="center"/>
          </w:tcPr>
          <w:p w14:paraId="378EAE7A" w14:textId="77777777" w:rsidR="00EC2F22" w:rsidRPr="00127CAC" w:rsidRDefault="00EC2F22" w:rsidP="00F155BE">
            <w:pPr>
              <w:spacing w:line="276" w:lineRule="auto"/>
              <w:jc w:val="center"/>
              <w:rPr>
                <w:rFonts w:ascii="Calibri" w:eastAsia="Calibri" w:hAnsi="Calibri" w:cs="Calibri"/>
                <w:b/>
                <w:bCs/>
                <w:color w:val="000000" w:themeColor="text1"/>
              </w:rPr>
            </w:pPr>
            <w:r w:rsidRPr="00127CAC">
              <w:rPr>
                <w:rFonts w:ascii="Calibri" w:eastAsia="Calibri" w:hAnsi="Calibri" w:cs="Calibri"/>
                <w:b/>
                <w:bCs/>
                <w:color w:val="000000" w:themeColor="text1"/>
              </w:rPr>
              <w:lastRenderedPageBreak/>
              <w:t>Examen clinique</w:t>
            </w:r>
          </w:p>
        </w:tc>
        <w:tc>
          <w:tcPr>
            <w:tcW w:w="7227" w:type="dxa"/>
          </w:tcPr>
          <w:p w14:paraId="77C8626C" w14:textId="77777777" w:rsidR="00EC2F22" w:rsidRDefault="00EC2F22" w:rsidP="00F155BE">
            <w:pPr>
              <w:spacing w:line="276" w:lineRule="auto"/>
              <w:rPr>
                <w:rFonts w:ascii="Calibri" w:eastAsia="Calibri" w:hAnsi="Calibri" w:cs="Calibri"/>
              </w:rPr>
            </w:pPr>
            <w:r>
              <w:rPr>
                <w:rFonts w:ascii="Calibri" w:eastAsia="Calibri" w:hAnsi="Calibri" w:cs="Calibri"/>
              </w:rPr>
              <w:t>- Examen clinique complet :</w:t>
            </w:r>
          </w:p>
          <w:p w14:paraId="5D74BCD9" w14:textId="77777777" w:rsidR="00EC2F22" w:rsidRDefault="00EC2F22" w:rsidP="00F155BE">
            <w:pPr>
              <w:numPr>
                <w:ilvl w:val="1"/>
                <w:numId w:val="39"/>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État général et retentissement sur la qualité de vie.</w:t>
            </w:r>
          </w:p>
          <w:p w14:paraId="627DB529" w14:textId="77777777" w:rsidR="00EC2F22" w:rsidRDefault="00EC2F22" w:rsidP="00F155BE">
            <w:pPr>
              <w:numPr>
                <w:ilvl w:val="1"/>
                <w:numId w:val="39"/>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Examen respiratoire, cardiologique (palpitations, syncope, douleurs thoraciques), cutané, des aires ganglionnaires, neurologique, ORL.</w:t>
            </w:r>
          </w:p>
          <w:p w14:paraId="0B9BC80E" w14:textId="77777777" w:rsidR="00EC2F22" w:rsidRDefault="00EC2F22" w:rsidP="00F155BE">
            <w:pPr>
              <w:spacing w:line="276" w:lineRule="auto"/>
              <w:rPr>
                <w:rFonts w:ascii="Calibri" w:eastAsia="Calibri" w:hAnsi="Calibri" w:cs="Calibri"/>
              </w:rPr>
            </w:pPr>
            <w:r>
              <w:rPr>
                <w:rFonts w:ascii="Calibri" w:eastAsia="Calibri" w:hAnsi="Calibri" w:cs="Calibri"/>
              </w:rPr>
              <w:t>- Examen ophtalmologique spécialisé.</w:t>
            </w:r>
          </w:p>
        </w:tc>
      </w:tr>
      <w:tr w:rsidR="00EC2F22" w14:paraId="7C10E909" w14:textId="77777777" w:rsidTr="00127CAC">
        <w:tc>
          <w:tcPr>
            <w:tcW w:w="1840" w:type="dxa"/>
            <w:shd w:val="clear" w:color="auto" w:fill="D1D1D1" w:themeFill="background2" w:themeFillShade="E6"/>
            <w:vAlign w:val="center"/>
          </w:tcPr>
          <w:p w14:paraId="7977CD58" w14:textId="77777777" w:rsidR="00EC2F22" w:rsidRPr="00127CAC" w:rsidRDefault="00EC2F22" w:rsidP="00F155BE">
            <w:pPr>
              <w:spacing w:line="276" w:lineRule="auto"/>
              <w:jc w:val="center"/>
              <w:rPr>
                <w:rFonts w:ascii="Calibri" w:eastAsia="Calibri" w:hAnsi="Calibri" w:cs="Calibri"/>
                <w:b/>
                <w:bCs/>
                <w:color w:val="000000" w:themeColor="text1"/>
              </w:rPr>
            </w:pPr>
            <w:r w:rsidRPr="00127CAC">
              <w:rPr>
                <w:rFonts w:ascii="Calibri" w:eastAsia="Calibri" w:hAnsi="Calibri" w:cs="Calibri"/>
                <w:b/>
                <w:bCs/>
                <w:color w:val="000000" w:themeColor="text1"/>
              </w:rPr>
              <w:t>Examens biologiques</w:t>
            </w:r>
          </w:p>
        </w:tc>
        <w:tc>
          <w:tcPr>
            <w:tcW w:w="7227" w:type="dxa"/>
          </w:tcPr>
          <w:p w14:paraId="040DA0C8" w14:textId="77777777" w:rsidR="00EC2F22" w:rsidRDefault="00EC2F22" w:rsidP="00F155BE">
            <w:pPr>
              <w:spacing w:line="276" w:lineRule="auto"/>
              <w:rPr>
                <w:rFonts w:ascii="Calibri" w:eastAsia="Calibri" w:hAnsi="Calibri" w:cs="Calibri"/>
              </w:rPr>
            </w:pPr>
            <w:r>
              <w:rPr>
                <w:rFonts w:ascii="Calibri" w:eastAsia="Calibri" w:hAnsi="Calibri" w:cs="Calibri"/>
              </w:rPr>
              <w:t>- NFS, plaquettes, ionogramme sanguin, créatininémie, ASAT, ALAT, GGT, phosphatases alcalines, bilirubinémie, calcémie, calciurie des 24 h, EPP. Si dosage de la vitamine D compléter avec la mesure du calcitriol.</w:t>
            </w:r>
          </w:p>
          <w:p w14:paraId="19DDDD38" w14:textId="77777777" w:rsidR="00EC2F22" w:rsidRDefault="00EC2F22" w:rsidP="00F155BE">
            <w:pPr>
              <w:spacing w:line="276" w:lineRule="auto"/>
              <w:rPr>
                <w:rFonts w:ascii="Calibri" w:eastAsia="Calibri" w:hAnsi="Calibri" w:cs="Calibri"/>
              </w:rPr>
            </w:pPr>
            <w:r>
              <w:rPr>
                <w:rFonts w:ascii="Calibri" w:eastAsia="Calibri" w:hAnsi="Calibri" w:cs="Calibri"/>
              </w:rPr>
              <w:t>- Enzyme de conversion de l’angiotensine.</w:t>
            </w:r>
          </w:p>
          <w:p w14:paraId="6F7C6889" w14:textId="77777777" w:rsidR="00EC2F22" w:rsidRDefault="00EC2F22" w:rsidP="00F155BE">
            <w:pPr>
              <w:spacing w:line="276" w:lineRule="auto"/>
              <w:rPr>
                <w:rFonts w:ascii="Calibri" w:eastAsia="Calibri" w:hAnsi="Calibri" w:cs="Calibri"/>
              </w:rPr>
            </w:pPr>
            <w:r>
              <w:rPr>
                <w:rFonts w:ascii="Calibri" w:eastAsia="Calibri" w:hAnsi="Calibri" w:cs="Calibri"/>
              </w:rPr>
              <w:t>- Bilan pré-thérapeutique :</w:t>
            </w:r>
          </w:p>
          <w:p w14:paraId="12C33CA5" w14:textId="77777777" w:rsidR="00EC2F22" w:rsidRDefault="00EC2F22" w:rsidP="00F155BE">
            <w:pPr>
              <w:numPr>
                <w:ilvl w:val="1"/>
                <w:numId w:val="39"/>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IDR à la tuberculine ou test IGRA, chez les patients à risque épidémiologique de tuberculose et en cas de traitement par anti-TNF</w:t>
            </w:r>
            <w:r>
              <w:rPr>
                <w:rFonts w:ascii="Symbol" w:eastAsia="Symbol" w:hAnsi="Symbol" w:cs="Symbol"/>
              </w:rPr>
              <w:t>α</w:t>
            </w:r>
            <w:r>
              <w:rPr>
                <w:rFonts w:ascii="Calibri" w:eastAsia="Calibri" w:hAnsi="Calibri" w:cs="Calibri"/>
              </w:rPr>
              <w:t>.</w:t>
            </w:r>
          </w:p>
          <w:p w14:paraId="66FA3691" w14:textId="77777777" w:rsidR="00EC2F22" w:rsidRDefault="00EC2F22" w:rsidP="00F155BE">
            <w:pPr>
              <w:numPr>
                <w:ilvl w:val="1"/>
                <w:numId w:val="39"/>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Sérologie VIH, hépatite B et C en cas de traitement par corticoïdes ou immunosuppresseurs.</w:t>
            </w:r>
          </w:p>
          <w:p w14:paraId="280C5476" w14:textId="77777777" w:rsidR="00EC2F22" w:rsidRDefault="00EC2F22" w:rsidP="00F155BE">
            <w:pPr>
              <w:numPr>
                <w:ilvl w:val="1"/>
                <w:numId w:val="39"/>
              </w:numPr>
              <w:pBdr>
                <w:top w:val="nil"/>
                <w:left w:val="nil"/>
                <w:bottom w:val="nil"/>
                <w:right w:val="nil"/>
                <w:between w:val="nil"/>
              </w:pBdr>
              <w:spacing w:line="276" w:lineRule="auto"/>
              <w:ind w:left="347" w:hanging="142"/>
              <w:rPr>
                <w:rFonts w:ascii="Calibri" w:eastAsia="Calibri" w:hAnsi="Calibri" w:cs="Calibri"/>
              </w:rPr>
            </w:pPr>
            <w:r>
              <w:rPr>
                <w:rFonts w:ascii="Calibri" w:eastAsia="Calibri" w:hAnsi="Calibri" w:cs="Calibri"/>
              </w:rPr>
              <w:t>Glycémie à jeun, HbA1C en cas de traitement par corticoïdes.</w:t>
            </w:r>
          </w:p>
        </w:tc>
      </w:tr>
      <w:tr w:rsidR="00EC2F22" w14:paraId="2C85BB24" w14:textId="77777777" w:rsidTr="00127CAC">
        <w:tc>
          <w:tcPr>
            <w:tcW w:w="1840" w:type="dxa"/>
            <w:shd w:val="clear" w:color="auto" w:fill="D1D1D1" w:themeFill="background2" w:themeFillShade="E6"/>
            <w:vAlign w:val="center"/>
          </w:tcPr>
          <w:p w14:paraId="2FC90AFC" w14:textId="77777777" w:rsidR="00EC2F22" w:rsidRPr="00127CAC" w:rsidRDefault="00EC2F22" w:rsidP="00F155BE">
            <w:pPr>
              <w:spacing w:line="276" w:lineRule="auto"/>
              <w:jc w:val="center"/>
              <w:rPr>
                <w:rFonts w:ascii="Calibri" w:eastAsia="Calibri" w:hAnsi="Calibri" w:cs="Calibri"/>
                <w:b/>
                <w:bCs/>
                <w:color w:val="000000" w:themeColor="text1"/>
              </w:rPr>
            </w:pPr>
            <w:r w:rsidRPr="00127CAC">
              <w:rPr>
                <w:rFonts w:ascii="Calibri" w:eastAsia="Calibri" w:hAnsi="Calibri" w:cs="Calibri"/>
                <w:b/>
                <w:bCs/>
                <w:color w:val="000000" w:themeColor="text1"/>
              </w:rPr>
              <w:t>Autres examens complémentaires</w:t>
            </w:r>
          </w:p>
        </w:tc>
        <w:tc>
          <w:tcPr>
            <w:tcW w:w="7227" w:type="dxa"/>
          </w:tcPr>
          <w:p w14:paraId="4EB7442E" w14:textId="77777777" w:rsidR="00EC2F22" w:rsidRDefault="00EC2F22" w:rsidP="00F155BE">
            <w:pPr>
              <w:spacing w:line="276" w:lineRule="auto"/>
              <w:rPr>
                <w:rFonts w:ascii="Calibri" w:eastAsia="Calibri" w:hAnsi="Calibri" w:cs="Calibri"/>
              </w:rPr>
            </w:pPr>
            <w:r>
              <w:rPr>
                <w:rFonts w:ascii="Calibri" w:eastAsia="Calibri" w:hAnsi="Calibri" w:cs="Calibri"/>
              </w:rPr>
              <w:t>- Électrocardiogramme.</w:t>
            </w:r>
          </w:p>
          <w:p w14:paraId="67BF825C" w14:textId="77777777" w:rsidR="00EC2F22" w:rsidRDefault="00EC2F22" w:rsidP="00F155BE">
            <w:pPr>
              <w:spacing w:line="276" w:lineRule="auto"/>
              <w:rPr>
                <w:rFonts w:ascii="Calibri" w:eastAsia="Calibri" w:hAnsi="Calibri" w:cs="Calibri"/>
              </w:rPr>
            </w:pPr>
            <w:r>
              <w:rPr>
                <w:rFonts w:ascii="Calibri" w:eastAsia="Calibri" w:hAnsi="Calibri" w:cs="Calibri"/>
              </w:rPr>
              <w:t>- Radiographie thoracique de face et scanner thoracique.</w:t>
            </w:r>
          </w:p>
          <w:p w14:paraId="38F8E19C" w14:textId="77777777" w:rsidR="00EC2F22" w:rsidRDefault="00EC2F22" w:rsidP="00F155BE">
            <w:pPr>
              <w:spacing w:line="276" w:lineRule="auto"/>
              <w:rPr>
                <w:rFonts w:ascii="Calibri" w:eastAsia="Calibri" w:hAnsi="Calibri" w:cs="Calibri"/>
              </w:rPr>
            </w:pPr>
            <w:r>
              <w:rPr>
                <w:rFonts w:ascii="Calibri" w:eastAsia="Calibri" w:hAnsi="Calibri" w:cs="Calibri"/>
              </w:rPr>
              <w:t>- Spirométrie ± pléthysmographie ± épreuves aux béta2mimétiques ± DLCO.</w:t>
            </w:r>
          </w:p>
          <w:p w14:paraId="3EF3DD83" w14:textId="77777777" w:rsidR="00EC2F22" w:rsidRDefault="00EC2F22" w:rsidP="00F155BE">
            <w:pPr>
              <w:spacing w:line="276" w:lineRule="auto"/>
              <w:rPr>
                <w:rFonts w:ascii="Calibri" w:eastAsia="Calibri" w:hAnsi="Calibri" w:cs="Calibri"/>
              </w:rPr>
            </w:pPr>
            <w:r>
              <w:rPr>
                <w:rFonts w:ascii="Calibri" w:eastAsia="Calibri" w:hAnsi="Calibri" w:cs="Calibri"/>
              </w:rPr>
              <w:t>- Autres examens en fonction du contexte.</w:t>
            </w:r>
          </w:p>
        </w:tc>
      </w:tr>
    </w:tbl>
    <w:p w14:paraId="216911AC" w14:textId="77777777" w:rsidR="00EC2F22" w:rsidRDefault="00EC2F22" w:rsidP="00F155BE">
      <w:pPr>
        <w:pBdr>
          <w:top w:val="nil"/>
          <w:left w:val="nil"/>
          <w:bottom w:val="nil"/>
          <w:right w:val="nil"/>
          <w:between w:val="nil"/>
        </w:pBdr>
        <w:spacing w:line="276" w:lineRule="auto"/>
        <w:rPr>
          <w:rFonts w:ascii="Arial" w:eastAsia="Arial" w:hAnsi="Arial" w:cs="Arial"/>
          <w:sz w:val="18"/>
          <w:szCs w:val="18"/>
        </w:rPr>
      </w:pPr>
      <w:r>
        <w:rPr>
          <w:rFonts w:ascii="Arial" w:eastAsia="Arial" w:hAnsi="Arial" w:cs="Arial"/>
          <w:sz w:val="18"/>
          <w:szCs w:val="18"/>
        </w:rPr>
        <w:t>Abréviations : PHS : pneumopathie d’hypersensibilité ; DICV : déficit immunitaire commun variable </w:t>
      </w:r>
      <w:r>
        <w:rPr>
          <w:rFonts w:ascii="Arial" w:eastAsia="Arial" w:hAnsi="Arial" w:cs="Arial"/>
          <w:i/>
          <w:iCs/>
          <w:sz w:val="18"/>
          <w:szCs w:val="18"/>
        </w:rPr>
        <w:t xml:space="preserve">; </w:t>
      </w:r>
      <w:r>
        <w:rPr>
          <w:rFonts w:ascii="Arial" w:eastAsia="Arial" w:hAnsi="Arial" w:cs="Arial"/>
          <w:sz w:val="18"/>
          <w:szCs w:val="18"/>
        </w:rPr>
        <w:t xml:space="preserve">EPP : électrophorèse des protéines plasmatiques ; IDR : intradermoréaction ; IGRA : </w:t>
      </w:r>
      <w:proofErr w:type="spellStart"/>
      <w:r>
        <w:rPr>
          <w:rFonts w:ascii="Arial" w:eastAsia="Arial" w:hAnsi="Arial" w:cs="Arial"/>
          <w:i/>
          <w:iCs/>
          <w:sz w:val="18"/>
          <w:szCs w:val="18"/>
        </w:rPr>
        <w:t>Interferon</w:t>
      </w:r>
      <w:proofErr w:type="spellEnd"/>
      <w:r>
        <w:rPr>
          <w:rFonts w:ascii="Arial" w:eastAsia="Arial" w:hAnsi="Arial" w:cs="Arial"/>
          <w:i/>
          <w:iCs/>
          <w:sz w:val="18"/>
          <w:szCs w:val="18"/>
        </w:rPr>
        <w:t xml:space="preserve"> gamma release </w:t>
      </w:r>
      <w:proofErr w:type="spellStart"/>
      <w:r>
        <w:rPr>
          <w:rFonts w:ascii="Arial" w:eastAsia="Arial" w:hAnsi="Arial" w:cs="Arial"/>
          <w:i/>
          <w:iCs/>
          <w:sz w:val="18"/>
          <w:szCs w:val="18"/>
        </w:rPr>
        <w:t>assays</w:t>
      </w:r>
      <w:proofErr w:type="spellEnd"/>
      <w:r>
        <w:rPr>
          <w:rFonts w:ascii="Arial" w:eastAsia="Arial" w:hAnsi="Arial" w:cs="Arial"/>
          <w:sz w:val="18"/>
          <w:szCs w:val="18"/>
        </w:rPr>
        <w:t xml:space="preserve">, DLCO : diffusion du monoxyde de carbone. </w:t>
      </w:r>
    </w:p>
    <w:p w14:paraId="56D7B2CC" w14:textId="77777777" w:rsidR="00EC2F22" w:rsidRDefault="00EC2F22" w:rsidP="00F155BE">
      <w:pPr>
        <w:spacing w:line="276" w:lineRule="auto"/>
        <w:rPr>
          <w:b/>
          <w:bCs/>
        </w:rPr>
      </w:pPr>
    </w:p>
    <w:p w14:paraId="2BF3289B" w14:textId="77777777" w:rsidR="00EC2F22" w:rsidRDefault="00EC2F22" w:rsidP="00F155BE">
      <w:pPr>
        <w:spacing w:line="276" w:lineRule="auto"/>
      </w:pPr>
      <w:r>
        <w:t>Les autres investigations sont réalisées en fonction des points d’appel cliniques.</w:t>
      </w:r>
    </w:p>
    <w:p w14:paraId="2A699CC0" w14:textId="77777777" w:rsidR="00EC2F22" w:rsidRDefault="00EC2F22" w:rsidP="00F155BE">
      <w:pPr>
        <w:spacing w:line="276" w:lineRule="auto"/>
      </w:pPr>
      <w:r>
        <w:t>Aucun examen biologique n’est spécifique de la sarcoïdose</w:t>
      </w:r>
    </w:p>
    <w:p w14:paraId="30AF2E71" w14:textId="77777777" w:rsidR="00EC2F22" w:rsidRDefault="00EC2F22" w:rsidP="00F155BE">
      <w:pPr>
        <w:spacing w:line="276" w:lineRule="auto"/>
      </w:pPr>
    </w:p>
    <w:p w14:paraId="4B9583D6" w14:textId="77777777" w:rsidR="00EC2F22" w:rsidRDefault="00EC2F22" w:rsidP="00F155BE">
      <w:pPr>
        <w:spacing w:line="276" w:lineRule="auto"/>
        <w:rPr>
          <w:b/>
          <w:bCs/>
        </w:rPr>
      </w:pPr>
      <w:r>
        <w:rPr>
          <w:b/>
          <w:bCs/>
        </w:rPr>
        <w:t>Étape 2 : confirmation histologique</w:t>
      </w:r>
    </w:p>
    <w:p w14:paraId="41EF79F7" w14:textId="77777777" w:rsidR="00EC2F22" w:rsidRDefault="00EC2F22" w:rsidP="00F155BE">
      <w:pPr>
        <w:spacing w:line="276" w:lineRule="auto"/>
      </w:pPr>
      <w:r>
        <w:rPr>
          <w:b/>
          <w:bCs/>
        </w:rPr>
        <w:t>La mise en évidence de granulomes typiques reste le plus souvent nécessaire</w:t>
      </w:r>
      <w:r>
        <w:t xml:space="preserve">, sauf : </w:t>
      </w:r>
    </w:p>
    <w:p w14:paraId="1B26CEAD" w14:textId="77777777" w:rsidR="00EC2F22" w:rsidRDefault="00EC2F22" w:rsidP="00F155BE">
      <w:pPr>
        <w:numPr>
          <w:ilvl w:val="0"/>
          <w:numId w:val="30"/>
        </w:numPr>
        <w:pBdr>
          <w:top w:val="nil"/>
          <w:left w:val="nil"/>
          <w:bottom w:val="nil"/>
          <w:right w:val="nil"/>
          <w:between w:val="nil"/>
        </w:pBdr>
        <w:spacing w:line="276" w:lineRule="auto"/>
      </w:pPr>
      <w:r>
        <w:t>Pour certains tableaux cliniques quasi pathognomoniques</w:t>
      </w:r>
      <w:r>
        <w:rPr>
          <w:b/>
          <w:bCs/>
          <w:color w:val="EE0000"/>
        </w:rPr>
        <w:t xml:space="preserve"> </w:t>
      </w:r>
    </w:p>
    <w:p w14:paraId="3AD38370" w14:textId="77777777" w:rsidR="00EC2F22" w:rsidRDefault="00EC2F22" w:rsidP="00F155BE">
      <w:pPr>
        <w:numPr>
          <w:ilvl w:val="1"/>
          <w:numId w:val="30"/>
        </w:numPr>
        <w:pBdr>
          <w:top w:val="nil"/>
          <w:left w:val="nil"/>
          <w:bottom w:val="nil"/>
          <w:right w:val="nil"/>
          <w:between w:val="nil"/>
        </w:pBdr>
        <w:spacing w:line="276" w:lineRule="auto"/>
      </w:pPr>
      <w:r>
        <w:t>Syndrome de Löfgren.</w:t>
      </w:r>
    </w:p>
    <w:p w14:paraId="5F662931" w14:textId="77777777" w:rsidR="00EC2F22" w:rsidRDefault="00EC2F22" w:rsidP="00F155BE">
      <w:pPr>
        <w:numPr>
          <w:ilvl w:val="1"/>
          <w:numId w:val="30"/>
        </w:numPr>
        <w:pBdr>
          <w:top w:val="nil"/>
          <w:left w:val="nil"/>
          <w:bottom w:val="nil"/>
          <w:right w:val="nil"/>
          <w:between w:val="nil"/>
        </w:pBdr>
        <w:spacing w:line="276" w:lineRule="auto"/>
      </w:pPr>
      <w:r>
        <w:t>Syndrome d’Heerfordt.</w:t>
      </w:r>
    </w:p>
    <w:p w14:paraId="6D471DE8" w14:textId="77777777" w:rsidR="00EC2F22" w:rsidRDefault="00EC2F22" w:rsidP="00F155BE">
      <w:pPr>
        <w:numPr>
          <w:ilvl w:val="1"/>
          <w:numId w:val="30"/>
        </w:numPr>
        <w:pBdr>
          <w:top w:val="nil"/>
          <w:left w:val="nil"/>
          <w:bottom w:val="nil"/>
          <w:right w:val="nil"/>
          <w:between w:val="nil"/>
        </w:pBdr>
        <w:spacing w:line="276" w:lineRule="auto"/>
      </w:pPr>
      <w:r>
        <w:t xml:space="preserve">Lupus </w:t>
      </w:r>
      <w:proofErr w:type="spellStart"/>
      <w:r>
        <w:t>pernio</w:t>
      </w:r>
      <w:proofErr w:type="spellEnd"/>
      <w:r>
        <w:t xml:space="preserve"> associé à des adénopathies </w:t>
      </w:r>
      <w:proofErr w:type="spellStart"/>
      <w:r>
        <w:t>médiastino</w:t>
      </w:r>
      <w:proofErr w:type="spellEnd"/>
      <w:r>
        <w:t>-hilaires bilatérales.</w:t>
      </w:r>
    </w:p>
    <w:p w14:paraId="5C5336B4" w14:textId="77777777" w:rsidR="00EC2F22" w:rsidRDefault="00EC2F22" w:rsidP="00F155BE">
      <w:pPr>
        <w:spacing w:line="276" w:lineRule="auto"/>
      </w:pPr>
      <w:r>
        <w:t>En raison de leur caractère quasi-pathognomonique, ils ne nécessitent pas de recours à la biopsie.</w:t>
      </w:r>
    </w:p>
    <w:p w14:paraId="7F66871B" w14:textId="77777777" w:rsidR="00EC2F22" w:rsidRDefault="00EC2F22" w:rsidP="00F155BE">
      <w:pPr>
        <w:spacing w:line="276" w:lineRule="auto"/>
      </w:pPr>
    </w:p>
    <w:p w14:paraId="1B5A1058" w14:textId="77777777" w:rsidR="00EC2F22" w:rsidRDefault="00EC2F22" w:rsidP="00F155BE">
      <w:pPr>
        <w:numPr>
          <w:ilvl w:val="0"/>
          <w:numId w:val="30"/>
        </w:numPr>
        <w:pBdr>
          <w:top w:val="nil"/>
          <w:left w:val="nil"/>
          <w:bottom w:val="nil"/>
          <w:right w:val="nil"/>
          <w:between w:val="nil"/>
        </w:pBdr>
        <w:spacing w:line="276" w:lineRule="auto"/>
      </w:pPr>
      <w:r>
        <w:t>Un stade I radiographique asymptomatique : à condition que les adénopathies soient typiques de sarcoïdose et sous couvert d’une surveillance spécialisée.</w:t>
      </w:r>
    </w:p>
    <w:p w14:paraId="6931CB6B" w14:textId="77777777" w:rsidR="00EC2F22" w:rsidRDefault="00EC2F22" w:rsidP="00F155BE">
      <w:pPr>
        <w:spacing w:line="276" w:lineRule="auto"/>
        <w:rPr>
          <w:b/>
          <w:bCs/>
        </w:rPr>
      </w:pPr>
      <w:r>
        <w:rPr>
          <w:noProof/>
        </w:rPr>
        <w:drawing>
          <wp:anchor distT="0" distB="0" distL="114300" distR="114300" simplePos="0" relativeHeight="251956224" behindDoc="0" locked="0" layoutInCell="1" hidden="0" allowOverlap="1" wp14:anchorId="44541839" wp14:editId="70FCB5A1">
            <wp:simplePos x="0" y="0"/>
            <wp:positionH relativeFrom="column">
              <wp:posOffset>-263997</wp:posOffset>
            </wp:positionH>
            <wp:positionV relativeFrom="paragraph">
              <wp:posOffset>157480</wp:posOffset>
            </wp:positionV>
            <wp:extent cx="153670" cy="137160"/>
            <wp:effectExtent l="0" t="0" r="0" b="0"/>
            <wp:wrapSquare wrapText="bothSides" distT="0" distB="0" distL="114300" distR="11430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p>
    <w:p w14:paraId="3655C4B4" w14:textId="77777777" w:rsidR="00EC2F22" w:rsidRDefault="00EC2F22" w:rsidP="00F155BE">
      <w:pPr>
        <w:spacing w:line="276" w:lineRule="auto"/>
        <w:rPr>
          <w:b/>
          <w:bCs/>
          <w:color w:val="0070C0"/>
        </w:rPr>
      </w:pPr>
      <w:r>
        <w:rPr>
          <w:b/>
          <w:bCs/>
          <w:color w:val="0070C0"/>
        </w:rPr>
        <w:t>Confirmation histopathologique et stratégie de recherche des granulomes</w:t>
      </w:r>
    </w:p>
    <w:p w14:paraId="1367F866" w14:textId="77777777" w:rsidR="00EC2F22" w:rsidRDefault="00EC2F22" w:rsidP="00F155BE">
      <w:pPr>
        <w:spacing w:line="276" w:lineRule="auto"/>
        <w:rPr>
          <w:b/>
          <w:bCs/>
          <w:color w:val="0070C0"/>
        </w:rPr>
      </w:pPr>
    </w:p>
    <w:p w14:paraId="16B10DB7" w14:textId="77777777" w:rsidR="00EC2F22" w:rsidRDefault="00EC2F22" w:rsidP="00F155BE">
      <w:pPr>
        <w:spacing w:line="276" w:lineRule="auto"/>
        <w:rPr>
          <w:color w:val="0070C0"/>
        </w:rPr>
      </w:pPr>
      <w:r>
        <w:rPr>
          <w:b/>
          <w:bCs/>
          <w:color w:val="0070C0"/>
        </w:rPr>
        <w:t>Les sites de prélèvements biopsiques</w:t>
      </w:r>
      <w:r>
        <w:rPr>
          <w:color w:val="0070C0"/>
        </w:rPr>
        <w:t xml:space="preserve"> doivent être hiérarchisés selon leur caractère plus ou moins invasif, leur rentabilité diagnostique et les sites atteints :  </w:t>
      </w:r>
    </w:p>
    <w:p w14:paraId="2167E2D9" w14:textId="77777777" w:rsidR="00EC2F22" w:rsidRDefault="00EC2F22" w:rsidP="00F155BE">
      <w:pPr>
        <w:numPr>
          <w:ilvl w:val="0"/>
          <w:numId w:val="45"/>
        </w:numPr>
        <w:pBdr>
          <w:top w:val="nil"/>
          <w:left w:val="nil"/>
          <w:bottom w:val="nil"/>
          <w:right w:val="nil"/>
          <w:between w:val="nil"/>
        </w:pBdr>
        <w:spacing w:line="276" w:lineRule="auto"/>
        <w:rPr>
          <w:color w:val="0070C0"/>
        </w:rPr>
      </w:pPr>
      <w:r>
        <w:rPr>
          <w:color w:val="0070C0"/>
        </w:rPr>
        <w:t>On privilégie les sites d’accès aisé : lésion cutanée (sauf érythème noueux), adénopathie périphérique (biopsie pouvant être échoguidée), nodule conjonctival…</w:t>
      </w:r>
    </w:p>
    <w:p w14:paraId="29766F9B" w14:textId="77777777" w:rsidR="00EC2F22" w:rsidRDefault="00EC2F22" w:rsidP="00F155BE">
      <w:pPr>
        <w:numPr>
          <w:ilvl w:val="0"/>
          <w:numId w:val="45"/>
        </w:numPr>
        <w:pBdr>
          <w:top w:val="nil"/>
          <w:left w:val="nil"/>
          <w:bottom w:val="nil"/>
          <w:right w:val="nil"/>
          <w:between w:val="nil"/>
        </w:pBdr>
        <w:spacing w:line="276" w:lineRule="auto"/>
        <w:rPr>
          <w:color w:val="0070C0"/>
        </w:rPr>
      </w:pPr>
      <w:r>
        <w:rPr>
          <w:color w:val="0070C0"/>
        </w:rPr>
        <w:lastRenderedPageBreak/>
        <w:t xml:space="preserve">Compte tenu de la prévalence de l’atteinte pulmonaire, les prélèvements réalisés au cours d’une endoscopie bronchique ont un bon rendement diagnostique et sont à envisager en l’absence de lésions superficielles. Le choix des gestes endoscopiques à envisager dépend du plateau technique du centre et il devrait être ajusté aux résultats du scanner thoracique. </w:t>
      </w:r>
    </w:p>
    <w:p w14:paraId="3FA45FCE" w14:textId="77777777" w:rsidR="00EC2F22" w:rsidRDefault="00EC2F22" w:rsidP="00F155BE">
      <w:pPr>
        <w:numPr>
          <w:ilvl w:val="0"/>
          <w:numId w:val="40"/>
        </w:numPr>
        <w:pBdr>
          <w:top w:val="nil"/>
          <w:left w:val="nil"/>
          <w:bottom w:val="nil"/>
          <w:right w:val="nil"/>
          <w:between w:val="nil"/>
        </w:pBdr>
        <w:spacing w:line="276" w:lineRule="auto"/>
        <w:ind w:left="567" w:hanging="207"/>
        <w:rPr>
          <w:color w:val="0070C0"/>
        </w:rPr>
      </w:pPr>
      <w:r>
        <w:rPr>
          <w:color w:val="0070C0"/>
        </w:rPr>
        <w:t>En cas d’adénopathies intrathoraciques isolées, une ponction à l’aiguille des ganglions médiastinaux par écho-endoscopie bronchique devrait être privilégiée.</w:t>
      </w:r>
    </w:p>
    <w:p w14:paraId="1FFC3B27" w14:textId="77777777" w:rsidR="00EC2F22" w:rsidRDefault="00EC2F22" w:rsidP="00F155BE">
      <w:pPr>
        <w:numPr>
          <w:ilvl w:val="0"/>
          <w:numId w:val="40"/>
        </w:numPr>
        <w:pBdr>
          <w:top w:val="nil"/>
          <w:left w:val="nil"/>
          <w:bottom w:val="nil"/>
          <w:right w:val="nil"/>
          <w:between w:val="nil"/>
        </w:pBdr>
        <w:spacing w:line="276" w:lineRule="auto"/>
        <w:ind w:left="567" w:hanging="207"/>
        <w:rPr>
          <w:color w:val="0070C0"/>
        </w:rPr>
      </w:pPr>
      <w:r>
        <w:rPr>
          <w:color w:val="0070C0"/>
        </w:rPr>
        <w:t xml:space="preserve">En cas d’adénopathies intrathoraciques associées à une infiltration pulmonaire, une ponction à l’aiguille des ganglions médiastinaux par écho-endoscopie bronchique ou des biopsies bronchiques et/ou </w:t>
      </w:r>
      <w:proofErr w:type="spellStart"/>
      <w:r>
        <w:rPr>
          <w:color w:val="0070C0"/>
        </w:rPr>
        <w:t>transbronchiques</w:t>
      </w:r>
      <w:proofErr w:type="spellEnd"/>
      <w:r>
        <w:rPr>
          <w:color w:val="0070C0"/>
        </w:rPr>
        <w:t xml:space="preserve"> peuvent être proposés indifféremment selon la taille et la localisation des adénopathies d’une part et l’extension de l’atteinte pulmonaire d’autre part. </w:t>
      </w:r>
    </w:p>
    <w:p w14:paraId="2A760E6D" w14:textId="77777777" w:rsidR="00EC2F22" w:rsidRDefault="00EC2F22" w:rsidP="00F155BE">
      <w:pPr>
        <w:numPr>
          <w:ilvl w:val="0"/>
          <w:numId w:val="40"/>
        </w:numPr>
        <w:pBdr>
          <w:top w:val="nil"/>
          <w:left w:val="nil"/>
          <w:bottom w:val="nil"/>
          <w:right w:val="nil"/>
          <w:between w:val="nil"/>
        </w:pBdr>
        <w:spacing w:line="276" w:lineRule="auto"/>
        <w:ind w:left="567" w:hanging="207"/>
        <w:rPr>
          <w:color w:val="0070C0"/>
        </w:rPr>
      </w:pPr>
      <w:r>
        <w:rPr>
          <w:color w:val="0070C0"/>
        </w:rPr>
        <w:t xml:space="preserve">En cas d’infiltration pulmonaire isolée, des biopsies bronchiques et/ou </w:t>
      </w:r>
      <w:proofErr w:type="spellStart"/>
      <w:r>
        <w:rPr>
          <w:color w:val="0070C0"/>
        </w:rPr>
        <w:t>transbronchiques</w:t>
      </w:r>
      <w:proofErr w:type="spellEnd"/>
      <w:r>
        <w:rPr>
          <w:color w:val="0070C0"/>
        </w:rPr>
        <w:t xml:space="preserve"> devraient être privilégiées. </w:t>
      </w:r>
    </w:p>
    <w:p w14:paraId="0E143B79" w14:textId="77777777" w:rsidR="00EC2F22" w:rsidRDefault="00EC2F22" w:rsidP="00F155BE">
      <w:pPr>
        <w:spacing w:line="276" w:lineRule="auto"/>
        <w:rPr>
          <w:color w:val="0070C0"/>
        </w:rPr>
      </w:pPr>
    </w:p>
    <w:p w14:paraId="393A5C8F" w14:textId="77777777" w:rsidR="00EC2F22" w:rsidRDefault="00EC2F22" w:rsidP="00F155BE">
      <w:pPr>
        <w:numPr>
          <w:ilvl w:val="0"/>
          <w:numId w:val="29"/>
        </w:numPr>
        <w:pBdr>
          <w:top w:val="nil"/>
          <w:left w:val="nil"/>
          <w:bottom w:val="nil"/>
          <w:right w:val="nil"/>
          <w:between w:val="nil"/>
        </w:pBdr>
        <w:spacing w:line="276" w:lineRule="auto"/>
        <w:rPr>
          <w:color w:val="0070C0"/>
        </w:rPr>
      </w:pPr>
      <w:r>
        <w:rPr>
          <w:color w:val="0070C0"/>
        </w:rPr>
        <w:t>Si l’endoscopie souple incluant une ponction à l’aiguille des ganglions médiastinaux par écho-endoscopie bronchique (</w:t>
      </w:r>
      <w:r>
        <w:rPr>
          <w:i/>
          <w:iCs/>
          <w:color w:val="0070C0"/>
        </w:rPr>
        <w:t>EBUS</w:t>
      </w:r>
      <w:r>
        <w:rPr>
          <w:color w:val="0070C0"/>
        </w:rPr>
        <w:t>) n’est pas contributive, on discute la réalisation de :</w:t>
      </w:r>
    </w:p>
    <w:p w14:paraId="0EFDBE5B" w14:textId="77777777" w:rsidR="00EC2F22" w:rsidRDefault="00EC2F22" w:rsidP="00F155BE">
      <w:pPr>
        <w:numPr>
          <w:ilvl w:val="0"/>
          <w:numId w:val="41"/>
        </w:numPr>
        <w:pBdr>
          <w:top w:val="nil"/>
          <w:left w:val="nil"/>
          <w:bottom w:val="nil"/>
          <w:right w:val="nil"/>
          <w:between w:val="nil"/>
        </w:pBdr>
        <w:spacing w:line="276" w:lineRule="auto"/>
        <w:ind w:left="567" w:hanging="207"/>
        <w:rPr>
          <w:color w:val="0070C0"/>
        </w:rPr>
      </w:pPr>
      <w:r>
        <w:rPr>
          <w:color w:val="0070C0"/>
        </w:rPr>
        <w:t xml:space="preserve">Un 18FDG-TEP pour identifier une localisation infraclinique de la sarcoïdose potentiellement </w:t>
      </w:r>
      <w:proofErr w:type="spellStart"/>
      <w:r>
        <w:rPr>
          <w:color w:val="0070C0"/>
        </w:rPr>
        <w:t>biopsiable</w:t>
      </w:r>
      <w:proofErr w:type="spellEnd"/>
      <w:r>
        <w:rPr>
          <w:color w:val="0070C0"/>
        </w:rPr>
        <w:t xml:space="preserve"> non détectée par les examens habituels. </w:t>
      </w:r>
    </w:p>
    <w:p w14:paraId="377C6BD2" w14:textId="77777777" w:rsidR="00EC2F22" w:rsidRDefault="00EC2F22" w:rsidP="00F155BE">
      <w:pPr>
        <w:numPr>
          <w:ilvl w:val="0"/>
          <w:numId w:val="41"/>
        </w:numPr>
        <w:pBdr>
          <w:top w:val="nil"/>
          <w:left w:val="nil"/>
          <w:bottom w:val="nil"/>
          <w:right w:val="nil"/>
          <w:between w:val="nil"/>
        </w:pBdr>
        <w:spacing w:line="276" w:lineRule="auto"/>
        <w:ind w:left="567" w:hanging="207"/>
        <w:rPr>
          <w:color w:val="0070C0"/>
        </w:rPr>
      </w:pPr>
      <w:r>
        <w:rPr>
          <w:color w:val="0070C0"/>
        </w:rPr>
        <w:t>Une biopsie sous scanner d’un nodule ou d’une condensation pulmonaire.</w:t>
      </w:r>
    </w:p>
    <w:p w14:paraId="3B412B0F" w14:textId="77777777" w:rsidR="00EC2F22" w:rsidRDefault="00EC2F22" w:rsidP="00F155BE">
      <w:pPr>
        <w:numPr>
          <w:ilvl w:val="0"/>
          <w:numId w:val="41"/>
        </w:numPr>
        <w:pBdr>
          <w:top w:val="nil"/>
          <w:left w:val="nil"/>
          <w:bottom w:val="nil"/>
          <w:right w:val="nil"/>
          <w:between w:val="nil"/>
        </w:pBdr>
        <w:spacing w:line="276" w:lineRule="auto"/>
        <w:ind w:left="567" w:hanging="207"/>
        <w:rPr>
          <w:color w:val="0070C0"/>
        </w:rPr>
      </w:pPr>
      <w:r>
        <w:rPr>
          <w:color w:val="0070C0"/>
        </w:rPr>
        <w:t>Une biopsie des glandes salivaires accessoires</w:t>
      </w:r>
      <w:r>
        <w:rPr>
          <w:color w:val="0070C0"/>
          <w:vertAlign w:val="superscript"/>
        </w:rPr>
        <w:footnoteReference w:id="11"/>
      </w:r>
      <w:r>
        <w:rPr>
          <w:color w:val="0070C0"/>
        </w:rPr>
        <w:t xml:space="preserve"> (BGSA) dont la rentabilité est de 40 %, mais dont le résultat ne devrait pas être considérée si le tableau </w:t>
      </w:r>
      <w:proofErr w:type="spellStart"/>
      <w:r>
        <w:rPr>
          <w:color w:val="0070C0"/>
        </w:rPr>
        <w:t>clinico</w:t>
      </w:r>
      <w:proofErr w:type="spellEnd"/>
      <w:r>
        <w:rPr>
          <w:color w:val="0070C0"/>
        </w:rPr>
        <w:t xml:space="preserve">-radiologique est atypique pour une sarcoïdose. </w:t>
      </w:r>
    </w:p>
    <w:p w14:paraId="4E1DBB23" w14:textId="77777777" w:rsidR="00EC2F22" w:rsidRDefault="00EC2F22" w:rsidP="00F155BE">
      <w:pPr>
        <w:numPr>
          <w:ilvl w:val="0"/>
          <w:numId w:val="41"/>
        </w:numPr>
        <w:pBdr>
          <w:top w:val="nil"/>
          <w:left w:val="nil"/>
          <w:bottom w:val="nil"/>
          <w:right w:val="nil"/>
          <w:between w:val="nil"/>
        </w:pBdr>
        <w:spacing w:line="276" w:lineRule="auto"/>
        <w:ind w:left="567" w:hanging="207"/>
        <w:rPr>
          <w:color w:val="0070C0"/>
        </w:rPr>
      </w:pPr>
      <w:r>
        <w:rPr>
          <w:color w:val="0070C0"/>
        </w:rPr>
        <w:t xml:space="preserve">Une biopsie hépatique en cas d’anomalie biologique hépatique. </w:t>
      </w:r>
    </w:p>
    <w:p w14:paraId="65A0FBA3" w14:textId="77777777" w:rsidR="00EC2F22" w:rsidRDefault="00EC2F22" w:rsidP="00F155BE">
      <w:pPr>
        <w:spacing w:line="276" w:lineRule="auto"/>
        <w:rPr>
          <w:color w:val="0070C0"/>
        </w:rPr>
      </w:pPr>
    </w:p>
    <w:p w14:paraId="6BE298D1" w14:textId="77777777" w:rsidR="00EC2F22" w:rsidRDefault="00EC2F22" w:rsidP="00F155BE">
      <w:pPr>
        <w:spacing w:line="276" w:lineRule="auto"/>
        <w:rPr>
          <w:b/>
          <w:bCs/>
          <w:color w:val="0070C0"/>
        </w:rPr>
      </w:pPr>
      <w:r>
        <w:rPr>
          <w:b/>
          <w:bCs/>
          <w:color w:val="0070C0"/>
        </w:rPr>
        <w:t>Principaux diagnostics différentiels</w:t>
      </w:r>
    </w:p>
    <w:p w14:paraId="6F0D8CBF" w14:textId="77777777" w:rsidR="00EC2F22" w:rsidRDefault="00EC2F22" w:rsidP="00F155BE">
      <w:pPr>
        <w:spacing w:line="276" w:lineRule="auto"/>
        <w:rPr>
          <w:color w:val="0070C0"/>
        </w:rPr>
      </w:pPr>
      <w:r>
        <w:rPr>
          <w:color w:val="0070C0"/>
        </w:rPr>
        <w:t>Ils varient en fonction de la présentation de la maladie et des localisations.</w:t>
      </w:r>
    </w:p>
    <w:p w14:paraId="75DD8148" w14:textId="77777777" w:rsidR="00EC2F22" w:rsidRDefault="00EC2F22" w:rsidP="00F155BE">
      <w:pPr>
        <w:spacing w:line="276" w:lineRule="auto"/>
        <w:rPr>
          <w:color w:val="0070C0"/>
        </w:rPr>
      </w:pPr>
      <w:r>
        <w:rPr>
          <w:color w:val="0070C0"/>
        </w:rPr>
        <w:t xml:space="preserve">De nombreuses pathologies, présentées dans le tableau 4, s’accompagnent d’une réaction granulomateuse et doivent être exclues avant de conclure à une sarcoïdose. </w:t>
      </w:r>
    </w:p>
    <w:p w14:paraId="4DB597C6" w14:textId="77777777" w:rsidR="00EC2F22" w:rsidRDefault="00EC2F22" w:rsidP="00F155BE">
      <w:pPr>
        <w:spacing w:line="276" w:lineRule="auto"/>
        <w:rPr>
          <w:b/>
          <w:bCs/>
          <w:color w:val="0070C0"/>
        </w:rPr>
      </w:pPr>
    </w:p>
    <w:p w14:paraId="4A8C6111" w14:textId="77777777" w:rsidR="00EC2F22" w:rsidRPr="00127CAC" w:rsidRDefault="00EC2F22" w:rsidP="00127CAC">
      <w:pPr>
        <w:pStyle w:val="lgende"/>
        <w:rPr>
          <w:color w:val="0070C0"/>
        </w:rPr>
      </w:pPr>
      <w:r w:rsidRPr="00127CAC">
        <w:rPr>
          <w:color w:val="0070C0"/>
        </w:rPr>
        <w:t>Tableau 4 : Autres causes de granulomes épithélioïdes et gigantocellulaires.</w:t>
      </w:r>
    </w:p>
    <w:tbl>
      <w:tblPr>
        <w:tblW w:w="9067"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400" w:firstRow="0" w:lastRow="0" w:firstColumn="0" w:lastColumn="0" w:noHBand="0" w:noVBand="1"/>
      </w:tblPr>
      <w:tblGrid>
        <w:gridCol w:w="9067"/>
      </w:tblGrid>
      <w:tr w:rsidR="00EC2F22" w14:paraId="35A8EBF3" w14:textId="77777777" w:rsidTr="00127CAC">
        <w:tc>
          <w:tcPr>
            <w:tcW w:w="9067" w:type="dxa"/>
          </w:tcPr>
          <w:p w14:paraId="0674B6BA" w14:textId="77777777" w:rsidR="00EC2F22" w:rsidRDefault="00EC2F22" w:rsidP="00F155BE">
            <w:pPr>
              <w:spacing w:line="276" w:lineRule="auto"/>
              <w:rPr>
                <w:rFonts w:ascii="Calibri" w:eastAsia="Calibri" w:hAnsi="Calibri" w:cs="Calibri"/>
                <w:b/>
                <w:bCs/>
                <w:color w:val="0070C0"/>
              </w:rPr>
            </w:pPr>
            <w:r>
              <w:rPr>
                <w:rFonts w:ascii="Calibri" w:eastAsia="Calibri" w:hAnsi="Calibri" w:cs="Calibri"/>
                <w:b/>
                <w:bCs/>
                <w:color w:val="0070C0"/>
              </w:rPr>
              <w:t>Infections :</w:t>
            </w:r>
            <w:r>
              <w:rPr>
                <w:rFonts w:ascii="Calibri" w:eastAsia="Calibri" w:hAnsi="Calibri" w:cs="Calibri"/>
                <w:color w:val="0070C0"/>
              </w:rPr>
              <w:t xml:space="preserve"> </w:t>
            </w:r>
            <w:r>
              <w:rPr>
                <w:rFonts w:ascii="Calibri" w:eastAsia="Calibri" w:hAnsi="Calibri" w:cs="Calibri"/>
                <w:b/>
                <w:bCs/>
                <w:color w:val="0070C0"/>
              </w:rPr>
              <w:t>tuberculose ++</w:t>
            </w:r>
            <w:r>
              <w:rPr>
                <w:rFonts w:ascii="Calibri" w:eastAsia="Calibri" w:hAnsi="Calibri" w:cs="Calibri"/>
                <w:color w:val="0070C0"/>
              </w:rPr>
              <w:t xml:space="preserve">, mycobactéries non-tuberculeuses, tularémie, maladie de Whipple, brucellose, fièvre Q, syphilis, mycoses (histoplasmose, cryptococcose, </w:t>
            </w:r>
            <w:proofErr w:type="spellStart"/>
            <w:r>
              <w:rPr>
                <w:rFonts w:ascii="Calibri" w:eastAsia="Calibri" w:hAnsi="Calibri" w:cs="Calibri"/>
                <w:color w:val="0070C0"/>
              </w:rPr>
              <w:t>coccidioïdomycose</w:t>
            </w:r>
            <w:proofErr w:type="spellEnd"/>
            <w:r>
              <w:rPr>
                <w:rFonts w:ascii="Calibri" w:eastAsia="Calibri" w:hAnsi="Calibri" w:cs="Calibri"/>
                <w:color w:val="0070C0"/>
              </w:rPr>
              <w:t>…)</w:t>
            </w:r>
          </w:p>
          <w:p w14:paraId="4692A01D" w14:textId="77777777" w:rsidR="00EC2F22" w:rsidRDefault="00EC2F22" w:rsidP="00F155BE">
            <w:pPr>
              <w:spacing w:line="276" w:lineRule="auto"/>
              <w:rPr>
                <w:rFonts w:ascii="Calibri" w:eastAsia="Calibri" w:hAnsi="Calibri" w:cs="Calibri"/>
                <w:color w:val="0070C0"/>
                <w:vertAlign w:val="superscript"/>
              </w:rPr>
            </w:pPr>
          </w:p>
          <w:p w14:paraId="02154843"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xml:space="preserve">- Granulomatose </w:t>
            </w:r>
            <w:proofErr w:type="spellStart"/>
            <w:r>
              <w:rPr>
                <w:rFonts w:ascii="Calibri" w:eastAsia="Calibri" w:hAnsi="Calibri" w:cs="Calibri"/>
                <w:color w:val="0070C0"/>
              </w:rPr>
              <w:t>sarcoid</w:t>
            </w:r>
            <w:proofErr w:type="spellEnd"/>
            <w:r>
              <w:rPr>
                <w:rFonts w:ascii="Calibri" w:eastAsia="Calibri" w:hAnsi="Calibri" w:cs="Calibri"/>
                <w:color w:val="0070C0"/>
              </w:rPr>
              <w:t xml:space="preserve">-like induite par </w:t>
            </w:r>
            <w:r>
              <w:rPr>
                <w:rFonts w:ascii="Calibri" w:eastAsia="Calibri" w:hAnsi="Calibri" w:cs="Calibri"/>
                <w:b/>
                <w:bCs/>
                <w:color w:val="0070C0"/>
              </w:rPr>
              <w:t>certains médicaments</w:t>
            </w:r>
            <w:r>
              <w:rPr>
                <w:rFonts w:ascii="Calibri" w:eastAsia="Calibri" w:hAnsi="Calibri" w:cs="Calibri"/>
                <w:color w:val="0070C0"/>
              </w:rPr>
              <w:t xml:space="preserve"> (inhibiteurs du check point immunitaire (PD-1, PD-L1), inhibiteurs Braf, MEK, ALK, Interféron, anti-TNFα, BCG intra-vésical) ou lors de la reconstitution immunitaire chez un patient infecté par le VIH.</w:t>
            </w:r>
          </w:p>
          <w:p w14:paraId="0581F002"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xml:space="preserve">- Réactions granulomateuses </w:t>
            </w:r>
            <w:r>
              <w:rPr>
                <w:rFonts w:ascii="Calibri" w:eastAsia="Calibri" w:hAnsi="Calibri" w:cs="Calibri"/>
                <w:b/>
                <w:bCs/>
                <w:color w:val="0070C0"/>
              </w:rPr>
              <w:t>péri-tumorales : lymphomes</w:t>
            </w:r>
            <w:r>
              <w:rPr>
                <w:rFonts w:ascii="Calibri" w:eastAsia="Calibri" w:hAnsi="Calibri" w:cs="Calibri"/>
                <w:color w:val="0070C0"/>
              </w:rPr>
              <w:t>, chorion de certains carcinomes.</w:t>
            </w:r>
          </w:p>
          <w:p w14:paraId="64E14302"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xml:space="preserve">- Maladies par exposition particulaire : </w:t>
            </w:r>
            <w:r>
              <w:rPr>
                <w:rFonts w:ascii="Calibri" w:eastAsia="Calibri" w:hAnsi="Calibri" w:cs="Calibri"/>
                <w:b/>
                <w:bCs/>
                <w:color w:val="0070C0"/>
              </w:rPr>
              <w:t xml:space="preserve">bérylliose pulmonaire chronique </w:t>
            </w:r>
            <w:r>
              <w:rPr>
                <w:rFonts w:ascii="Calibri" w:eastAsia="Calibri" w:hAnsi="Calibri" w:cs="Calibri"/>
                <w:color w:val="0070C0"/>
              </w:rPr>
              <w:t>(cf. item 367 </w:t>
            </w:r>
            <w:proofErr w:type="gramStart"/>
            <w:r>
              <w:rPr>
                <w:rFonts w:ascii="Calibri" w:eastAsia="Calibri" w:hAnsi="Calibri" w:cs="Calibri"/>
                <w:color w:val="0070C0"/>
              </w:rPr>
              <w:t>impact</w:t>
            </w:r>
            <w:proofErr w:type="gramEnd"/>
            <w:r>
              <w:rPr>
                <w:rFonts w:ascii="Calibri" w:eastAsia="Calibri" w:hAnsi="Calibri" w:cs="Calibri"/>
                <w:color w:val="0070C0"/>
              </w:rPr>
              <w:t xml:space="preserve"> de l’environnement en santé OIC-367-03-B), </w:t>
            </w:r>
            <w:proofErr w:type="spellStart"/>
            <w:r>
              <w:rPr>
                <w:rFonts w:ascii="Calibri" w:eastAsia="Calibri" w:hAnsi="Calibri" w:cs="Calibri"/>
                <w:color w:val="0070C0"/>
              </w:rPr>
              <w:t>talcose</w:t>
            </w:r>
            <w:proofErr w:type="spellEnd"/>
            <w:r>
              <w:rPr>
                <w:rFonts w:ascii="Calibri" w:eastAsia="Calibri" w:hAnsi="Calibri" w:cs="Calibri"/>
                <w:color w:val="0070C0"/>
              </w:rPr>
              <w:t>.</w:t>
            </w:r>
          </w:p>
          <w:p w14:paraId="30D4A319" w14:textId="77777777" w:rsidR="00EC2F22" w:rsidRDefault="00EC2F22" w:rsidP="00F155BE">
            <w:pPr>
              <w:spacing w:line="276" w:lineRule="auto"/>
              <w:rPr>
                <w:rFonts w:ascii="Calibri" w:eastAsia="Calibri" w:hAnsi="Calibri" w:cs="Calibri"/>
                <w:color w:val="0070C0"/>
              </w:rPr>
            </w:pPr>
            <w:r>
              <w:rPr>
                <w:rFonts w:ascii="Calibri" w:eastAsia="Calibri" w:hAnsi="Calibri" w:cs="Calibri"/>
                <w:b/>
                <w:bCs/>
                <w:color w:val="0070C0"/>
              </w:rPr>
              <w:t>- Déficit immunitaire commun variable</w:t>
            </w:r>
            <w:r>
              <w:rPr>
                <w:rFonts w:ascii="Calibri" w:eastAsia="Calibri" w:hAnsi="Calibri" w:cs="Calibri"/>
                <w:color w:val="0070C0"/>
              </w:rPr>
              <w:t xml:space="preserve"> (évoqué sur une hypogammaglobulinémie, et des infections à répétition).</w:t>
            </w:r>
          </w:p>
          <w:p w14:paraId="6881B88B"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xml:space="preserve">- Maladies inflammatoires et auto-immunes : maladie de </w:t>
            </w:r>
            <w:proofErr w:type="spellStart"/>
            <w:r>
              <w:rPr>
                <w:rFonts w:ascii="Calibri" w:eastAsia="Calibri" w:hAnsi="Calibri" w:cs="Calibri"/>
                <w:color w:val="0070C0"/>
              </w:rPr>
              <w:t>Crohn</w:t>
            </w:r>
            <w:proofErr w:type="spellEnd"/>
            <w:r>
              <w:rPr>
                <w:rFonts w:ascii="Calibri" w:eastAsia="Calibri" w:hAnsi="Calibri" w:cs="Calibri"/>
                <w:color w:val="0070C0"/>
              </w:rPr>
              <w:t xml:space="preserve">, granulomatose avec </w:t>
            </w:r>
            <w:proofErr w:type="spellStart"/>
            <w:r>
              <w:rPr>
                <w:rFonts w:ascii="Calibri" w:eastAsia="Calibri" w:hAnsi="Calibri" w:cs="Calibri"/>
                <w:color w:val="0070C0"/>
              </w:rPr>
              <w:t>polyangéïte</w:t>
            </w:r>
            <w:proofErr w:type="spellEnd"/>
            <w:r>
              <w:rPr>
                <w:rFonts w:ascii="Calibri" w:eastAsia="Calibri" w:hAnsi="Calibri" w:cs="Calibri"/>
                <w:color w:val="0070C0"/>
              </w:rPr>
              <w:t>, cirrhose biliaire primitive.</w:t>
            </w:r>
          </w:p>
          <w:p w14:paraId="53918AC1"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t>- Maladies génétiques : syndrome de Blau.</w:t>
            </w:r>
          </w:p>
          <w:p w14:paraId="1184FB49" w14:textId="77777777" w:rsidR="00EC2F22" w:rsidRDefault="00EC2F22" w:rsidP="00F155BE">
            <w:pPr>
              <w:spacing w:line="276" w:lineRule="auto"/>
              <w:rPr>
                <w:rFonts w:ascii="Calibri" w:eastAsia="Calibri" w:hAnsi="Calibri" w:cs="Calibri"/>
                <w:color w:val="0070C0"/>
              </w:rPr>
            </w:pPr>
            <w:r>
              <w:rPr>
                <w:rFonts w:ascii="Calibri" w:eastAsia="Calibri" w:hAnsi="Calibri" w:cs="Calibri"/>
                <w:color w:val="0070C0"/>
              </w:rPr>
              <w:lastRenderedPageBreak/>
              <w:t>- Pneumopathies d’hypersensibilité.</w:t>
            </w:r>
          </w:p>
        </w:tc>
      </w:tr>
    </w:tbl>
    <w:p w14:paraId="2C70873F" w14:textId="77777777" w:rsidR="00EC2F22" w:rsidRDefault="00EC2F22" w:rsidP="00F155BE">
      <w:pPr>
        <w:spacing w:line="276" w:lineRule="auto"/>
        <w:rPr>
          <w:b/>
          <w:bCs/>
          <w:color w:val="0070C0"/>
        </w:rPr>
      </w:pPr>
    </w:p>
    <w:p w14:paraId="740137AD" w14:textId="77777777" w:rsidR="00EC2F22" w:rsidRDefault="00EC2F22" w:rsidP="00F155BE">
      <w:pPr>
        <w:spacing w:line="276" w:lineRule="auto"/>
        <w:rPr>
          <w:color w:val="0070C0"/>
        </w:rPr>
      </w:pPr>
      <w:r>
        <w:rPr>
          <w:color w:val="0070C0"/>
        </w:rPr>
        <w:t>Ainsi, les éléments suivants sont atypiques dans le cadre d’une sarcoïdose et doivent faire rechercher un diagnostic différentiel (non exhaustif) :</w:t>
      </w:r>
    </w:p>
    <w:p w14:paraId="2167B306" w14:textId="0090C5D3" w:rsidR="004C208B" w:rsidRDefault="004C208B" w:rsidP="00F155BE">
      <w:pPr>
        <w:spacing w:line="276" w:lineRule="auto"/>
        <w:rPr>
          <w:color w:val="0070C0"/>
        </w:rPr>
      </w:pPr>
      <w:r>
        <w:rPr>
          <w:color w:val="0070C0"/>
        </w:rPr>
        <w:t>- Adénopathie médiastinale sans atteinte hilaire bilatérale</w:t>
      </w:r>
    </w:p>
    <w:p w14:paraId="6DC1E619" w14:textId="77777777" w:rsidR="00EC2F22" w:rsidRDefault="00EC2F22" w:rsidP="00F155BE">
      <w:pPr>
        <w:spacing w:line="276" w:lineRule="auto"/>
        <w:rPr>
          <w:color w:val="0070C0"/>
        </w:rPr>
      </w:pPr>
      <w:r>
        <w:rPr>
          <w:color w:val="0070C0"/>
        </w:rPr>
        <w:t>- Début de la maladie à un âge atypique.</w:t>
      </w:r>
    </w:p>
    <w:p w14:paraId="42A54FD5" w14:textId="77777777" w:rsidR="00EC2F22" w:rsidRDefault="00EC2F22" w:rsidP="00F155BE">
      <w:pPr>
        <w:spacing w:line="276" w:lineRule="auto"/>
        <w:rPr>
          <w:color w:val="0070C0"/>
        </w:rPr>
      </w:pPr>
      <w:r>
        <w:rPr>
          <w:color w:val="0070C0"/>
        </w:rPr>
        <w:t>- Fièvre ou signes généraux (hors syndrome de Löfgren).</w:t>
      </w:r>
    </w:p>
    <w:p w14:paraId="5AF476DE" w14:textId="77777777" w:rsidR="00EC2F22" w:rsidRDefault="00EC2F22" w:rsidP="00F155BE">
      <w:pPr>
        <w:spacing w:line="276" w:lineRule="auto"/>
        <w:rPr>
          <w:color w:val="0070C0"/>
        </w:rPr>
      </w:pPr>
      <w:r>
        <w:rPr>
          <w:color w:val="0070C0"/>
        </w:rPr>
        <w:t>- Râles crépitants.</w:t>
      </w:r>
    </w:p>
    <w:p w14:paraId="6F811057" w14:textId="77777777" w:rsidR="00EC2F22" w:rsidRDefault="00EC2F22" w:rsidP="00F155BE">
      <w:pPr>
        <w:spacing w:line="276" w:lineRule="auto"/>
        <w:rPr>
          <w:color w:val="0070C0"/>
        </w:rPr>
      </w:pPr>
      <w:r>
        <w:rPr>
          <w:color w:val="0070C0"/>
        </w:rPr>
        <w:t>- Hippocratisme digital.</w:t>
      </w:r>
    </w:p>
    <w:p w14:paraId="455CD6D0" w14:textId="77777777" w:rsidR="00EC2F22" w:rsidRDefault="00EC2F22" w:rsidP="00F155BE">
      <w:pPr>
        <w:spacing w:line="276" w:lineRule="auto"/>
        <w:rPr>
          <w:color w:val="0070C0"/>
        </w:rPr>
      </w:pPr>
      <w:r>
        <w:rPr>
          <w:color w:val="0070C0"/>
        </w:rPr>
        <w:t>- Micronodules de distribution non lymphatique sur le scanner pulmonaire.</w:t>
      </w:r>
    </w:p>
    <w:p w14:paraId="15A9B11F" w14:textId="77777777" w:rsidR="00EC2F22" w:rsidRDefault="00EC2F22" w:rsidP="00F155BE">
      <w:pPr>
        <w:spacing w:line="276" w:lineRule="auto"/>
        <w:rPr>
          <w:color w:val="0070C0"/>
        </w:rPr>
      </w:pPr>
      <w:r>
        <w:rPr>
          <w:color w:val="0070C0"/>
        </w:rPr>
        <w:t>- Adénopathies médiastinales compressives, unilatérales ou nécrotiques.</w:t>
      </w:r>
    </w:p>
    <w:p w14:paraId="29FCB7A6" w14:textId="77777777" w:rsidR="00EC2F22" w:rsidRDefault="00EC2F22" w:rsidP="00F155BE">
      <w:pPr>
        <w:spacing w:line="276" w:lineRule="auto"/>
        <w:rPr>
          <w:color w:val="0070C0"/>
        </w:rPr>
      </w:pPr>
      <w:r>
        <w:rPr>
          <w:color w:val="0070C0"/>
        </w:rPr>
        <w:t>- Hypogammaglobulinémie.</w:t>
      </w:r>
    </w:p>
    <w:p w14:paraId="5F1E166C" w14:textId="77777777" w:rsidR="00EC2F22" w:rsidRDefault="00EC2F22" w:rsidP="00F155BE">
      <w:pPr>
        <w:spacing w:line="276" w:lineRule="auto"/>
        <w:rPr>
          <w:color w:val="0070C0"/>
        </w:rPr>
      </w:pPr>
      <w:r>
        <w:rPr>
          <w:color w:val="0070C0"/>
        </w:rPr>
        <w:t>- Sérologie VIH positive.</w:t>
      </w:r>
    </w:p>
    <w:p w14:paraId="204F1324" w14:textId="77777777" w:rsidR="00EC2F22" w:rsidRDefault="00EC2F22" w:rsidP="00EC2F22">
      <w:pPr>
        <w:rPr>
          <w:rFonts w:ascii="Arial" w:eastAsia="Arial" w:hAnsi="Arial" w:cs="Arial"/>
          <w:b/>
          <w:bCs/>
          <w:color w:val="0070C0"/>
          <w:sz w:val="22"/>
          <w:szCs w:val="22"/>
        </w:rPr>
      </w:pPr>
    </w:p>
    <w:p w14:paraId="149E00C1" w14:textId="77777777" w:rsidR="00EC2F22" w:rsidRDefault="00EC2F22" w:rsidP="00EC2F22">
      <w:pPr>
        <w:jc w:val="left"/>
        <w:rPr>
          <w:b/>
          <w:bCs/>
          <w:color w:val="0070C0"/>
          <w:sz w:val="24"/>
          <w:szCs w:val="24"/>
        </w:rPr>
      </w:pPr>
      <w:r>
        <w:br w:type="page"/>
      </w:r>
    </w:p>
    <w:p w14:paraId="0C8FBA31" w14:textId="77777777" w:rsidR="00EC2F22" w:rsidRDefault="00EC2F22" w:rsidP="00EC2F22">
      <w:pPr>
        <w:rPr>
          <w:rFonts w:ascii="Arial" w:eastAsia="Arial" w:hAnsi="Arial" w:cs="Arial"/>
          <w:color w:val="0070C0"/>
          <w:sz w:val="16"/>
          <w:szCs w:val="16"/>
        </w:rPr>
      </w:pPr>
      <w:r>
        <w:rPr>
          <w:b/>
          <w:bCs/>
          <w:color w:val="0070C0"/>
          <w:sz w:val="24"/>
          <w:szCs w:val="24"/>
        </w:rPr>
        <w:lastRenderedPageBreak/>
        <w:t>QUESTIONS TOMBABLES</w:t>
      </w:r>
    </w:p>
    <w:p w14:paraId="00E6A79F" w14:textId="77777777" w:rsidR="00EC2F22" w:rsidRDefault="00EC2F22" w:rsidP="00EC2F22">
      <w:pPr>
        <w:rPr>
          <w:rFonts w:ascii="Arial" w:eastAsia="Arial" w:hAnsi="Arial" w:cs="Arial"/>
          <w:b/>
          <w:bCs/>
          <w:color w:val="3366FF"/>
          <w:sz w:val="22"/>
          <w:szCs w:val="22"/>
        </w:rPr>
      </w:pPr>
    </w:p>
    <w:p w14:paraId="2BB92C9F" w14:textId="77777777" w:rsidR="00EC2F22" w:rsidRDefault="00EC2F22" w:rsidP="00EC2F22">
      <w:pPr>
        <w:pBdr>
          <w:top w:val="nil"/>
          <w:left w:val="nil"/>
          <w:bottom w:val="nil"/>
          <w:right w:val="nil"/>
          <w:between w:val="nil"/>
        </w:pBdr>
        <w:spacing w:line="276" w:lineRule="auto"/>
        <w:jc w:val="left"/>
      </w:pPr>
      <w:r>
        <w:rPr>
          <w:b/>
          <w:bCs/>
        </w:rPr>
        <w:t>Situations de départ</w:t>
      </w:r>
      <w:r>
        <w:t> :</w:t>
      </w:r>
    </w:p>
    <w:p w14:paraId="79F18988" w14:textId="77777777" w:rsidR="00EC2F22" w:rsidRDefault="00EC2F22" w:rsidP="00EC2F22">
      <w:pPr>
        <w:pBdr>
          <w:top w:val="nil"/>
          <w:left w:val="nil"/>
          <w:bottom w:val="nil"/>
          <w:right w:val="nil"/>
          <w:between w:val="nil"/>
        </w:pBdr>
        <w:spacing w:line="276" w:lineRule="auto"/>
        <w:jc w:val="left"/>
        <w:rPr>
          <w:b/>
          <w:bCs/>
        </w:rPr>
      </w:pPr>
      <w:r>
        <w:rPr>
          <w:b/>
          <w:bCs/>
        </w:rPr>
        <w:t>- En rapport :</w:t>
      </w:r>
    </w:p>
    <w:p w14:paraId="42360D78"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Découverte d’anomalies à l’auscultation pulmonaire SDD-020</w:t>
      </w:r>
    </w:p>
    <w:p w14:paraId="2EAF9BC5"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Analyse de l’électrophorèse des protéines sériques SDD-193</w:t>
      </w:r>
    </w:p>
    <w:p w14:paraId="21F7B2FA"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Découverte d’une anomalie cardio-thoracique à l’examen d’imagerie médicale SDD-230</w:t>
      </w:r>
    </w:p>
    <w:p w14:paraId="3699F591" w14:textId="77777777" w:rsidR="00EC2F22" w:rsidRDefault="00EC2F22" w:rsidP="00EC2F22">
      <w:pPr>
        <w:pBdr>
          <w:top w:val="nil"/>
          <w:left w:val="nil"/>
          <w:bottom w:val="nil"/>
          <w:right w:val="nil"/>
          <w:between w:val="nil"/>
        </w:pBdr>
        <w:spacing w:line="276" w:lineRule="auto"/>
        <w:jc w:val="left"/>
      </w:pPr>
    </w:p>
    <w:p w14:paraId="4B6E7FDC" w14:textId="77777777" w:rsidR="00EC2F22" w:rsidRDefault="00EC2F22" w:rsidP="00EC2F22">
      <w:pPr>
        <w:pBdr>
          <w:top w:val="nil"/>
          <w:left w:val="nil"/>
          <w:bottom w:val="nil"/>
          <w:right w:val="nil"/>
          <w:between w:val="nil"/>
        </w:pBdr>
        <w:spacing w:line="276" w:lineRule="auto"/>
        <w:jc w:val="left"/>
        <w:rPr>
          <w:b/>
          <w:bCs/>
        </w:rPr>
      </w:pPr>
      <w:r>
        <w:rPr>
          <w:b/>
          <w:bCs/>
        </w:rPr>
        <w:t>- Reliés en général :</w:t>
      </w:r>
    </w:p>
    <w:p w14:paraId="692BFFFF"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Toux SDD-167</w:t>
      </w:r>
    </w:p>
    <w:p w14:paraId="5808DB1D"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Dyspnée SDD-162</w:t>
      </w:r>
    </w:p>
    <w:p w14:paraId="66CABC94"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Douleur thoracique SDD-161</w:t>
      </w:r>
    </w:p>
    <w:p w14:paraId="0AB159D4"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proofErr w:type="gramStart"/>
      <w:r>
        <w:t>Adénopathies unique</w:t>
      </w:r>
      <w:proofErr w:type="gramEnd"/>
      <w:r>
        <w:t xml:space="preserve"> ou multiples SDD-016</w:t>
      </w:r>
    </w:p>
    <w:p w14:paraId="50CFC83F"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Hyperthermie/fièvre SDD-044</w:t>
      </w:r>
      <w:r>
        <w:rPr>
          <w:rFonts w:ascii="Arial" w:eastAsia="Arial" w:hAnsi="Arial" w:cs="Arial"/>
        </w:rPr>
        <w:t> </w:t>
      </w:r>
      <w:r>
        <w:t>; Amaigrissement SDD-017</w:t>
      </w:r>
    </w:p>
    <w:p w14:paraId="4E41F57F"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Œil rouge et/ou douloureux SDD-152</w:t>
      </w:r>
    </w:p>
    <w:p w14:paraId="5373F675"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 xml:space="preserve">Douleurs articulaires SDD-067 </w:t>
      </w:r>
    </w:p>
    <w:p w14:paraId="22C2C0DF"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Cholestase SDD-198</w:t>
      </w:r>
      <w:r>
        <w:rPr>
          <w:rFonts w:ascii="Arial" w:eastAsia="Arial" w:hAnsi="Arial" w:cs="Arial"/>
        </w:rPr>
        <w:t> </w:t>
      </w:r>
      <w:r>
        <w:t>; Splénomégalie SDD-058</w:t>
      </w:r>
      <w:r>
        <w:rPr>
          <w:rFonts w:ascii="Arial" w:eastAsia="Arial" w:hAnsi="Arial" w:cs="Arial"/>
        </w:rPr>
        <w:t> </w:t>
      </w:r>
      <w:r>
        <w:t>; Hépatomégalie SDD-006</w:t>
      </w:r>
    </w:p>
    <w:p w14:paraId="246DE0BD"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Paralysie faciale SDD-127</w:t>
      </w:r>
    </w:p>
    <w:p w14:paraId="26536F34"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Réalisation et interprétation d’un électrocardiogramme (ECG) SDD-185</w:t>
      </w:r>
      <w:r>
        <w:rPr>
          <w:rFonts w:ascii="Arial" w:eastAsia="Arial" w:hAnsi="Arial" w:cs="Arial"/>
        </w:rPr>
        <w:t> </w:t>
      </w:r>
      <w:r>
        <w:t>; Créatinine augmentée SDD-199</w:t>
      </w:r>
      <w:r>
        <w:rPr>
          <w:rFonts w:ascii="Arial" w:eastAsia="Arial" w:hAnsi="Arial" w:cs="Arial"/>
        </w:rPr>
        <w:t> </w:t>
      </w:r>
      <w:r>
        <w:t>; Anomalie leucocytes SDD-216</w:t>
      </w:r>
      <w:r>
        <w:rPr>
          <w:rFonts w:ascii="Arial" w:eastAsia="Arial" w:hAnsi="Arial" w:cs="Arial"/>
        </w:rPr>
        <w:t> </w:t>
      </w:r>
      <w:r>
        <w:t xml:space="preserve">; </w:t>
      </w:r>
      <w:proofErr w:type="spellStart"/>
      <w:r>
        <w:t>Dyscalcémie</w:t>
      </w:r>
      <w:proofErr w:type="spellEnd"/>
      <w:r>
        <w:t xml:space="preserve"> SDD-200</w:t>
      </w:r>
    </w:p>
    <w:p w14:paraId="69DDEEBC"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Demande/prescription raisonnée et choix d’un examen diagnostique SDD-178</w:t>
      </w:r>
    </w:p>
    <w:p w14:paraId="021CA221" w14:textId="77777777" w:rsidR="00EC2F22" w:rsidRDefault="00EC2F22" w:rsidP="00EC2F22">
      <w:pPr>
        <w:numPr>
          <w:ilvl w:val="0"/>
          <w:numId w:val="42"/>
        </w:numPr>
        <w:pBdr>
          <w:top w:val="nil"/>
          <w:left w:val="nil"/>
          <w:bottom w:val="nil"/>
          <w:right w:val="nil"/>
          <w:between w:val="nil"/>
        </w:pBdr>
        <w:spacing w:line="276" w:lineRule="auto"/>
        <w:ind w:left="284" w:hanging="142"/>
        <w:jc w:val="left"/>
      </w:pPr>
      <w:r>
        <w:t>Interprétation d’un compte rendu d’anatomopathologie SDD-180</w:t>
      </w:r>
    </w:p>
    <w:p w14:paraId="1F847AD2" w14:textId="77777777" w:rsidR="00EC2F22" w:rsidRDefault="00EC2F22" w:rsidP="00EC2F22">
      <w:pPr>
        <w:pBdr>
          <w:top w:val="nil"/>
          <w:left w:val="nil"/>
          <w:bottom w:val="nil"/>
          <w:right w:val="nil"/>
          <w:between w:val="nil"/>
        </w:pBdr>
        <w:spacing w:line="276" w:lineRule="auto"/>
        <w:jc w:val="left"/>
      </w:pPr>
    </w:p>
    <w:p w14:paraId="386891EC" w14:textId="77777777" w:rsidR="00EC2F22" w:rsidRDefault="00EC2F22" w:rsidP="00EC2F22">
      <w:pPr>
        <w:spacing w:line="276" w:lineRule="auto"/>
        <w:rPr>
          <w:b/>
          <w:bCs/>
          <w:color w:val="0070C0"/>
        </w:rPr>
      </w:pPr>
      <w:r>
        <w:rPr>
          <w:b/>
          <w:bCs/>
          <w:color w:val="0070C0"/>
        </w:rPr>
        <w:t>DCP</w:t>
      </w:r>
    </w:p>
    <w:p w14:paraId="1EB2EE17" w14:textId="77777777" w:rsidR="00EC2F22" w:rsidRDefault="00EC2F22" w:rsidP="00EC2F22">
      <w:pPr>
        <w:spacing w:line="276" w:lineRule="auto"/>
        <w:rPr>
          <w:b/>
          <w:bCs/>
          <w:color w:val="0070C0"/>
        </w:rPr>
      </w:pPr>
    </w:p>
    <w:p w14:paraId="5164BCA6" w14:textId="77777777" w:rsidR="00EC2F22" w:rsidRDefault="00EC2F22" w:rsidP="00EC2F22">
      <w:pPr>
        <w:numPr>
          <w:ilvl w:val="0"/>
          <w:numId w:val="27"/>
        </w:numPr>
        <w:pBdr>
          <w:top w:val="nil"/>
          <w:left w:val="nil"/>
          <w:bottom w:val="nil"/>
          <w:right w:val="nil"/>
          <w:between w:val="nil"/>
        </w:pBdr>
        <w:spacing w:line="276" w:lineRule="auto"/>
        <w:jc w:val="left"/>
        <w:rPr>
          <w:b/>
          <w:bCs/>
        </w:rPr>
      </w:pPr>
      <w:r>
        <w:rPr>
          <w:b/>
          <w:bCs/>
        </w:rPr>
        <w:t>QRM</w:t>
      </w:r>
    </w:p>
    <w:p w14:paraId="20A61369" w14:textId="77777777" w:rsidR="00EC2F22" w:rsidRDefault="00EC2F22" w:rsidP="00EC2F22">
      <w:pPr>
        <w:spacing w:line="276" w:lineRule="auto"/>
      </w:pPr>
      <w:r>
        <w:t>Une femme de 28 ans consulte pour une toux évoluant depuis plus de 4 mois. Sur la radiographie de thorax de face que vous avez prescrite, le radiologue décrit la présence de micronodules et a pratiqué un scanner thoracique en coupes fines pour avancer dans le diagnostic. Voici les trois coupes les plus représentatives :</w:t>
      </w:r>
    </w:p>
    <w:tbl>
      <w:tblPr>
        <w:tblW w:w="9628"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4"/>
      </w:tblGrid>
      <w:tr w:rsidR="00EC2F22" w14:paraId="427AB636" w14:textId="77777777" w:rsidTr="0094705B">
        <w:tc>
          <w:tcPr>
            <w:tcW w:w="4814" w:type="dxa"/>
          </w:tcPr>
          <w:p w14:paraId="1E43543A" w14:textId="77777777" w:rsidR="00EC2F22" w:rsidRDefault="00EC2F22" w:rsidP="0094705B">
            <w:pPr>
              <w:spacing w:line="276" w:lineRule="auto"/>
              <w:jc w:val="center"/>
            </w:pPr>
            <w:r>
              <w:rPr>
                <w:noProof/>
              </w:rPr>
              <w:drawing>
                <wp:inline distT="0" distB="0" distL="0" distR="0" wp14:anchorId="43D6E903" wp14:editId="26B5F5AD">
                  <wp:extent cx="2697184" cy="1800000"/>
                  <wp:effectExtent l="0" t="0" r="0" b="0"/>
                  <wp:docPr id="10" name="image10.png"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0.png" descr="Une image contenant texte&#10;&#10;Description générée automatiquement"/>
                          <pic:cNvPicPr preferRelativeResize="0"/>
                        </pic:nvPicPr>
                        <pic:blipFill>
                          <a:blip r:embed="rId23"/>
                          <a:srcRect/>
                          <a:stretch>
                            <a:fillRect/>
                          </a:stretch>
                        </pic:blipFill>
                        <pic:spPr>
                          <a:xfrm>
                            <a:off x="0" y="0"/>
                            <a:ext cx="2697184" cy="1800000"/>
                          </a:xfrm>
                          <a:prstGeom prst="rect">
                            <a:avLst/>
                          </a:prstGeom>
                          <a:ln/>
                        </pic:spPr>
                      </pic:pic>
                    </a:graphicData>
                  </a:graphic>
                </wp:inline>
              </w:drawing>
            </w:r>
          </w:p>
        </w:tc>
        <w:tc>
          <w:tcPr>
            <w:tcW w:w="4814" w:type="dxa"/>
          </w:tcPr>
          <w:p w14:paraId="1802E793" w14:textId="77777777" w:rsidR="00EC2F22" w:rsidRDefault="00EC2F22" w:rsidP="0094705B">
            <w:pPr>
              <w:spacing w:line="276" w:lineRule="auto"/>
              <w:jc w:val="center"/>
            </w:pPr>
            <w:r>
              <w:rPr>
                <w:noProof/>
              </w:rPr>
              <w:drawing>
                <wp:inline distT="0" distB="0" distL="0" distR="0" wp14:anchorId="2D9EC2AB" wp14:editId="3E9EE546">
                  <wp:extent cx="2557092" cy="1800000"/>
                  <wp:effectExtent l="0" t="0" r="0" b="0"/>
                  <wp:docPr id="11" name="image9.png" descr="Une image contenant texte, tissu&#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9.png" descr="Une image contenant texte, tissu&#10;&#10;Description générée automatiquement"/>
                          <pic:cNvPicPr preferRelativeResize="0"/>
                        </pic:nvPicPr>
                        <pic:blipFill>
                          <a:blip r:embed="rId24"/>
                          <a:srcRect/>
                          <a:stretch>
                            <a:fillRect/>
                          </a:stretch>
                        </pic:blipFill>
                        <pic:spPr>
                          <a:xfrm>
                            <a:off x="0" y="0"/>
                            <a:ext cx="2557092" cy="1800000"/>
                          </a:xfrm>
                          <a:prstGeom prst="rect">
                            <a:avLst/>
                          </a:prstGeom>
                          <a:ln/>
                        </pic:spPr>
                      </pic:pic>
                    </a:graphicData>
                  </a:graphic>
                </wp:inline>
              </w:drawing>
            </w:r>
          </w:p>
        </w:tc>
      </w:tr>
      <w:tr w:rsidR="00EC2F22" w14:paraId="246D13B3" w14:textId="77777777" w:rsidTr="0094705B">
        <w:tc>
          <w:tcPr>
            <w:tcW w:w="9628" w:type="dxa"/>
            <w:gridSpan w:val="2"/>
          </w:tcPr>
          <w:p w14:paraId="78AD1E37" w14:textId="77777777" w:rsidR="00EC2F22" w:rsidRDefault="00EC2F22" w:rsidP="0094705B">
            <w:pPr>
              <w:spacing w:line="276" w:lineRule="auto"/>
              <w:jc w:val="center"/>
            </w:pPr>
            <w:r>
              <w:rPr>
                <w:noProof/>
              </w:rPr>
              <w:lastRenderedPageBreak/>
              <w:drawing>
                <wp:inline distT="0" distB="0" distL="0" distR="0" wp14:anchorId="70CE8F62" wp14:editId="3F5FA474">
                  <wp:extent cx="2626513" cy="1800000"/>
                  <wp:effectExtent l="0" t="0" r="0" b="0"/>
                  <wp:docPr id="12" name="image2.png" descr="Une image contenant tex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png" descr="Une image contenant texte&#10;&#10;Description générée automatiquement"/>
                          <pic:cNvPicPr preferRelativeResize="0"/>
                        </pic:nvPicPr>
                        <pic:blipFill>
                          <a:blip r:embed="rId25"/>
                          <a:srcRect/>
                          <a:stretch>
                            <a:fillRect/>
                          </a:stretch>
                        </pic:blipFill>
                        <pic:spPr>
                          <a:xfrm>
                            <a:off x="0" y="0"/>
                            <a:ext cx="2626513" cy="1800000"/>
                          </a:xfrm>
                          <a:prstGeom prst="rect">
                            <a:avLst/>
                          </a:prstGeom>
                          <a:ln/>
                        </pic:spPr>
                      </pic:pic>
                    </a:graphicData>
                  </a:graphic>
                </wp:inline>
              </w:drawing>
            </w:r>
          </w:p>
        </w:tc>
      </w:tr>
    </w:tbl>
    <w:p w14:paraId="07998D47" w14:textId="77777777" w:rsidR="00EC2F22" w:rsidRDefault="00EC2F22" w:rsidP="00EC2F22">
      <w:pPr>
        <w:spacing w:line="276" w:lineRule="auto"/>
      </w:pPr>
      <w:r>
        <w:t>Quelle(s) affirmation(s) est(sont) exacte(s) concernant les anomalies présentes sur ce scanner</w:t>
      </w:r>
      <w:r>
        <w:rPr>
          <w:rFonts w:ascii="Arial" w:eastAsia="Arial" w:hAnsi="Arial" w:cs="Arial"/>
        </w:rPr>
        <w:t> </w:t>
      </w:r>
      <w:r>
        <w:t>?</w:t>
      </w:r>
    </w:p>
    <w:p w14:paraId="28CD88B4" w14:textId="77777777" w:rsidR="00EC2F22" w:rsidRDefault="00EC2F22" w:rsidP="00EC2F22">
      <w:pPr>
        <w:numPr>
          <w:ilvl w:val="0"/>
          <w:numId w:val="46"/>
        </w:numPr>
        <w:pBdr>
          <w:top w:val="nil"/>
          <w:left w:val="nil"/>
          <w:bottom w:val="nil"/>
          <w:right w:val="nil"/>
          <w:between w:val="nil"/>
        </w:pBdr>
        <w:spacing w:line="276" w:lineRule="auto"/>
      </w:pPr>
      <w:proofErr w:type="spellStart"/>
      <w:r>
        <w:t>Micro-nodules</w:t>
      </w:r>
      <w:proofErr w:type="spellEnd"/>
      <w:r>
        <w:t xml:space="preserve"> intra-parenchymateux diffus</w:t>
      </w:r>
    </w:p>
    <w:p w14:paraId="700225CC" w14:textId="77777777" w:rsidR="00EC2F22" w:rsidRDefault="00EC2F22" w:rsidP="00EC2F22">
      <w:pPr>
        <w:numPr>
          <w:ilvl w:val="0"/>
          <w:numId w:val="46"/>
        </w:numPr>
        <w:pBdr>
          <w:top w:val="nil"/>
          <w:left w:val="nil"/>
          <w:bottom w:val="nil"/>
          <w:right w:val="nil"/>
          <w:between w:val="nil"/>
        </w:pBdr>
        <w:spacing w:line="276" w:lineRule="auto"/>
      </w:pPr>
      <w:r>
        <w:t>Kystes en rayon de miel</w:t>
      </w:r>
    </w:p>
    <w:p w14:paraId="1D70FD18" w14:textId="77777777" w:rsidR="00EC2F22" w:rsidRDefault="00EC2F22" w:rsidP="00EC2F22">
      <w:pPr>
        <w:numPr>
          <w:ilvl w:val="0"/>
          <w:numId w:val="46"/>
        </w:numPr>
        <w:pBdr>
          <w:top w:val="nil"/>
          <w:left w:val="nil"/>
          <w:bottom w:val="nil"/>
          <w:right w:val="nil"/>
          <w:between w:val="nil"/>
        </w:pBdr>
        <w:spacing w:line="276" w:lineRule="auto"/>
      </w:pPr>
      <w:proofErr w:type="spellStart"/>
      <w:r>
        <w:t>Micro-nodules</w:t>
      </w:r>
      <w:proofErr w:type="spellEnd"/>
      <w:r>
        <w:t xml:space="preserve"> à disposition </w:t>
      </w:r>
      <w:proofErr w:type="spellStart"/>
      <w:r>
        <w:t>périlymphatique</w:t>
      </w:r>
      <w:proofErr w:type="spellEnd"/>
    </w:p>
    <w:p w14:paraId="12AA5079" w14:textId="77777777" w:rsidR="00EC2F22" w:rsidRDefault="00EC2F22" w:rsidP="00EC2F22">
      <w:pPr>
        <w:numPr>
          <w:ilvl w:val="0"/>
          <w:numId w:val="46"/>
        </w:numPr>
        <w:pBdr>
          <w:top w:val="nil"/>
          <w:left w:val="nil"/>
          <w:bottom w:val="nil"/>
          <w:right w:val="nil"/>
          <w:between w:val="nil"/>
        </w:pBdr>
        <w:spacing w:line="276" w:lineRule="auto"/>
      </w:pPr>
      <w:proofErr w:type="spellStart"/>
      <w:r>
        <w:t>Micro-nodules</w:t>
      </w:r>
      <w:proofErr w:type="spellEnd"/>
      <w:r>
        <w:t xml:space="preserve"> à disposition bronchiolaire </w:t>
      </w:r>
    </w:p>
    <w:p w14:paraId="2ADDE1C3" w14:textId="77777777" w:rsidR="00EC2F22" w:rsidRDefault="00EC2F22" w:rsidP="00EC2F22">
      <w:pPr>
        <w:numPr>
          <w:ilvl w:val="0"/>
          <w:numId w:val="46"/>
        </w:numPr>
        <w:pBdr>
          <w:top w:val="nil"/>
          <w:left w:val="nil"/>
          <w:bottom w:val="nil"/>
          <w:right w:val="nil"/>
          <w:between w:val="nil"/>
        </w:pBdr>
        <w:spacing w:line="276" w:lineRule="auto"/>
      </w:pPr>
      <w:r>
        <w:t>Plages de verre dépoli</w:t>
      </w:r>
    </w:p>
    <w:p w14:paraId="1D2ACB56" w14:textId="77777777" w:rsidR="00EC2F22" w:rsidRDefault="00EC2F22" w:rsidP="00EC2F22">
      <w:pPr>
        <w:numPr>
          <w:ilvl w:val="0"/>
          <w:numId w:val="46"/>
        </w:numPr>
        <w:pBdr>
          <w:top w:val="nil"/>
          <w:left w:val="nil"/>
          <w:bottom w:val="nil"/>
          <w:right w:val="nil"/>
          <w:between w:val="nil"/>
        </w:pBdr>
        <w:spacing w:line="276" w:lineRule="auto"/>
      </w:pPr>
      <w:r>
        <w:t>Aspect «</w:t>
      </w:r>
      <w:r>
        <w:rPr>
          <w:rFonts w:ascii="Arial" w:eastAsia="Arial" w:hAnsi="Arial" w:cs="Arial"/>
        </w:rPr>
        <w:t> </w:t>
      </w:r>
      <w:r>
        <w:t>perlé</w:t>
      </w:r>
      <w:r>
        <w:rPr>
          <w:rFonts w:ascii="Arial" w:eastAsia="Arial" w:hAnsi="Arial" w:cs="Arial"/>
        </w:rPr>
        <w:t> </w:t>
      </w:r>
      <w:r>
        <w:t>» de la grande scissure gauche</w:t>
      </w:r>
    </w:p>
    <w:p w14:paraId="0DC75F63" w14:textId="77777777" w:rsidR="00EC2F22" w:rsidRDefault="00EC2F22" w:rsidP="00EC2F22">
      <w:pPr>
        <w:spacing w:line="276" w:lineRule="auto"/>
        <w:rPr>
          <w:b/>
          <w:bCs/>
        </w:rPr>
      </w:pPr>
    </w:p>
    <w:p w14:paraId="34A314D5" w14:textId="77777777" w:rsidR="00EC2F22" w:rsidRDefault="00EC2F22" w:rsidP="00EC2F22">
      <w:pPr>
        <w:numPr>
          <w:ilvl w:val="0"/>
          <w:numId w:val="27"/>
        </w:numPr>
        <w:pBdr>
          <w:top w:val="nil"/>
          <w:left w:val="nil"/>
          <w:bottom w:val="nil"/>
          <w:right w:val="nil"/>
          <w:between w:val="nil"/>
        </w:pBdr>
        <w:spacing w:line="276" w:lineRule="auto"/>
        <w:jc w:val="left"/>
        <w:rPr>
          <w:b/>
          <w:bCs/>
        </w:rPr>
      </w:pPr>
      <w:r>
        <w:rPr>
          <w:b/>
          <w:bCs/>
        </w:rPr>
        <w:t>QRP (2 réponses)</w:t>
      </w:r>
    </w:p>
    <w:p w14:paraId="6F630E3C" w14:textId="77777777" w:rsidR="00EC2F22" w:rsidRDefault="00EC2F22" w:rsidP="00EC2F22">
      <w:pPr>
        <w:spacing w:line="276" w:lineRule="auto"/>
      </w:pPr>
      <w:r>
        <w:t>Vous suspectez une sarcoïdose. Parmi les éléments suivants, lesquels ne sont pas compatibles avec ce diagnostic</w:t>
      </w:r>
      <w:r>
        <w:rPr>
          <w:rFonts w:ascii="Arial" w:eastAsia="Arial" w:hAnsi="Arial" w:cs="Arial"/>
        </w:rPr>
        <w:t> </w:t>
      </w:r>
      <w:r>
        <w:t>?</w:t>
      </w:r>
    </w:p>
    <w:p w14:paraId="4626125A" w14:textId="77777777" w:rsidR="00EC2F22" w:rsidRDefault="00EC2F22" w:rsidP="00EC2F22">
      <w:pPr>
        <w:numPr>
          <w:ilvl w:val="0"/>
          <w:numId w:val="24"/>
        </w:numPr>
        <w:pBdr>
          <w:top w:val="nil"/>
          <w:left w:val="nil"/>
          <w:bottom w:val="nil"/>
          <w:right w:val="nil"/>
          <w:between w:val="nil"/>
        </w:pBdr>
        <w:spacing w:line="276" w:lineRule="auto"/>
      </w:pPr>
      <w:r>
        <w:t>Toux non-productive</w:t>
      </w:r>
    </w:p>
    <w:p w14:paraId="3D9AD898" w14:textId="77777777" w:rsidR="00EC2F22" w:rsidRDefault="00EC2F22" w:rsidP="00EC2F22">
      <w:pPr>
        <w:numPr>
          <w:ilvl w:val="0"/>
          <w:numId w:val="24"/>
        </w:numPr>
        <w:pBdr>
          <w:top w:val="nil"/>
          <w:left w:val="nil"/>
          <w:bottom w:val="nil"/>
          <w:right w:val="nil"/>
          <w:between w:val="nil"/>
        </w:pBdr>
        <w:spacing w:line="276" w:lineRule="auto"/>
      </w:pPr>
      <w:r>
        <w:t>Crépitants à l’auscultation</w:t>
      </w:r>
    </w:p>
    <w:p w14:paraId="78740726" w14:textId="77777777" w:rsidR="00EC2F22" w:rsidRDefault="00EC2F22" w:rsidP="00EC2F22">
      <w:pPr>
        <w:numPr>
          <w:ilvl w:val="0"/>
          <w:numId w:val="24"/>
        </w:numPr>
        <w:pBdr>
          <w:top w:val="nil"/>
          <w:left w:val="nil"/>
          <w:bottom w:val="nil"/>
          <w:right w:val="nil"/>
          <w:between w:val="nil"/>
        </w:pBdr>
        <w:spacing w:line="276" w:lineRule="auto"/>
      </w:pPr>
      <w:r>
        <w:t>Antécédent d’érythème noueux</w:t>
      </w:r>
    </w:p>
    <w:p w14:paraId="16432508" w14:textId="77777777" w:rsidR="00EC2F22" w:rsidRDefault="00EC2F22" w:rsidP="00EC2F22">
      <w:pPr>
        <w:numPr>
          <w:ilvl w:val="0"/>
          <w:numId w:val="24"/>
        </w:numPr>
        <w:pBdr>
          <w:top w:val="nil"/>
          <w:left w:val="nil"/>
          <w:bottom w:val="nil"/>
          <w:right w:val="nil"/>
          <w:between w:val="nil"/>
        </w:pBdr>
        <w:spacing w:line="276" w:lineRule="auto"/>
      </w:pPr>
      <w:r>
        <w:t>Arthralgies</w:t>
      </w:r>
    </w:p>
    <w:p w14:paraId="28F070DC" w14:textId="77777777" w:rsidR="00EC2F22" w:rsidRDefault="00EC2F22" w:rsidP="00EC2F22">
      <w:pPr>
        <w:numPr>
          <w:ilvl w:val="0"/>
          <w:numId w:val="24"/>
        </w:numPr>
        <w:pBdr>
          <w:top w:val="nil"/>
          <w:left w:val="nil"/>
          <w:bottom w:val="nil"/>
          <w:right w:val="nil"/>
          <w:between w:val="nil"/>
        </w:pBdr>
        <w:spacing w:line="276" w:lineRule="auto"/>
      </w:pPr>
      <w:r>
        <w:t>Poids conservé</w:t>
      </w:r>
    </w:p>
    <w:p w14:paraId="2B26704E" w14:textId="77777777" w:rsidR="00EC2F22" w:rsidRDefault="00EC2F22" w:rsidP="00EC2F22">
      <w:pPr>
        <w:numPr>
          <w:ilvl w:val="0"/>
          <w:numId w:val="24"/>
        </w:numPr>
        <w:pBdr>
          <w:top w:val="nil"/>
          <w:left w:val="nil"/>
          <w:bottom w:val="nil"/>
          <w:right w:val="nil"/>
          <w:between w:val="nil"/>
        </w:pBdr>
        <w:spacing w:line="276" w:lineRule="auto"/>
      </w:pPr>
      <w:r>
        <w:t>Asthénie</w:t>
      </w:r>
    </w:p>
    <w:p w14:paraId="7CAF25A4" w14:textId="77777777" w:rsidR="00EC2F22" w:rsidRDefault="00EC2F22" w:rsidP="00EC2F22">
      <w:pPr>
        <w:numPr>
          <w:ilvl w:val="0"/>
          <w:numId w:val="24"/>
        </w:numPr>
        <w:pBdr>
          <w:top w:val="nil"/>
          <w:left w:val="nil"/>
          <w:bottom w:val="nil"/>
          <w:right w:val="nil"/>
          <w:between w:val="nil"/>
        </w:pBdr>
        <w:spacing w:line="276" w:lineRule="auto"/>
      </w:pPr>
      <w:r>
        <w:t>Adénopathies cervicales</w:t>
      </w:r>
    </w:p>
    <w:p w14:paraId="66440574" w14:textId="77777777" w:rsidR="00EC2F22" w:rsidRDefault="00EC2F22" w:rsidP="00EC2F22">
      <w:pPr>
        <w:numPr>
          <w:ilvl w:val="0"/>
          <w:numId w:val="24"/>
        </w:numPr>
        <w:pBdr>
          <w:top w:val="nil"/>
          <w:left w:val="nil"/>
          <w:bottom w:val="nil"/>
          <w:right w:val="nil"/>
          <w:between w:val="nil"/>
        </w:pBdr>
        <w:spacing w:line="276" w:lineRule="auto"/>
      </w:pPr>
      <w:r>
        <w:t>Lymphopénie</w:t>
      </w:r>
    </w:p>
    <w:p w14:paraId="5A921D2A" w14:textId="77777777" w:rsidR="00EC2F22" w:rsidRDefault="00EC2F22" w:rsidP="00EC2F22">
      <w:pPr>
        <w:numPr>
          <w:ilvl w:val="0"/>
          <w:numId w:val="24"/>
        </w:numPr>
        <w:pBdr>
          <w:top w:val="nil"/>
          <w:left w:val="nil"/>
          <w:bottom w:val="nil"/>
          <w:right w:val="nil"/>
          <w:between w:val="nil"/>
        </w:pBdr>
        <w:spacing w:line="276" w:lineRule="auto"/>
      </w:pPr>
      <w:r>
        <w:t>Taux normal de l’enzyme de conversion de l’angiotensine sérique</w:t>
      </w:r>
    </w:p>
    <w:p w14:paraId="3275AEEC" w14:textId="77777777" w:rsidR="00EC2F22" w:rsidRDefault="00EC2F22" w:rsidP="00EC2F22">
      <w:pPr>
        <w:numPr>
          <w:ilvl w:val="0"/>
          <w:numId w:val="24"/>
        </w:numPr>
        <w:pBdr>
          <w:top w:val="nil"/>
          <w:left w:val="nil"/>
          <w:bottom w:val="nil"/>
          <w:right w:val="nil"/>
          <w:between w:val="nil"/>
        </w:pBdr>
        <w:spacing w:line="276" w:lineRule="auto"/>
      </w:pPr>
      <w:r>
        <w:t>Hypogammaglobulinémie</w:t>
      </w:r>
    </w:p>
    <w:p w14:paraId="67C46554" w14:textId="77777777" w:rsidR="00EC2F22" w:rsidRDefault="00EC2F22" w:rsidP="00EC2F22">
      <w:pPr>
        <w:spacing w:line="276" w:lineRule="auto"/>
      </w:pPr>
    </w:p>
    <w:p w14:paraId="7470404C" w14:textId="77777777" w:rsidR="00EC2F22" w:rsidRDefault="00EC2F22" w:rsidP="00EC2F22">
      <w:pPr>
        <w:numPr>
          <w:ilvl w:val="0"/>
          <w:numId w:val="27"/>
        </w:numPr>
        <w:pBdr>
          <w:top w:val="nil"/>
          <w:left w:val="nil"/>
          <w:bottom w:val="nil"/>
          <w:right w:val="nil"/>
          <w:between w:val="nil"/>
        </w:pBdr>
        <w:spacing w:line="276" w:lineRule="auto"/>
        <w:jc w:val="left"/>
        <w:rPr>
          <w:b/>
          <w:bCs/>
        </w:rPr>
      </w:pPr>
      <w:r>
        <w:rPr>
          <w:b/>
          <w:bCs/>
        </w:rPr>
        <w:t>QRM</w:t>
      </w:r>
    </w:p>
    <w:p w14:paraId="115F9C52" w14:textId="77777777" w:rsidR="00EC2F22" w:rsidRDefault="00EC2F22" w:rsidP="00EC2F22">
      <w:pPr>
        <w:spacing w:line="276" w:lineRule="auto"/>
      </w:pPr>
      <w:r>
        <w:t>L’auscultation pulmonaire est sans particularité. La patiente n’est pas essoufflée à l’effort.</w:t>
      </w:r>
    </w:p>
    <w:p w14:paraId="1BFCC13F" w14:textId="77777777" w:rsidR="00EC2F22" w:rsidRDefault="00EC2F22" w:rsidP="00EC2F22">
      <w:pPr>
        <w:spacing w:line="276" w:lineRule="auto"/>
      </w:pPr>
      <w:r>
        <w:t>Une exploration fonctionnelle respiratoire (EFR) est réalisée dont voici le résultat :</w:t>
      </w:r>
    </w:p>
    <w:p w14:paraId="4A8E3DFE" w14:textId="77777777" w:rsidR="00EC2F22" w:rsidRDefault="00EC2F22" w:rsidP="00EC2F22">
      <w:pPr>
        <w:spacing w:line="276" w:lineRule="auto"/>
        <w:jc w:val="center"/>
      </w:pPr>
      <w:r>
        <w:rPr>
          <w:noProof/>
        </w:rPr>
        <w:lastRenderedPageBreak/>
        <w:drawing>
          <wp:inline distT="0" distB="0" distL="0" distR="0" wp14:anchorId="5334C7BD" wp14:editId="2ADF7015">
            <wp:extent cx="3074520" cy="2158948"/>
            <wp:effectExtent l="0" t="0" r="0" b="0"/>
            <wp:docPr id="2123817233" name="image4.jpg" descr="Une image contenant texte, reçu&#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4.jpg" descr="Une image contenant texte, reçu&#10;&#10;Description générée automatiquement"/>
                    <pic:cNvPicPr preferRelativeResize="0"/>
                  </pic:nvPicPr>
                  <pic:blipFill>
                    <a:blip r:embed="rId26"/>
                    <a:srcRect/>
                    <a:stretch>
                      <a:fillRect/>
                    </a:stretch>
                  </pic:blipFill>
                  <pic:spPr>
                    <a:xfrm>
                      <a:off x="0" y="0"/>
                      <a:ext cx="3074520" cy="2158948"/>
                    </a:xfrm>
                    <a:prstGeom prst="rect">
                      <a:avLst/>
                    </a:prstGeom>
                    <a:ln/>
                  </pic:spPr>
                </pic:pic>
              </a:graphicData>
            </a:graphic>
          </wp:inline>
        </w:drawing>
      </w:r>
    </w:p>
    <w:p w14:paraId="4DED0447" w14:textId="77777777" w:rsidR="00EC2F22" w:rsidRDefault="00EC2F22" w:rsidP="00EC2F22">
      <w:pPr>
        <w:spacing w:line="276" w:lineRule="auto"/>
        <w:jc w:val="center"/>
      </w:pPr>
    </w:p>
    <w:p w14:paraId="18C9EAD1" w14:textId="77777777" w:rsidR="00EC2F22" w:rsidRDefault="00EC2F22" w:rsidP="00EC2F22">
      <w:pPr>
        <w:spacing w:line="276" w:lineRule="auto"/>
      </w:pPr>
      <w:r>
        <w:t>Quelle(s) affirmation(s) est(sont) exacte(s)</w:t>
      </w:r>
      <w:r>
        <w:rPr>
          <w:rFonts w:ascii="Arial" w:eastAsia="Arial" w:hAnsi="Arial" w:cs="Arial"/>
        </w:rPr>
        <w:t> </w:t>
      </w:r>
      <w:r>
        <w:t>?</w:t>
      </w:r>
    </w:p>
    <w:p w14:paraId="1542114C" w14:textId="77777777" w:rsidR="00EC2F22" w:rsidRDefault="00EC2F22" w:rsidP="00EC2F22">
      <w:pPr>
        <w:numPr>
          <w:ilvl w:val="0"/>
          <w:numId w:val="25"/>
        </w:numPr>
        <w:pBdr>
          <w:top w:val="nil"/>
          <w:left w:val="nil"/>
          <w:bottom w:val="nil"/>
          <w:right w:val="nil"/>
          <w:between w:val="nil"/>
        </w:pBdr>
        <w:spacing w:line="276" w:lineRule="auto"/>
      </w:pPr>
      <w:r>
        <w:t>Trouble ventilatoire restrictif</w:t>
      </w:r>
    </w:p>
    <w:p w14:paraId="229E3B05" w14:textId="77777777" w:rsidR="00EC2F22" w:rsidRDefault="00EC2F22" w:rsidP="00EC2F22">
      <w:pPr>
        <w:numPr>
          <w:ilvl w:val="0"/>
          <w:numId w:val="25"/>
        </w:numPr>
        <w:pBdr>
          <w:top w:val="nil"/>
          <w:left w:val="nil"/>
          <w:bottom w:val="nil"/>
          <w:right w:val="nil"/>
          <w:between w:val="nil"/>
        </w:pBdr>
        <w:spacing w:line="276" w:lineRule="auto"/>
      </w:pPr>
      <w:r>
        <w:t>Trouble ventilatoire obstructif</w:t>
      </w:r>
    </w:p>
    <w:p w14:paraId="2B4B0150" w14:textId="77777777" w:rsidR="00EC2F22" w:rsidRDefault="00EC2F22" w:rsidP="00EC2F22">
      <w:pPr>
        <w:numPr>
          <w:ilvl w:val="0"/>
          <w:numId w:val="25"/>
        </w:numPr>
        <w:pBdr>
          <w:top w:val="nil"/>
          <w:left w:val="nil"/>
          <w:bottom w:val="nil"/>
          <w:right w:val="nil"/>
          <w:between w:val="nil"/>
        </w:pBdr>
        <w:spacing w:line="276" w:lineRule="auto"/>
      </w:pPr>
      <w:r>
        <w:t>Examen compatible avec le diagnostic de sarcoïdose</w:t>
      </w:r>
    </w:p>
    <w:p w14:paraId="777E3360" w14:textId="77777777" w:rsidR="00EC2F22" w:rsidRDefault="00EC2F22" w:rsidP="00EC2F22">
      <w:pPr>
        <w:numPr>
          <w:ilvl w:val="0"/>
          <w:numId w:val="25"/>
        </w:numPr>
        <w:pBdr>
          <w:top w:val="nil"/>
          <w:left w:val="nil"/>
          <w:bottom w:val="nil"/>
          <w:right w:val="nil"/>
          <w:between w:val="nil"/>
        </w:pBdr>
        <w:spacing w:line="276" w:lineRule="auto"/>
      </w:pPr>
      <w:r>
        <w:t>Trouble ventilatoire mixte</w:t>
      </w:r>
    </w:p>
    <w:p w14:paraId="3F85D77F" w14:textId="77777777" w:rsidR="00EC2F22" w:rsidRDefault="00EC2F22" w:rsidP="00EC2F22">
      <w:pPr>
        <w:numPr>
          <w:ilvl w:val="0"/>
          <w:numId w:val="25"/>
        </w:numPr>
        <w:pBdr>
          <w:top w:val="nil"/>
          <w:left w:val="nil"/>
          <w:bottom w:val="nil"/>
          <w:right w:val="nil"/>
          <w:between w:val="nil"/>
        </w:pBdr>
        <w:spacing w:line="276" w:lineRule="auto"/>
      </w:pPr>
      <w:r>
        <w:t>Absence d’anomalie</w:t>
      </w:r>
    </w:p>
    <w:p w14:paraId="0CA8F317" w14:textId="77777777" w:rsidR="00EC2F22" w:rsidRDefault="00EC2F22" w:rsidP="00EC2F22">
      <w:pPr>
        <w:spacing w:line="276" w:lineRule="auto"/>
      </w:pPr>
    </w:p>
    <w:p w14:paraId="48826590" w14:textId="77777777" w:rsidR="00EC2F22" w:rsidRDefault="00EC2F22" w:rsidP="00EC2F22">
      <w:pPr>
        <w:numPr>
          <w:ilvl w:val="0"/>
          <w:numId w:val="27"/>
        </w:numPr>
        <w:pBdr>
          <w:top w:val="nil"/>
          <w:left w:val="nil"/>
          <w:bottom w:val="nil"/>
          <w:right w:val="nil"/>
          <w:between w:val="nil"/>
        </w:pBdr>
        <w:spacing w:line="276" w:lineRule="auto"/>
        <w:jc w:val="left"/>
        <w:rPr>
          <w:b/>
          <w:bCs/>
        </w:rPr>
      </w:pPr>
      <w:r>
        <w:rPr>
          <w:b/>
          <w:bCs/>
        </w:rPr>
        <w:t>QRP (3 réponses)</w:t>
      </w:r>
    </w:p>
    <w:p w14:paraId="4D7F2598" w14:textId="77777777" w:rsidR="00EC2F22" w:rsidRDefault="00EC2F22" w:rsidP="00EC2F22">
      <w:pPr>
        <w:spacing w:line="276" w:lineRule="auto"/>
      </w:pPr>
      <w:r>
        <w:t>Le compte rendu du scanner est le suivant : présence de micronodules diffus à disposition intra-parenchymateuse, sous-pleurale et péri-broncho-vasculaire associée à la présence de ganglions hilaires supra-centimétriques.</w:t>
      </w:r>
    </w:p>
    <w:p w14:paraId="21D221B8" w14:textId="77777777" w:rsidR="00EC2F22" w:rsidRDefault="00EC2F22" w:rsidP="00EC2F22">
      <w:pPr>
        <w:spacing w:line="276" w:lineRule="auto"/>
      </w:pPr>
      <w:r>
        <w:t>Parmi les examens suivants lesquels proposeriez-vous en 1</w:t>
      </w:r>
      <w:r>
        <w:rPr>
          <w:vertAlign w:val="superscript"/>
        </w:rPr>
        <w:t>re</w:t>
      </w:r>
      <w:r>
        <w:t xml:space="preserve"> intention pour confirmer histologiquement le diagnostic de sarcoïdose chez cette patiente</w:t>
      </w:r>
      <w:r>
        <w:rPr>
          <w:rFonts w:ascii="Arial" w:eastAsia="Arial" w:hAnsi="Arial" w:cs="Arial"/>
        </w:rPr>
        <w:t> </w:t>
      </w:r>
      <w:r>
        <w:t>?</w:t>
      </w:r>
    </w:p>
    <w:p w14:paraId="15646018" w14:textId="77777777" w:rsidR="00EC2F22" w:rsidRDefault="00EC2F22" w:rsidP="00EC2F22">
      <w:pPr>
        <w:numPr>
          <w:ilvl w:val="0"/>
          <w:numId w:val="26"/>
        </w:numPr>
        <w:pBdr>
          <w:top w:val="nil"/>
          <w:left w:val="nil"/>
          <w:bottom w:val="nil"/>
          <w:right w:val="nil"/>
          <w:between w:val="nil"/>
        </w:pBdr>
        <w:spacing w:line="276" w:lineRule="auto"/>
      </w:pPr>
      <w:r>
        <w:t>Biopsies guidées par tomographie par émission de positon au 18 FDG (18FDG-TEP)</w:t>
      </w:r>
    </w:p>
    <w:p w14:paraId="46C740CD" w14:textId="77777777" w:rsidR="00EC2F22" w:rsidRDefault="00EC2F22" w:rsidP="00EC2F22">
      <w:pPr>
        <w:numPr>
          <w:ilvl w:val="0"/>
          <w:numId w:val="26"/>
        </w:numPr>
        <w:pBdr>
          <w:top w:val="nil"/>
          <w:left w:val="nil"/>
          <w:bottom w:val="nil"/>
          <w:right w:val="nil"/>
          <w:between w:val="nil"/>
        </w:pBdr>
        <w:spacing w:line="276" w:lineRule="auto"/>
      </w:pPr>
      <w:r>
        <w:t>Biopsies d’éperons bronchiques étagées</w:t>
      </w:r>
    </w:p>
    <w:p w14:paraId="650DC845" w14:textId="77777777" w:rsidR="00EC2F22" w:rsidRDefault="00EC2F22" w:rsidP="00EC2F22">
      <w:pPr>
        <w:numPr>
          <w:ilvl w:val="0"/>
          <w:numId w:val="26"/>
        </w:numPr>
        <w:pBdr>
          <w:top w:val="nil"/>
          <w:left w:val="nil"/>
          <w:bottom w:val="nil"/>
          <w:right w:val="nil"/>
          <w:between w:val="nil"/>
        </w:pBdr>
        <w:spacing w:line="276" w:lineRule="auto"/>
      </w:pPr>
      <w:r>
        <w:t xml:space="preserve">Biopsies ganglionnaires par </w:t>
      </w:r>
      <w:proofErr w:type="spellStart"/>
      <w:r>
        <w:t>médiastinoscopie</w:t>
      </w:r>
      <w:proofErr w:type="spellEnd"/>
    </w:p>
    <w:p w14:paraId="5CC8EA10" w14:textId="77777777" w:rsidR="00EC2F22" w:rsidRDefault="00EC2F22" w:rsidP="00EC2F22">
      <w:pPr>
        <w:numPr>
          <w:ilvl w:val="0"/>
          <w:numId w:val="26"/>
        </w:numPr>
        <w:pBdr>
          <w:top w:val="nil"/>
          <w:left w:val="nil"/>
          <w:bottom w:val="nil"/>
          <w:right w:val="nil"/>
          <w:between w:val="nil"/>
        </w:pBdr>
        <w:spacing w:line="276" w:lineRule="auto"/>
      </w:pPr>
      <w:r>
        <w:t>Biopsies pulmonaires chirurgicales</w:t>
      </w:r>
    </w:p>
    <w:p w14:paraId="22C85057" w14:textId="77777777" w:rsidR="00EC2F22" w:rsidRDefault="00EC2F22" w:rsidP="00EC2F22">
      <w:pPr>
        <w:numPr>
          <w:ilvl w:val="0"/>
          <w:numId w:val="26"/>
        </w:numPr>
        <w:pBdr>
          <w:top w:val="nil"/>
          <w:left w:val="nil"/>
          <w:bottom w:val="nil"/>
          <w:right w:val="nil"/>
          <w:between w:val="nil"/>
        </w:pBdr>
        <w:spacing w:line="276" w:lineRule="auto"/>
      </w:pPr>
      <w:r>
        <w:t>Ponction à l’aiguille des ganglions hilaires guidée par écho-endoscopie bronchique</w:t>
      </w:r>
    </w:p>
    <w:p w14:paraId="79BEDBFD" w14:textId="77777777" w:rsidR="00EC2F22" w:rsidRDefault="00EC2F22" w:rsidP="00EC2F22">
      <w:pPr>
        <w:rPr>
          <w:b/>
          <w:bCs/>
          <w:color w:val="3366FF"/>
        </w:rPr>
      </w:pPr>
      <w:r>
        <w:br w:type="page"/>
      </w:r>
      <w:r>
        <w:rPr>
          <w:b/>
          <w:bCs/>
          <w:color w:val="0070C0"/>
          <w:sz w:val="24"/>
          <w:szCs w:val="24"/>
        </w:rPr>
        <w:lastRenderedPageBreak/>
        <w:t>REPONSES</w:t>
      </w:r>
    </w:p>
    <w:p w14:paraId="2A0A7691" w14:textId="77777777" w:rsidR="00EC2F22" w:rsidRDefault="00EC2F22" w:rsidP="00EC2F22">
      <w:pPr>
        <w:jc w:val="center"/>
        <w:rPr>
          <w:b/>
          <w:bCs/>
          <w:color w:val="3366FF"/>
        </w:rPr>
      </w:pPr>
    </w:p>
    <w:p w14:paraId="6E7363AD" w14:textId="77777777" w:rsidR="00EC2F22" w:rsidRDefault="00EC2F22" w:rsidP="00EC2F22">
      <w:pPr>
        <w:numPr>
          <w:ilvl w:val="0"/>
          <w:numId w:val="28"/>
        </w:numPr>
        <w:pBdr>
          <w:top w:val="nil"/>
          <w:left w:val="nil"/>
          <w:bottom w:val="nil"/>
          <w:right w:val="nil"/>
          <w:between w:val="nil"/>
        </w:pBdr>
        <w:spacing w:line="240" w:lineRule="auto"/>
        <w:jc w:val="left"/>
        <w:rPr>
          <w:b/>
          <w:bCs/>
        </w:rPr>
      </w:pPr>
      <w:r>
        <w:rPr>
          <w:b/>
          <w:bCs/>
        </w:rPr>
        <w:t>QRM</w:t>
      </w:r>
    </w:p>
    <w:p w14:paraId="5BC3DD3B" w14:textId="77777777" w:rsidR="00EC2F22" w:rsidRDefault="00EC2F22" w:rsidP="00EC2F22">
      <w:r>
        <w:t>Réponse : ACF</w:t>
      </w:r>
    </w:p>
    <w:p w14:paraId="040B042B" w14:textId="77777777" w:rsidR="00EC2F22" w:rsidRDefault="00EC2F22" w:rsidP="00EC2F22">
      <w:pPr>
        <w:rPr>
          <w:b/>
          <w:bCs/>
        </w:rPr>
      </w:pPr>
    </w:p>
    <w:p w14:paraId="35AB9008" w14:textId="77777777" w:rsidR="00EC2F22" w:rsidRDefault="00EC2F22" w:rsidP="00EC2F22">
      <w:pPr>
        <w:numPr>
          <w:ilvl w:val="0"/>
          <w:numId w:val="28"/>
        </w:numPr>
        <w:pBdr>
          <w:top w:val="nil"/>
          <w:left w:val="nil"/>
          <w:bottom w:val="nil"/>
          <w:right w:val="nil"/>
          <w:between w:val="nil"/>
        </w:pBdr>
        <w:spacing w:line="240" w:lineRule="auto"/>
        <w:jc w:val="left"/>
        <w:rPr>
          <w:b/>
          <w:bCs/>
        </w:rPr>
      </w:pPr>
      <w:r>
        <w:rPr>
          <w:b/>
          <w:bCs/>
        </w:rPr>
        <w:t>QRP (2 réponses)</w:t>
      </w:r>
    </w:p>
    <w:p w14:paraId="11C15568" w14:textId="77777777" w:rsidR="00EC2F22" w:rsidRDefault="00EC2F22" w:rsidP="00EC2F22">
      <w:r>
        <w:t>Réponse : BJ</w:t>
      </w:r>
    </w:p>
    <w:p w14:paraId="40F629BC" w14:textId="77777777" w:rsidR="00EC2F22" w:rsidRDefault="00EC2F22" w:rsidP="00EC2F22"/>
    <w:p w14:paraId="3EABD88E" w14:textId="77777777" w:rsidR="00EC2F22" w:rsidRDefault="00EC2F22" w:rsidP="00EC2F22">
      <w:pPr>
        <w:numPr>
          <w:ilvl w:val="0"/>
          <w:numId w:val="28"/>
        </w:numPr>
        <w:pBdr>
          <w:top w:val="nil"/>
          <w:left w:val="nil"/>
          <w:bottom w:val="nil"/>
          <w:right w:val="nil"/>
          <w:between w:val="nil"/>
        </w:pBdr>
        <w:spacing w:line="240" w:lineRule="auto"/>
        <w:jc w:val="left"/>
        <w:rPr>
          <w:b/>
          <w:bCs/>
        </w:rPr>
      </w:pPr>
      <w:r>
        <w:rPr>
          <w:b/>
          <w:bCs/>
        </w:rPr>
        <w:t>QRM</w:t>
      </w:r>
    </w:p>
    <w:p w14:paraId="619F8F75" w14:textId="77777777" w:rsidR="00EC2F22" w:rsidRDefault="00EC2F22" w:rsidP="00EC2F22">
      <w:r>
        <w:t>Réponse : CE</w:t>
      </w:r>
    </w:p>
    <w:p w14:paraId="43E0FE91" w14:textId="77777777" w:rsidR="00EC2F22" w:rsidRDefault="00EC2F22" w:rsidP="00EC2F22">
      <w:r>
        <w:t xml:space="preserve">Commentaire : </w:t>
      </w:r>
    </w:p>
    <w:p w14:paraId="414F6D78" w14:textId="2992D20D" w:rsidR="00EC2F22" w:rsidRDefault="00EC2F22" w:rsidP="00EC2F22">
      <w:r>
        <w:t>Retenir que les EFR de la sarcoïdose sont le plus souvent NORMALES.</w:t>
      </w:r>
    </w:p>
    <w:p w14:paraId="1F277900" w14:textId="77777777" w:rsidR="00EC2F22" w:rsidRDefault="00EC2F22" w:rsidP="00EC2F22"/>
    <w:p w14:paraId="4859B7C3" w14:textId="77777777" w:rsidR="00EC2F22" w:rsidRDefault="00EC2F22" w:rsidP="00EC2F22">
      <w:pPr>
        <w:numPr>
          <w:ilvl w:val="0"/>
          <w:numId w:val="28"/>
        </w:numPr>
        <w:pBdr>
          <w:top w:val="nil"/>
          <w:left w:val="nil"/>
          <w:bottom w:val="nil"/>
          <w:right w:val="nil"/>
          <w:between w:val="nil"/>
        </w:pBdr>
        <w:spacing w:line="240" w:lineRule="auto"/>
        <w:jc w:val="left"/>
        <w:rPr>
          <w:b/>
          <w:bCs/>
        </w:rPr>
      </w:pPr>
      <w:r>
        <w:rPr>
          <w:b/>
          <w:bCs/>
        </w:rPr>
        <w:t>QRP (3 réponses)</w:t>
      </w:r>
    </w:p>
    <w:p w14:paraId="34EB879C" w14:textId="77777777" w:rsidR="00EC2F22" w:rsidRDefault="00EC2F22" w:rsidP="00EC2F22">
      <w:r>
        <w:t>Réponse : ABE</w:t>
      </w:r>
    </w:p>
    <w:p w14:paraId="43515EE9" w14:textId="77777777" w:rsidR="00EC2F22" w:rsidRDefault="00EC2F22" w:rsidP="00EC2F22">
      <w:r>
        <w:t xml:space="preserve">Commentaires : </w:t>
      </w:r>
    </w:p>
    <w:p w14:paraId="4ABE485C" w14:textId="23B2DE1F" w:rsidR="00EC2F22" w:rsidRDefault="00EC2F22" w:rsidP="00EC2F22">
      <w:r>
        <w:t xml:space="preserve">Pas de ganglions </w:t>
      </w:r>
      <w:proofErr w:type="spellStart"/>
      <w:r>
        <w:t>paratrachéaux</w:t>
      </w:r>
      <w:proofErr w:type="spellEnd"/>
      <w:r>
        <w:t xml:space="preserve"> =&gt; pas de </w:t>
      </w:r>
      <w:proofErr w:type="spellStart"/>
      <w:r>
        <w:t>médiastinoscopie</w:t>
      </w:r>
      <w:proofErr w:type="spellEnd"/>
      <w:r>
        <w:t xml:space="preserve">, les ganglions hilaires ne sont pas accessibles en </w:t>
      </w:r>
      <w:proofErr w:type="spellStart"/>
      <w:r>
        <w:t>médiastinoscopie</w:t>
      </w:r>
      <w:proofErr w:type="spellEnd"/>
      <w:r>
        <w:t>. La biopsie pulmonaire chirurgicale est un examen clairement invasif qui ne doit pas être effectué en première intention.</w:t>
      </w:r>
    </w:p>
    <w:p w14:paraId="15B96620" w14:textId="3C6CB69A" w:rsidR="00F75368" w:rsidRPr="00EC2F22" w:rsidRDefault="00EC2F22" w:rsidP="00EC2F22">
      <w:pPr>
        <w:jc w:val="left"/>
        <w:rPr>
          <w:b/>
          <w:bCs/>
          <w:color w:val="0070C0"/>
          <w:sz w:val="24"/>
          <w:szCs w:val="24"/>
        </w:rPr>
      </w:pPr>
      <w:r>
        <w:br w:type="page"/>
      </w:r>
    </w:p>
    <w:sectPr w:rsidR="00F75368" w:rsidRPr="00EC2F22" w:rsidSect="00876EF8">
      <w:headerReference w:type="even" r:id="rId27"/>
      <w:headerReference w:type="default" r:id="rId28"/>
      <w:footerReference w:type="even" r:id="rId29"/>
      <w:footerReference w:type="default" r:id="rId30"/>
      <w:headerReference w:type="first" r:id="rId31"/>
      <w:footerReference w:type="first" r:id="rId32"/>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2A61C6" w14:textId="77777777" w:rsidR="00B45A89" w:rsidRDefault="00B45A89" w:rsidP="00B24E4B">
      <w:pPr>
        <w:spacing w:line="240" w:lineRule="auto"/>
      </w:pPr>
      <w:r>
        <w:separator/>
      </w:r>
    </w:p>
  </w:endnote>
  <w:endnote w:type="continuationSeparator" w:id="0">
    <w:p w14:paraId="6680F352" w14:textId="77777777" w:rsidR="00B45A89" w:rsidRDefault="00B45A89" w:rsidP="00B24E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AB458A" w14:textId="77777777" w:rsidR="00DD71BE" w:rsidRDefault="00DD71BE">
    <w:pPr>
      <w:pStyle w:val="Pieddepag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33A1D" w14:textId="77777777" w:rsidR="00DD71BE" w:rsidRDefault="00DD71BE">
    <w:pPr>
      <w:pStyle w:val="Pieddepag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7AE16" w14:textId="77777777" w:rsidR="00DD71BE" w:rsidRDefault="00DD71BE">
    <w:pPr>
      <w:pStyle w:val="Pieddepag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968CF0" w14:textId="77777777" w:rsidR="00B45A89" w:rsidRDefault="00B45A89" w:rsidP="00B24E4B">
      <w:pPr>
        <w:spacing w:line="240" w:lineRule="auto"/>
      </w:pPr>
      <w:r>
        <w:separator/>
      </w:r>
    </w:p>
  </w:footnote>
  <w:footnote w:type="continuationSeparator" w:id="0">
    <w:p w14:paraId="2AC0F04A" w14:textId="77777777" w:rsidR="00B45A89" w:rsidRDefault="00B45A89" w:rsidP="00B24E4B">
      <w:pPr>
        <w:spacing w:line="240" w:lineRule="auto"/>
      </w:pPr>
      <w:r>
        <w:continuationSeparator/>
      </w:r>
    </w:p>
  </w:footnote>
  <w:footnote w:id="1">
    <w:p w14:paraId="29A614BE" w14:textId="77777777" w:rsidR="00EC2F22" w:rsidRPr="00F155BE" w:rsidRDefault="00EC2F22" w:rsidP="00F155BE">
      <w:pPr>
        <w:pStyle w:val="pieddepage"/>
        <w:rPr>
          <w:color w:val="0070C0"/>
        </w:rPr>
      </w:pPr>
      <w:r w:rsidRPr="00F155BE">
        <w:rPr>
          <w:color w:val="0070C0"/>
          <w:vertAlign w:val="superscript"/>
        </w:rPr>
        <w:footnoteRef/>
      </w:r>
      <w:r w:rsidRPr="00F155BE">
        <w:rPr>
          <w:color w:val="0070C0"/>
        </w:rPr>
        <w:t xml:space="preserve"> Cf. item 275 Connaître les principales causes de splénomégalie (dont infections et hémopathies) OIC-275-08-A </w:t>
      </w:r>
      <w:r w:rsidRPr="00F155BE">
        <w:rPr>
          <w:b/>
          <w:bCs/>
          <w:color w:val="0070C0"/>
        </w:rPr>
        <w:t>attention rang A !</w:t>
      </w:r>
    </w:p>
  </w:footnote>
  <w:footnote w:id="2">
    <w:p w14:paraId="637696B6" w14:textId="77777777" w:rsidR="00EC2F22" w:rsidRPr="00F155BE" w:rsidRDefault="00EC2F22" w:rsidP="00F155BE">
      <w:pPr>
        <w:pStyle w:val="pieddepage"/>
        <w:rPr>
          <w:color w:val="0070C0"/>
        </w:rPr>
      </w:pPr>
      <w:r w:rsidRPr="00F155BE">
        <w:rPr>
          <w:color w:val="0070C0"/>
          <w:vertAlign w:val="superscript"/>
        </w:rPr>
        <w:footnoteRef/>
      </w:r>
      <w:r w:rsidRPr="00F155BE">
        <w:rPr>
          <w:color w:val="0070C0"/>
        </w:rPr>
        <w:t xml:space="preserve"> Cf. item 042 Connaître les principales causes d’insuffisance gonadotrope OIC-042-07-B.</w:t>
      </w:r>
    </w:p>
  </w:footnote>
  <w:footnote w:id="3">
    <w:p w14:paraId="5780AE37" w14:textId="77777777" w:rsidR="00EC2F22" w:rsidRPr="00F155BE" w:rsidRDefault="00EC2F22" w:rsidP="00F155BE">
      <w:pPr>
        <w:pStyle w:val="pieddepage"/>
        <w:rPr>
          <w:color w:val="0070C0"/>
        </w:rPr>
      </w:pPr>
      <w:r w:rsidRPr="00F155BE">
        <w:rPr>
          <w:color w:val="0070C0"/>
          <w:vertAlign w:val="superscript"/>
        </w:rPr>
        <w:footnoteRef/>
      </w:r>
      <w:r w:rsidRPr="00F155BE">
        <w:rPr>
          <w:color w:val="0070C0"/>
        </w:rPr>
        <w:t xml:space="preserve"> Cf. item 107 Connaître les principaux diagnostics différentiels de la SEP OIC-104-07-B.</w:t>
      </w:r>
    </w:p>
  </w:footnote>
  <w:footnote w:id="4">
    <w:p w14:paraId="7EA8559C" w14:textId="77777777" w:rsidR="00EC2F22" w:rsidRPr="00F155BE" w:rsidRDefault="00EC2F22" w:rsidP="00F155BE">
      <w:pPr>
        <w:pStyle w:val="pieddepage"/>
        <w:rPr>
          <w:color w:val="0070C0"/>
        </w:rPr>
      </w:pPr>
      <w:r w:rsidRPr="00F155BE">
        <w:rPr>
          <w:color w:val="0070C0"/>
          <w:vertAlign w:val="superscript"/>
        </w:rPr>
        <w:footnoteRef/>
      </w:r>
      <w:r w:rsidRPr="00F155BE">
        <w:rPr>
          <w:color w:val="0070C0"/>
        </w:rPr>
        <w:t xml:space="preserve"> Cf. item 245 Connaître les autres causes d’insuffisance corticotrope OIC-245-10-B.</w:t>
      </w:r>
    </w:p>
  </w:footnote>
  <w:footnote w:id="5">
    <w:p w14:paraId="1AE93583" w14:textId="77777777" w:rsidR="00EC2F22" w:rsidRDefault="00EC2F22" w:rsidP="00F155BE">
      <w:pPr>
        <w:pStyle w:val="pieddepage"/>
        <w:rPr>
          <w:b/>
          <w:bCs/>
        </w:rPr>
      </w:pPr>
      <w:r w:rsidRPr="00F155BE">
        <w:rPr>
          <w:color w:val="0070C0"/>
          <w:vertAlign w:val="superscript"/>
        </w:rPr>
        <w:footnoteRef/>
      </w:r>
      <w:r w:rsidRPr="00F155BE">
        <w:rPr>
          <w:color w:val="0070C0"/>
        </w:rPr>
        <w:t xml:space="preserve"> Cf. item 101 Connaître les principales causes de PFP OIC-101-05-A </w:t>
      </w:r>
      <w:r w:rsidRPr="00F155BE">
        <w:rPr>
          <w:b/>
          <w:bCs/>
          <w:color w:val="0070C0"/>
        </w:rPr>
        <w:t>attention rang A !</w:t>
      </w:r>
    </w:p>
  </w:footnote>
  <w:footnote w:id="6">
    <w:p w14:paraId="7FB6B588" w14:textId="77777777" w:rsidR="00EC2F22" w:rsidRDefault="00EC2F22" w:rsidP="00EC2F22">
      <w:pPr>
        <w:pBdr>
          <w:top w:val="nil"/>
          <w:left w:val="nil"/>
          <w:bottom w:val="nil"/>
          <w:right w:val="nil"/>
          <w:between w:val="nil"/>
        </w:pBdr>
        <w:spacing w:line="240" w:lineRule="auto"/>
        <w:rPr>
          <w:rFonts w:ascii="Arial" w:eastAsia="Arial" w:hAnsi="Arial" w:cs="Arial"/>
          <w:b/>
          <w:bCs/>
          <w:color w:val="0070C0"/>
          <w:sz w:val="16"/>
          <w:szCs w:val="16"/>
        </w:rPr>
      </w:pPr>
      <w:r>
        <w:rPr>
          <w:vertAlign w:val="superscript"/>
        </w:rPr>
        <w:footnoteRef/>
      </w:r>
      <w:r>
        <w:rPr>
          <w:rFonts w:ascii="Arial" w:eastAsia="Arial" w:hAnsi="Arial" w:cs="Arial"/>
          <w:color w:val="0070C0"/>
          <w:sz w:val="16"/>
          <w:szCs w:val="16"/>
        </w:rPr>
        <w:t xml:space="preserve"> Cf. item 262 néphropathie interstitielle </w:t>
      </w:r>
      <w:r>
        <w:rPr>
          <w:rFonts w:ascii="Arial" w:eastAsia="Arial" w:hAnsi="Arial" w:cs="Arial"/>
          <w:b/>
          <w:bCs/>
          <w:color w:val="0070C0"/>
          <w:sz w:val="16"/>
          <w:szCs w:val="16"/>
        </w:rPr>
        <w:t>attention rang A !</w:t>
      </w:r>
    </w:p>
  </w:footnote>
  <w:footnote w:id="7">
    <w:p w14:paraId="1F5F2588" w14:textId="77777777" w:rsidR="00EC2F22" w:rsidRDefault="00EC2F22" w:rsidP="00EC2F22">
      <w:pPr>
        <w:pBdr>
          <w:top w:val="nil"/>
          <w:left w:val="nil"/>
          <w:bottom w:val="nil"/>
          <w:right w:val="nil"/>
          <w:between w:val="nil"/>
        </w:pBdr>
        <w:spacing w:line="240" w:lineRule="auto"/>
        <w:rPr>
          <w:rFonts w:ascii="Arial" w:eastAsia="Arial" w:hAnsi="Arial" w:cs="Arial"/>
          <w:color w:val="0070C0"/>
          <w:sz w:val="16"/>
          <w:szCs w:val="16"/>
        </w:rPr>
      </w:pPr>
      <w:r>
        <w:rPr>
          <w:vertAlign w:val="superscript"/>
        </w:rPr>
        <w:footnoteRef/>
      </w:r>
      <w:r>
        <w:rPr>
          <w:rFonts w:ascii="Arial" w:eastAsia="Arial" w:hAnsi="Arial" w:cs="Arial"/>
          <w:color w:val="0070C0"/>
          <w:sz w:val="16"/>
          <w:szCs w:val="16"/>
        </w:rPr>
        <w:t xml:space="preserve"> Cf. item 083 Connaître les modalités du diagnostic d’une uvéite (uvéite antérieure, postérieure ou </w:t>
      </w:r>
      <w:proofErr w:type="spellStart"/>
      <w:r>
        <w:rPr>
          <w:rFonts w:ascii="Arial" w:eastAsia="Arial" w:hAnsi="Arial" w:cs="Arial"/>
          <w:color w:val="0070C0"/>
          <w:sz w:val="16"/>
          <w:szCs w:val="16"/>
        </w:rPr>
        <w:t>panuvéite</w:t>
      </w:r>
      <w:proofErr w:type="spellEnd"/>
      <w:r>
        <w:rPr>
          <w:rFonts w:ascii="Arial" w:eastAsia="Arial" w:hAnsi="Arial" w:cs="Arial"/>
          <w:color w:val="0070C0"/>
          <w:sz w:val="16"/>
          <w:szCs w:val="16"/>
        </w:rPr>
        <w:t xml:space="preserve">, OIC-083-08-A </w:t>
      </w:r>
      <w:r>
        <w:rPr>
          <w:rFonts w:ascii="Arial" w:eastAsia="Arial" w:hAnsi="Arial" w:cs="Arial"/>
          <w:b/>
          <w:bCs/>
          <w:color w:val="0070C0"/>
          <w:sz w:val="16"/>
          <w:szCs w:val="16"/>
        </w:rPr>
        <w:t>attention rang A !)</w:t>
      </w:r>
      <w:r>
        <w:rPr>
          <w:rFonts w:ascii="Arial" w:eastAsia="Arial" w:hAnsi="Arial" w:cs="Arial"/>
          <w:color w:val="0070C0"/>
          <w:sz w:val="16"/>
          <w:szCs w:val="16"/>
        </w:rPr>
        <w:t xml:space="preserve"> </w:t>
      </w:r>
    </w:p>
  </w:footnote>
  <w:footnote w:id="8">
    <w:p w14:paraId="202FA774" w14:textId="77777777" w:rsidR="00EC2F22" w:rsidRDefault="00EC2F22" w:rsidP="00EC2F22">
      <w:pPr>
        <w:pBdr>
          <w:top w:val="nil"/>
          <w:left w:val="nil"/>
          <w:bottom w:val="nil"/>
          <w:right w:val="nil"/>
          <w:between w:val="nil"/>
        </w:pBdr>
        <w:spacing w:line="240" w:lineRule="auto"/>
        <w:rPr>
          <w:rFonts w:ascii="Arial" w:eastAsia="Arial" w:hAnsi="Arial" w:cs="Arial"/>
          <w:sz w:val="16"/>
          <w:szCs w:val="16"/>
        </w:rPr>
      </w:pPr>
      <w:r>
        <w:rPr>
          <w:vertAlign w:val="superscript"/>
        </w:rPr>
        <w:footnoteRef/>
      </w:r>
      <w:r>
        <w:rPr>
          <w:rFonts w:ascii="Arial" w:eastAsia="Arial" w:hAnsi="Arial" w:cs="Arial"/>
          <w:color w:val="0070C0"/>
          <w:sz w:val="16"/>
          <w:szCs w:val="16"/>
        </w:rPr>
        <w:t xml:space="preserve"> Cf. item 083 Connaître les modalités du diagnostic d’une épisclérite, une sclérite OIC-083-05-A </w:t>
      </w:r>
      <w:r>
        <w:rPr>
          <w:rFonts w:ascii="Arial" w:eastAsia="Arial" w:hAnsi="Arial" w:cs="Arial"/>
          <w:b/>
          <w:bCs/>
          <w:color w:val="0070C0"/>
          <w:sz w:val="16"/>
          <w:szCs w:val="16"/>
        </w:rPr>
        <w:t>attention rang A !</w:t>
      </w:r>
    </w:p>
  </w:footnote>
  <w:footnote w:id="9">
    <w:p w14:paraId="5F37C6D5" w14:textId="77777777" w:rsidR="00EC2F22" w:rsidRDefault="00EC2F22" w:rsidP="00F155BE">
      <w:pPr>
        <w:pStyle w:val="pieddepage"/>
      </w:pPr>
      <w:r w:rsidRPr="00F155BE">
        <w:rPr>
          <w:color w:val="0070C0"/>
          <w:vertAlign w:val="superscript"/>
        </w:rPr>
        <w:footnoteRef/>
      </w:r>
      <w:r w:rsidRPr="00F155BE">
        <w:rPr>
          <w:color w:val="0070C0"/>
        </w:rPr>
        <w:t xml:space="preserve"> Cf. item 090 Savoir différencier les trois types de pathologie des glandes salivaires </w:t>
      </w:r>
      <w:r w:rsidRPr="00F155BE">
        <w:rPr>
          <w:b/>
          <w:bCs/>
          <w:color w:val="0070C0"/>
        </w:rPr>
        <w:t xml:space="preserve">attention rang A ! </w:t>
      </w:r>
      <w:r w:rsidRPr="00F155BE">
        <w:rPr>
          <w:color w:val="0070C0"/>
        </w:rPr>
        <w:t>OIC-090-03-A</w:t>
      </w:r>
    </w:p>
  </w:footnote>
  <w:footnote w:id="10">
    <w:p w14:paraId="79D3D455" w14:textId="77777777" w:rsidR="00EC2F22" w:rsidRDefault="00EC2F22" w:rsidP="00EC2F22">
      <w:pPr>
        <w:pBdr>
          <w:top w:val="nil"/>
          <w:left w:val="nil"/>
          <w:bottom w:val="nil"/>
          <w:right w:val="nil"/>
          <w:between w:val="nil"/>
        </w:pBdr>
        <w:spacing w:line="240" w:lineRule="auto"/>
        <w:rPr>
          <w:rFonts w:ascii="Arial" w:eastAsia="Arial" w:hAnsi="Arial" w:cs="Arial"/>
          <w:sz w:val="16"/>
          <w:szCs w:val="16"/>
        </w:rPr>
      </w:pPr>
      <w:r>
        <w:rPr>
          <w:vertAlign w:val="superscript"/>
        </w:rPr>
        <w:footnoteRef/>
      </w:r>
      <w:r>
        <w:rPr>
          <w:rFonts w:ascii="Arial" w:eastAsia="Arial" w:hAnsi="Arial" w:cs="Arial"/>
          <w:color w:val="0070C0"/>
          <w:sz w:val="16"/>
          <w:szCs w:val="16"/>
        </w:rPr>
        <w:t xml:space="preserve"> Cf. item 288 Hypercalcémie : Connaître les principales étiologies des hypercalcémies (arbre diagnostique) OIC-268-08-A </w:t>
      </w:r>
      <w:r>
        <w:rPr>
          <w:rFonts w:ascii="Arial" w:eastAsia="Arial" w:hAnsi="Arial" w:cs="Arial"/>
          <w:b/>
          <w:bCs/>
          <w:color w:val="0070C0"/>
          <w:sz w:val="16"/>
          <w:szCs w:val="16"/>
        </w:rPr>
        <w:t>attention rang A !</w:t>
      </w:r>
      <w:r>
        <w:rPr>
          <w:rFonts w:ascii="Arial" w:eastAsia="Arial" w:hAnsi="Arial" w:cs="Arial"/>
          <w:color w:val="0070C0"/>
          <w:sz w:val="16"/>
          <w:szCs w:val="16"/>
        </w:rPr>
        <w:t xml:space="preserve"> Connaître les principaux examens complémentaires utiles au diagnostic étiologique des hypercalcémies en fonction du bilan initial OIC-268-07-B.</w:t>
      </w:r>
    </w:p>
  </w:footnote>
  <w:footnote w:id="11">
    <w:p w14:paraId="4E85C3DA" w14:textId="77777777" w:rsidR="00EC2F22" w:rsidRDefault="00EC2F22" w:rsidP="00127CAC">
      <w:pPr>
        <w:pStyle w:val="pieddepage"/>
        <w:rPr>
          <w:vertAlign w:val="superscript"/>
        </w:rPr>
      </w:pPr>
      <w:r w:rsidRPr="00127CAC">
        <w:rPr>
          <w:color w:val="0070C0"/>
          <w:vertAlign w:val="superscript"/>
        </w:rPr>
        <w:footnoteRef/>
      </w:r>
      <w:r w:rsidRPr="00127CAC">
        <w:rPr>
          <w:color w:val="0070C0"/>
        </w:rPr>
        <w:t xml:space="preserve"> Cf. item 090 Connaître les indications des biopsies des glandes salivaires accessoires OIC-090-10-B.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CADFB" w14:textId="77777777" w:rsidR="00DD71BE" w:rsidRDefault="00DD71B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DEFD3" w14:textId="77777777" w:rsidR="00DD71BE" w:rsidRPr="00F201C7" w:rsidRDefault="00DD71BE" w:rsidP="00DD71BE">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3DC32E90" w14:textId="77777777" w:rsidR="00DD71BE" w:rsidRDefault="00DD71B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FD4D5" w14:textId="77777777" w:rsidR="00DD71BE" w:rsidRDefault="00DD71B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A81E1B"/>
    <w:multiLevelType w:val="multilevel"/>
    <w:tmpl w:val="662AECF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280EE0"/>
    <w:multiLevelType w:val="multilevel"/>
    <w:tmpl w:val="FAC4F8F6"/>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422E67"/>
    <w:multiLevelType w:val="multilevel"/>
    <w:tmpl w:val="2846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811898"/>
    <w:multiLevelType w:val="multilevel"/>
    <w:tmpl w:val="9DAAF24E"/>
    <w:lvl w:ilvl="0">
      <w:start w:val="1"/>
      <w:numFmt w:val="bullet"/>
      <w:lvlText w:val=""/>
      <w:lvlJc w:val="left"/>
      <w:pPr>
        <w:ind w:left="1428" w:hanging="360"/>
      </w:pPr>
      <w:rPr>
        <w:rFonts w:ascii="Wingdings 2" w:hAnsi="Wingdings 2" w:hint="default"/>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4" w15:restartNumberingAfterBreak="0">
    <w:nsid w:val="12E80351"/>
    <w:multiLevelType w:val="multilevel"/>
    <w:tmpl w:val="ECFE6698"/>
    <w:lvl w:ilvl="0">
      <w:start w:val="3"/>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CE22D8"/>
    <w:multiLevelType w:val="multilevel"/>
    <w:tmpl w:val="C97E5E4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BE55792"/>
    <w:multiLevelType w:val="multilevel"/>
    <w:tmpl w:val="64F8E13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CF17E73"/>
    <w:multiLevelType w:val="multilevel"/>
    <w:tmpl w:val="0A966D78"/>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1737161"/>
    <w:multiLevelType w:val="multilevel"/>
    <w:tmpl w:val="DB526E2C"/>
    <w:lvl w:ilvl="0">
      <w:start w:val="1"/>
      <w:numFmt w:val="decimal"/>
      <w:lvlText w:val="%1."/>
      <w:lvlJc w:val="left"/>
      <w:pPr>
        <w:ind w:left="360" w:hanging="360"/>
      </w:pPr>
      <w:rPr>
        <w:i w:val="0"/>
        <w:iCs w:val="0"/>
        <w:color w:val="000000"/>
      </w:rPr>
    </w:lvl>
    <w:lvl w:ilvl="1">
      <w:start w:val="1"/>
      <w:numFmt w:val="decimal"/>
      <w:lvlText w:val="%1.%2"/>
      <w:lvlJc w:val="left"/>
      <w:pPr>
        <w:ind w:left="1212" w:hanging="360"/>
      </w:pPr>
      <w:rPr>
        <w:i w:val="0"/>
        <w:iCs w:val="0"/>
        <w:color w:val="FFFFFF"/>
      </w:rPr>
    </w:lvl>
    <w:lvl w:ilvl="2">
      <w:start w:val="1"/>
      <w:numFmt w:val="decimal"/>
      <w:lvlText w:val="%1.%2.%3"/>
      <w:lvlJc w:val="left"/>
      <w:pPr>
        <w:ind w:left="2424" w:hanging="720"/>
      </w:pPr>
      <w:rPr>
        <w:color w:val="000000"/>
      </w:rPr>
    </w:lvl>
    <w:lvl w:ilvl="3">
      <w:start w:val="1"/>
      <w:numFmt w:val="decimal"/>
      <w:lvlText w:val="%1.%2.%3.%4"/>
      <w:lvlJc w:val="left"/>
      <w:pPr>
        <w:ind w:left="3276" w:hanging="720"/>
      </w:pPr>
    </w:lvl>
    <w:lvl w:ilvl="4">
      <w:start w:val="1"/>
      <w:numFmt w:val="decimal"/>
      <w:lvlText w:val="%1.%2.%3.%4.%5"/>
      <w:lvlJc w:val="left"/>
      <w:pPr>
        <w:ind w:left="4488" w:hanging="1080"/>
      </w:pPr>
    </w:lvl>
    <w:lvl w:ilvl="5">
      <w:start w:val="1"/>
      <w:numFmt w:val="decimal"/>
      <w:lvlText w:val="%1.%2.%3.%4.%5.%6"/>
      <w:lvlJc w:val="left"/>
      <w:pPr>
        <w:ind w:left="5340" w:hanging="1080"/>
      </w:pPr>
    </w:lvl>
    <w:lvl w:ilvl="6">
      <w:start w:val="1"/>
      <w:numFmt w:val="decimal"/>
      <w:lvlText w:val="%1.%2.%3.%4.%5.%6.%7"/>
      <w:lvlJc w:val="left"/>
      <w:pPr>
        <w:ind w:left="6552" w:hanging="1440"/>
      </w:pPr>
    </w:lvl>
    <w:lvl w:ilvl="7">
      <w:start w:val="1"/>
      <w:numFmt w:val="decimal"/>
      <w:lvlText w:val="%1.%2.%3.%4.%5.%6.%7.%8"/>
      <w:lvlJc w:val="left"/>
      <w:pPr>
        <w:ind w:left="7764" w:hanging="1800"/>
      </w:pPr>
    </w:lvl>
    <w:lvl w:ilvl="8">
      <w:start w:val="1"/>
      <w:numFmt w:val="decimal"/>
      <w:lvlText w:val="%1.%2.%3.%4.%5.%6.%7.%8.%9"/>
      <w:lvlJc w:val="left"/>
      <w:pPr>
        <w:ind w:left="8616" w:hanging="1800"/>
      </w:pPr>
    </w:lvl>
  </w:abstractNum>
  <w:abstractNum w:abstractNumId="9" w15:restartNumberingAfterBreak="0">
    <w:nsid w:val="23871FCE"/>
    <w:multiLevelType w:val="multilevel"/>
    <w:tmpl w:val="45F65E10"/>
    <w:lvl w:ilvl="0">
      <w:start w:val="1"/>
      <w:numFmt w:val="bullet"/>
      <w:lvlText w:val=""/>
      <w:lvlJc w:val="left"/>
      <w:pPr>
        <w:ind w:left="720" w:hanging="360"/>
      </w:pPr>
      <w:rPr>
        <w:rFonts w:ascii="Wingdings 2" w:hAnsi="Wingdings 2" w:hint="default"/>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D94135"/>
    <w:multiLevelType w:val="hybridMultilevel"/>
    <w:tmpl w:val="E2BA8BC0"/>
    <w:lvl w:ilvl="0" w:tplc="6C2C48DE">
      <w:start w:val="7"/>
      <w:numFmt w:val="bullet"/>
      <w:lvlText w:val=""/>
      <w:lvlJc w:val="left"/>
      <w:pPr>
        <w:ind w:left="720" w:hanging="360"/>
      </w:pPr>
      <w:rPr>
        <w:rFonts w:ascii="Wingdings" w:eastAsia="Trebuchet MS" w:hAnsi="Wingdings" w:cs="Trebuchet 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C365344"/>
    <w:multiLevelType w:val="hybridMultilevel"/>
    <w:tmpl w:val="80ACC080"/>
    <w:lvl w:ilvl="0" w:tplc="5CB4C956">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2" w15:restartNumberingAfterBreak="0">
    <w:nsid w:val="2C3F23B4"/>
    <w:multiLevelType w:val="multilevel"/>
    <w:tmpl w:val="500AFA20"/>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1080" w:hanging="360"/>
      </w:pPr>
      <w:rPr>
        <w:rFonts w:ascii="Wingdings 2" w:hAnsi="Wingdings 2"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C3F30E1"/>
    <w:multiLevelType w:val="hybridMultilevel"/>
    <w:tmpl w:val="7E2605FC"/>
    <w:lvl w:ilvl="0" w:tplc="CE2A988E">
      <w:start w:val="1"/>
      <w:numFmt w:val="decimal"/>
      <w:pStyle w:val="1titre"/>
      <w:lvlText w:val="%1."/>
      <w:lvlJc w:val="left"/>
      <w:pPr>
        <w:ind w:left="720" w:hanging="360"/>
      </w:pPr>
      <w:rPr>
        <w:rFonts w:hint="default"/>
        <w:color w:val="000000" w:themeColor="text1"/>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C557ACE"/>
    <w:multiLevelType w:val="multilevel"/>
    <w:tmpl w:val="27D46A8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873E98"/>
    <w:multiLevelType w:val="multilevel"/>
    <w:tmpl w:val="C9F2B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3A604D"/>
    <w:multiLevelType w:val="multilevel"/>
    <w:tmpl w:val="CE6EF270"/>
    <w:lvl w:ilvl="0">
      <w:start w:val="1"/>
      <w:numFmt w:val="bullet"/>
      <w:lvlText w:val=""/>
      <w:lvlJc w:val="left"/>
      <w:pPr>
        <w:ind w:left="1068" w:hanging="360"/>
      </w:pPr>
      <w:rPr>
        <w:rFonts w:ascii="Wingdings 2" w:hAnsi="Wingdings 2" w:hint="default"/>
        <w:color w:val="00000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17" w15:restartNumberingAfterBreak="0">
    <w:nsid w:val="3BFE3D43"/>
    <w:multiLevelType w:val="multilevel"/>
    <w:tmpl w:val="96CEC8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pStyle w:val="Titre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FF0C5C"/>
    <w:multiLevelType w:val="multilevel"/>
    <w:tmpl w:val="9084831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FB67742"/>
    <w:multiLevelType w:val="multilevel"/>
    <w:tmpl w:val="78AA8D84"/>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594896"/>
    <w:multiLevelType w:val="multilevel"/>
    <w:tmpl w:val="4718D3C2"/>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B47039"/>
    <w:multiLevelType w:val="multilevel"/>
    <w:tmpl w:val="183ABCF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4A183E55"/>
    <w:multiLevelType w:val="multilevel"/>
    <w:tmpl w:val="F1B69C34"/>
    <w:lvl w:ilvl="0">
      <w:start w:val="1"/>
      <w:numFmt w:val="upp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15:restartNumberingAfterBreak="0">
    <w:nsid w:val="4B3034B9"/>
    <w:multiLevelType w:val="multilevel"/>
    <w:tmpl w:val="9FB8F12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4E2E08BB"/>
    <w:multiLevelType w:val="multilevel"/>
    <w:tmpl w:val="464C2F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EA12EB8"/>
    <w:multiLevelType w:val="multilevel"/>
    <w:tmpl w:val="5A223694"/>
    <w:lvl w:ilvl="0">
      <w:start w:val="1"/>
      <w:numFmt w:val="bullet"/>
      <w:lvlText w:val=""/>
      <w:lvlJc w:val="left"/>
      <w:pPr>
        <w:ind w:left="1068" w:hanging="360"/>
      </w:pPr>
      <w:rPr>
        <w:rFonts w:ascii="Wingdings 2" w:hAnsi="Wingdings 2" w:hint="default"/>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26" w15:restartNumberingAfterBreak="0">
    <w:nsid w:val="4EAF5603"/>
    <w:multiLevelType w:val="multilevel"/>
    <w:tmpl w:val="029A3164"/>
    <w:lvl w:ilvl="0">
      <w:start w:val="1"/>
      <w:numFmt w:val="bullet"/>
      <w:lvlText w:val="•"/>
      <w:lvlJc w:val="left"/>
      <w:pPr>
        <w:ind w:left="1068" w:hanging="360"/>
      </w:pPr>
      <w:rPr>
        <w:rFonts w:ascii="Noto Sans Symbols" w:eastAsia="Noto Sans Symbols" w:hAnsi="Noto Sans Symbols" w:cs="Noto Sans Symbols"/>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27" w15:restartNumberingAfterBreak="0">
    <w:nsid w:val="4FB931C2"/>
    <w:multiLevelType w:val="multilevel"/>
    <w:tmpl w:val="4B42A0C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0BF6DB3"/>
    <w:multiLevelType w:val="multilevel"/>
    <w:tmpl w:val="899A82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Wingdings 2" w:hAnsi="Wingdings 2"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23B5C30"/>
    <w:multiLevelType w:val="multilevel"/>
    <w:tmpl w:val="ADBEDA0A"/>
    <w:lvl w:ilvl="0">
      <w:start w:val="1"/>
      <w:numFmt w:val="decimal"/>
      <w:lvlText w:val="%1."/>
      <w:lvlJc w:val="left"/>
      <w:pPr>
        <w:ind w:left="720" w:hanging="360"/>
      </w:pPr>
      <w:rPr>
        <w:color w:val="FFFFFF"/>
      </w:rPr>
    </w:lvl>
    <w:lvl w:ilvl="1">
      <w:start w:val="1"/>
      <w:numFmt w:val="decimal"/>
      <w:lvlText w:val="%1.%2"/>
      <w:lvlJc w:val="left"/>
      <w:pPr>
        <w:ind w:left="2064" w:hanging="360"/>
      </w:pPr>
    </w:lvl>
    <w:lvl w:ilvl="2">
      <w:start w:val="1"/>
      <w:numFmt w:val="decimal"/>
      <w:lvlText w:val="%1.%2.%3"/>
      <w:lvlJc w:val="left"/>
      <w:pPr>
        <w:ind w:left="3768" w:hanging="720"/>
      </w:pPr>
    </w:lvl>
    <w:lvl w:ilvl="3">
      <w:start w:val="1"/>
      <w:numFmt w:val="decimal"/>
      <w:lvlText w:val="%1.%2.%3.%4"/>
      <w:lvlJc w:val="left"/>
      <w:pPr>
        <w:ind w:left="5112" w:hanging="720"/>
      </w:pPr>
    </w:lvl>
    <w:lvl w:ilvl="4">
      <w:start w:val="1"/>
      <w:numFmt w:val="decimal"/>
      <w:lvlText w:val="%1.%2.%3.%4.%5"/>
      <w:lvlJc w:val="left"/>
      <w:pPr>
        <w:ind w:left="6816" w:hanging="1080"/>
      </w:pPr>
    </w:lvl>
    <w:lvl w:ilvl="5">
      <w:start w:val="1"/>
      <w:numFmt w:val="decimal"/>
      <w:lvlText w:val="%1.%2.%3.%4.%5.%6"/>
      <w:lvlJc w:val="left"/>
      <w:pPr>
        <w:ind w:left="8160" w:hanging="1080"/>
      </w:pPr>
    </w:lvl>
    <w:lvl w:ilvl="6">
      <w:start w:val="1"/>
      <w:numFmt w:val="decimal"/>
      <w:lvlText w:val="%1.%2.%3.%4.%5.%6.%7"/>
      <w:lvlJc w:val="left"/>
      <w:pPr>
        <w:ind w:left="9864" w:hanging="1440"/>
      </w:pPr>
    </w:lvl>
    <w:lvl w:ilvl="7">
      <w:start w:val="1"/>
      <w:numFmt w:val="decimal"/>
      <w:lvlText w:val="%1.%2.%3.%4.%5.%6.%7.%8"/>
      <w:lvlJc w:val="left"/>
      <w:pPr>
        <w:ind w:left="11568" w:hanging="1800"/>
      </w:pPr>
    </w:lvl>
    <w:lvl w:ilvl="8">
      <w:start w:val="1"/>
      <w:numFmt w:val="decimal"/>
      <w:lvlText w:val="%1.%2.%3.%4.%5.%6.%7.%8.%9"/>
      <w:lvlJc w:val="left"/>
      <w:pPr>
        <w:ind w:left="12912" w:hanging="1800"/>
      </w:pPr>
    </w:lvl>
  </w:abstractNum>
  <w:abstractNum w:abstractNumId="30" w15:restartNumberingAfterBreak="0">
    <w:nsid w:val="55333B72"/>
    <w:multiLevelType w:val="multilevel"/>
    <w:tmpl w:val="9EAA7A9E"/>
    <w:lvl w:ilvl="0">
      <w:start w:val="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60A03C0"/>
    <w:multiLevelType w:val="multilevel"/>
    <w:tmpl w:val="92B488E4"/>
    <w:lvl w:ilvl="0">
      <w:start w:val="1"/>
      <w:numFmt w:val="bullet"/>
      <w:lvlText w:val=""/>
      <w:lvlJc w:val="left"/>
      <w:pPr>
        <w:ind w:left="1068" w:hanging="360"/>
      </w:pPr>
      <w:rPr>
        <w:rFonts w:ascii="Wingdings 2" w:hAnsi="Wingdings 2" w:hint="default"/>
        <w:color w:val="00000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32" w15:restartNumberingAfterBreak="0">
    <w:nsid w:val="58CC51A6"/>
    <w:multiLevelType w:val="multilevel"/>
    <w:tmpl w:val="606A342E"/>
    <w:lvl w:ilvl="0">
      <w:start w:val="1"/>
      <w:numFmt w:val="bullet"/>
      <w:lvlText w:val=""/>
      <w:lvlJc w:val="left"/>
      <w:pPr>
        <w:ind w:left="720" w:hanging="360"/>
      </w:pPr>
      <w:rPr>
        <w:rFonts w:ascii="Wingdings 2" w:hAnsi="Wingdings 2" w:hint="default"/>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A1A5834"/>
    <w:multiLevelType w:val="multilevel"/>
    <w:tmpl w:val="0E6C8C7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CA576FF"/>
    <w:multiLevelType w:val="multilevel"/>
    <w:tmpl w:val="B32655F0"/>
    <w:lvl w:ilvl="0">
      <w:start w:val="1"/>
      <w:numFmt w:val="decimal"/>
      <w:lvlText w:val="%1."/>
      <w:lvlJc w:val="left"/>
      <w:pPr>
        <w:ind w:left="0" w:firstLine="0"/>
      </w:pPr>
      <w:rPr>
        <w:b w:val="0"/>
        <w:bCs w:val="0"/>
        <w:i w:val="0"/>
        <w:iCs w:val="0"/>
        <w:smallCaps w:val="0"/>
        <w:strike w:val="0"/>
        <w:color w:val="000000"/>
        <w:u w:val="none"/>
        <w:vertAlign w:val="baseline"/>
      </w:rPr>
    </w:lvl>
    <w:lvl w:ilvl="1">
      <w:start w:val="1"/>
      <w:numFmt w:val="decimal"/>
      <w:lvlText w:val="%1.%2"/>
      <w:lvlJc w:val="left"/>
      <w:pPr>
        <w:ind w:left="705" w:hanging="705"/>
      </w:pPr>
    </w:lvl>
    <w:lvl w:ilvl="2">
      <w:start w:val="2"/>
      <w:numFmt w:val="decimal"/>
      <w:lvlText w:val="%1.%2.%3"/>
      <w:lvlJc w:val="left"/>
      <w:pPr>
        <w:ind w:left="720" w:hanging="720"/>
      </w:pPr>
    </w:lvl>
    <w:lvl w:ilvl="3">
      <w:start w:val="3"/>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5" w15:restartNumberingAfterBreak="0">
    <w:nsid w:val="5F186C71"/>
    <w:multiLevelType w:val="multilevel"/>
    <w:tmpl w:val="D8D049F6"/>
    <w:lvl w:ilvl="0">
      <w:start w:val="1"/>
      <w:numFmt w:val="bullet"/>
      <w:lvlText w:val="•"/>
      <w:lvlJc w:val="left"/>
      <w:pPr>
        <w:ind w:left="1068" w:hanging="360"/>
      </w:pPr>
      <w:rPr>
        <w:rFonts w:ascii="Noto Sans Symbols" w:eastAsia="Noto Sans Symbols" w:hAnsi="Noto Sans Symbols" w:cs="Noto Sans Symbols"/>
        <w:color w:val="000000"/>
        <w:sz w:val="12"/>
        <w:szCs w:val="12"/>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36" w15:restartNumberingAfterBreak="0">
    <w:nsid w:val="64B00419"/>
    <w:multiLevelType w:val="multilevel"/>
    <w:tmpl w:val="CC08D41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67FE3F84"/>
    <w:multiLevelType w:val="multilevel"/>
    <w:tmpl w:val="DF6CEDDE"/>
    <w:lvl w:ilvl="0">
      <w:start w:val="1"/>
      <w:numFmt w:val="bullet"/>
      <w:lvlText w:val="o"/>
      <w:lvlJc w:val="left"/>
      <w:pPr>
        <w:ind w:left="1428" w:hanging="360"/>
      </w:pPr>
      <w:rPr>
        <w:rFonts w:ascii="Courier New" w:eastAsia="Courier New" w:hAnsi="Courier New" w:cs="Courier New"/>
        <w:color w:val="0070C0"/>
        <w:sz w:val="20"/>
        <w:szCs w:val="20"/>
      </w:rPr>
    </w:lvl>
    <w:lvl w:ilvl="1">
      <w:start w:val="1"/>
      <w:numFmt w:val="bullet"/>
      <w:lvlText w:val="●"/>
      <w:lvlJc w:val="left"/>
      <w:pPr>
        <w:ind w:left="3192" w:hanging="360"/>
      </w:pPr>
      <w:rPr>
        <w:rFonts w:ascii="Noto Sans Symbols" w:eastAsia="Noto Sans Symbols" w:hAnsi="Noto Sans Symbols" w:cs="Noto Sans Symbols"/>
        <w:sz w:val="20"/>
        <w:szCs w:val="20"/>
      </w:rPr>
    </w:lvl>
    <w:lvl w:ilvl="2">
      <w:start w:val="1"/>
      <w:numFmt w:val="lowerRoman"/>
      <w:lvlText w:val="%3."/>
      <w:lvlJc w:val="right"/>
      <w:pPr>
        <w:ind w:left="3912" w:hanging="180"/>
      </w:pPr>
    </w:lvl>
    <w:lvl w:ilvl="3">
      <w:start w:val="1"/>
      <w:numFmt w:val="decimal"/>
      <w:lvlText w:val="%4."/>
      <w:lvlJc w:val="left"/>
      <w:pPr>
        <w:ind w:left="4632" w:hanging="360"/>
      </w:pPr>
    </w:lvl>
    <w:lvl w:ilvl="4">
      <w:start w:val="1"/>
      <w:numFmt w:val="lowerLetter"/>
      <w:lvlText w:val="%5."/>
      <w:lvlJc w:val="left"/>
      <w:pPr>
        <w:ind w:left="5352" w:hanging="360"/>
      </w:pPr>
    </w:lvl>
    <w:lvl w:ilvl="5">
      <w:start w:val="1"/>
      <w:numFmt w:val="lowerRoman"/>
      <w:lvlText w:val="%6."/>
      <w:lvlJc w:val="right"/>
      <w:pPr>
        <w:ind w:left="6072" w:hanging="180"/>
      </w:pPr>
    </w:lvl>
    <w:lvl w:ilvl="6">
      <w:start w:val="1"/>
      <w:numFmt w:val="decimal"/>
      <w:lvlText w:val="%7."/>
      <w:lvlJc w:val="left"/>
      <w:pPr>
        <w:ind w:left="6792" w:hanging="360"/>
      </w:pPr>
    </w:lvl>
    <w:lvl w:ilvl="7">
      <w:start w:val="1"/>
      <w:numFmt w:val="lowerLetter"/>
      <w:lvlText w:val="%8."/>
      <w:lvlJc w:val="left"/>
      <w:pPr>
        <w:ind w:left="7512" w:hanging="360"/>
      </w:pPr>
    </w:lvl>
    <w:lvl w:ilvl="8">
      <w:start w:val="1"/>
      <w:numFmt w:val="lowerRoman"/>
      <w:lvlText w:val="%9."/>
      <w:lvlJc w:val="right"/>
      <w:pPr>
        <w:ind w:left="8232" w:hanging="180"/>
      </w:pPr>
    </w:lvl>
  </w:abstractNum>
  <w:abstractNum w:abstractNumId="38" w15:restartNumberingAfterBreak="0">
    <w:nsid w:val="6800110F"/>
    <w:multiLevelType w:val="multilevel"/>
    <w:tmpl w:val="E69A2082"/>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9105FA6"/>
    <w:multiLevelType w:val="multilevel"/>
    <w:tmpl w:val="710AFB2A"/>
    <w:lvl w:ilvl="0">
      <w:start w:val="1"/>
      <w:numFmt w:val="bullet"/>
      <w:lvlText w:val=""/>
      <w:lvlJc w:val="left"/>
      <w:pPr>
        <w:ind w:left="720" w:hanging="360"/>
      </w:pPr>
      <w:rPr>
        <w:rFonts w:ascii="Wingdings 2" w:hAnsi="Wingdings 2"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E9C387A"/>
    <w:multiLevelType w:val="multilevel"/>
    <w:tmpl w:val="8AC4EFA0"/>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3B71060"/>
    <w:multiLevelType w:val="multilevel"/>
    <w:tmpl w:val="A86CD33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3C226E2"/>
    <w:multiLevelType w:val="multilevel"/>
    <w:tmpl w:val="C21E869A"/>
    <w:lvl w:ilvl="0">
      <w:start w:val="3"/>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787742F7"/>
    <w:multiLevelType w:val="multilevel"/>
    <w:tmpl w:val="6E900C34"/>
    <w:lvl w:ilvl="0">
      <w:start w:val="1"/>
      <w:numFmt w:val="bullet"/>
      <w:lvlText w:val="•"/>
      <w:lvlJc w:val="left"/>
      <w:pPr>
        <w:ind w:left="1068" w:hanging="360"/>
      </w:pPr>
      <w:rPr>
        <w:rFonts w:ascii="Noto Sans Symbols" w:eastAsia="Noto Sans Symbols" w:hAnsi="Noto Sans Symbols" w:cs="Noto Sans Symbols"/>
        <w:color w:val="0070C0"/>
        <w:sz w:val="20"/>
        <w:szCs w:val="20"/>
      </w:rPr>
    </w:lvl>
    <w:lvl w:ilvl="1">
      <w:start w:val="3"/>
      <w:numFmt w:val="bullet"/>
      <w:lvlText w:val="-"/>
      <w:lvlJc w:val="left"/>
      <w:pPr>
        <w:ind w:left="2832" w:hanging="360"/>
      </w:pPr>
      <w:rPr>
        <w:rFonts w:ascii="Times New Roman" w:eastAsia="Times New Roman" w:hAnsi="Times New Roman" w:cs="Times New Roman"/>
      </w:rPr>
    </w:lvl>
    <w:lvl w:ilvl="2">
      <w:start w:val="1"/>
      <w:numFmt w:val="lowerRoman"/>
      <w:lvlText w:val="%3."/>
      <w:lvlJc w:val="right"/>
      <w:pPr>
        <w:ind w:left="3552" w:hanging="180"/>
      </w:pPr>
    </w:lvl>
    <w:lvl w:ilvl="3">
      <w:start w:val="1"/>
      <w:numFmt w:val="decimal"/>
      <w:lvlText w:val="%4."/>
      <w:lvlJc w:val="left"/>
      <w:pPr>
        <w:ind w:left="4272" w:hanging="360"/>
      </w:pPr>
    </w:lvl>
    <w:lvl w:ilvl="4">
      <w:start w:val="1"/>
      <w:numFmt w:val="lowerLetter"/>
      <w:lvlText w:val="%5."/>
      <w:lvlJc w:val="left"/>
      <w:pPr>
        <w:ind w:left="4992" w:hanging="360"/>
      </w:pPr>
    </w:lvl>
    <w:lvl w:ilvl="5">
      <w:start w:val="1"/>
      <w:numFmt w:val="lowerRoman"/>
      <w:lvlText w:val="%6."/>
      <w:lvlJc w:val="right"/>
      <w:pPr>
        <w:ind w:left="5712" w:hanging="180"/>
      </w:pPr>
    </w:lvl>
    <w:lvl w:ilvl="6">
      <w:start w:val="1"/>
      <w:numFmt w:val="decimal"/>
      <w:lvlText w:val="%7."/>
      <w:lvlJc w:val="left"/>
      <w:pPr>
        <w:ind w:left="6432" w:hanging="360"/>
      </w:pPr>
    </w:lvl>
    <w:lvl w:ilvl="7">
      <w:start w:val="1"/>
      <w:numFmt w:val="lowerLetter"/>
      <w:lvlText w:val="%8."/>
      <w:lvlJc w:val="left"/>
      <w:pPr>
        <w:ind w:left="7152" w:hanging="360"/>
      </w:pPr>
    </w:lvl>
    <w:lvl w:ilvl="8">
      <w:start w:val="1"/>
      <w:numFmt w:val="lowerRoman"/>
      <w:lvlText w:val="%9."/>
      <w:lvlJc w:val="right"/>
      <w:pPr>
        <w:ind w:left="7872" w:hanging="180"/>
      </w:pPr>
    </w:lvl>
  </w:abstractNum>
  <w:abstractNum w:abstractNumId="44" w15:restartNumberingAfterBreak="0">
    <w:nsid w:val="7D027E01"/>
    <w:multiLevelType w:val="multilevel"/>
    <w:tmpl w:val="00EA60DC"/>
    <w:lvl w:ilvl="0">
      <w:start w:val="1"/>
      <w:numFmt w:val="bullet"/>
      <w:lvlText w:val="-"/>
      <w:lvlJc w:val="left"/>
      <w:pPr>
        <w:ind w:left="360" w:hanging="360"/>
      </w:pPr>
      <w:rPr>
        <w:rFonts w:ascii="Times New Roman" w:eastAsia="Times New Roman" w:hAnsi="Times New Roman" w:cs="Times New Roman"/>
      </w:rPr>
    </w:lvl>
    <w:lvl w:ilvl="1">
      <w:start w:val="1"/>
      <w:numFmt w:val="bullet"/>
      <w:lvlText w:val=""/>
      <w:lvlJc w:val="left"/>
      <w:pPr>
        <w:ind w:left="1080" w:hanging="360"/>
      </w:pPr>
      <w:rPr>
        <w:rFonts w:ascii="Wingdings 2" w:hAnsi="Wingdings 2"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7DE17F98"/>
    <w:multiLevelType w:val="multilevel"/>
    <w:tmpl w:val="744C2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F692767"/>
    <w:multiLevelType w:val="hybridMultilevel"/>
    <w:tmpl w:val="4C2EF8F6"/>
    <w:lvl w:ilvl="0" w:tplc="91504562">
      <w:start w:val="1"/>
      <w:numFmt w:val="decimal"/>
      <w:pStyle w:val="pointscls1"/>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num w:numId="1" w16cid:durableId="1976450999">
    <w:abstractNumId w:val="1"/>
  </w:num>
  <w:num w:numId="2" w16cid:durableId="1579822130">
    <w:abstractNumId w:val="13"/>
  </w:num>
  <w:num w:numId="3" w16cid:durableId="2103211215">
    <w:abstractNumId w:val="46"/>
  </w:num>
  <w:num w:numId="4" w16cid:durableId="762844049">
    <w:abstractNumId w:val="17"/>
  </w:num>
  <w:num w:numId="5" w16cid:durableId="441344543">
    <w:abstractNumId w:val="0"/>
  </w:num>
  <w:num w:numId="6" w16cid:durableId="1488325624">
    <w:abstractNumId w:val="7"/>
  </w:num>
  <w:num w:numId="7" w16cid:durableId="1698308685">
    <w:abstractNumId w:val="40"/>
  </w:num>
  <w:num w:numId="8" w16cid:durableId="2135251152">
    <w:abstractNumId w:val="9"/>
  </w:num>
  <w:num w:numId="9" w16cid:durableId="1824277082">
    <w:abstractNumId w:val="16"/>
  </w:num>
  <w:num w:numId="10" w16cid:durableId="573197458">
    <w:abstractNumId w:val="31"/>
  </w:num>
  <w:num w:numId="11" w16cid:durableId="1612279443">
    <w:abstractNumId w:val="35"/>
  </w:num>
  <w:num w:numId="12" w16cid:durableId="974797429">
    <w:abstractNumId w:val="43"/>
  </w:num>
  <w:num w:numId="13" w16cid:durableId="1876037036">
    <w:abstractNumId w:val="37"/>
  </w:num>
  <w:num w:numId="14" w16cid:durableId="1956600470">
    <w:abstractNumId w:val="3"/>
  </w:num>
  <w:num w:numId="15" w16cid:durableId="1450511709">
    <w:abstractNumId w:val="26"/>
  </w:num>
  <w:num w:numId="16" w16cid:durableId="1844007841">
    <w:abstractNumId w:val="25"/>
  </w:num>
  <w:num w:numId="17" w16cid:durableId="159927092">
    <w:abstractNumId w:val="20"/>
  </w:num>
  <w:num w:numId="18" w16cid:durableId="1113016256">
    <w:abstractNumId w:val="6"/>
  </w:num>
  <w:num w:numId="19" w16cid:durableId="1159687922">
    <w:abstractNumId w:val="22"/>
  </w:num>
  <w:num w:numId="20" w16cid:durableId="1981880156">
    <w:abstractNumId w:val="14"/>
  </w:num>
  <w:num w:numId="21" w16cid:durableId="1869677344">
    <w:abstractNumId w:val="34"/>
  </w:num>
  <w:num w:numId="22" w16cid:durableId="1724595951">
    <w:abstractNumId w:val="30"/>
  </w:num>
  <w:num w:numId="23" w16cid:durableId="903219738">
    <w:abstractNumId w:val="10"/>
  </w:num>
  <w:num w:numId="24" w16cid:durableId="2096588592">
    <w:abstractNumId w:val="33"/>
  </w:num>
  <w:num w:numId="25" w16cid:durableId="1318148672">
    <w:abstractNumId w:val="18"/>
  </w:num>
  <w:num w:numId="26" w16cid:durableId="1721785402">
    <w:abstractNumId w:val="27"/>
  </w:num>
  <w:num w:numId="27" w16cid:durableId="330447272">
    <w:abstractNumId w:val="36"/>
  </w:num>
  <w:num w:numId="28" w16cid:durableId="100032911">
    <w:abstractNumId w:val="23"/>
  </w:num>
  <w:num w:numId="29" w16cid:durableId="1976450924">
    <w:abstractNumId w:val="4"/>
  </w:num>
  <w:num w:numId="30" w16cid:durableId="1996717456">
    <w:abstractNumId w:val="24"/>
  </w:num>
  <w:num w:numId="31" w16cid:durableId="1130630154">
    <w:abstractNumId w:val="32"/>
  </w:num>
  <w:num w:numId="32" w16cid:durableId="2000187120">
    <w:abstractNumId w:val="28"/>
  </w:num>
  <w:num w:numId="33" w16cid:durableId="1125654462">
    <w:abstractNumId w:val="21"/>
  </w:num>
  <w:num w:numId="34" w16cid:durableId="2016300625">
    <w:abstractNumId w:val="8"/>
  </w:num>
  <w:num w:numId="35" w16cid:durableId="186674418">
    <w:abstractNumId w:val="2"/>
  </w:num>
  <w:num w:numId="36" w16cid:durableId="1552418530">
    <w:abstractNumId w:val="45"/>
  </w:num>
  <w:num w:numId="37" w16cid:durableId="365985308">
    <w:abstractNumId w:val="15"/>
  </w:num>
  <w:num w:numId="38" w16cid:durableId="852377248">
    <w:abstractNumId w:val="12"/>
  </w:num>
  <w:num w:numId="39" w16cid:durableId="826282955">
    <w:abstractNumId w:val="44"/>
  </w:num>
  <w:num w:numId="40" w16cid:durableId="273247038">
    <w:abstractNumId w:val="38"/>
  </w:num>
  <w:num w:numId="41" w16cid:durableId="2006740764">
    <w:abstractNumId w:val="39"/>
  </w:num>
  <w:num w:numId="42" w16cid:durableId="1523937011">
    <w:abstractNumId w:val="19"/>
  </w:num>
  <w:num w:numId="43" w16cid:durableId="2020427561">
    <w:abstractNumId w:val="29"/>
  </w:num>
  <w:num w:numId="44" w16cid:durableId="1453212898">
    <w:abstractNumId w:val="42"/>
  </w:num>
  <w:num w:numId="45" w16cid:durableId="61684484">
    <w:abstractNumId w:val="5"/>
  </w:num>
  <w:num w:numId="46" w16cid:durableId="530455821">
    <w:abstractNumId w:val="41"/>
  </w:num>
  <w:num w:numId="47" w16cid:durableId="151214750">
    <w:abstractNumId w:val="11"/>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75236"/>
    <w:rsid w:val="00083536"/>
    <w:rsid w:val="000B56A5"/>
    <w:rsid w:val="000E568F"/>
    <w:rsid w:val="0010541F"/>
    <w:rsid w:val="00114750"/>
    <w:rsid w:val="00127CAC"/>
    <w:rsid w:val="001C2618"/>
    <w:rsid w:val="001C54DE"/>
    <w:rsid w:val="001D386C"/>
    <w:rsid w:val="00236555"/>
    <w:rsid w:val="002658A0"/>
    <w:rsid w:val="00272AC9"/>
    <w:rsid w:val="002C5A5E"/>
    <w:rsid w:val="002C7C57"/>
    <w:rsid w:val="00306201"/>
    <w:rsid w:val="00362251"/>
    <w:rsid w:val="00375B9C"/>
    <w:rsid w:val="003C3137"/>
    <w:rsid w:val="003D376E"/>
    <w:rsid w:val="003E0EE4"/>
    <w:rsid w:val="003E5332"/>
    <w:rsid w:val="003E5A08"/>
    <w:rsid w:val="00447337"/>
    <w:rsid w:val="00454A58"/>
    <w:rsid w:val="00475741"/>
    <w:rsid w:val="004B3B0C"/>
    <w:rsid w:val="004B4A90"/>
    <w:rsid w:val="004C208B"/>
    <w:rsid w:val="004C3307"/>
    <w:rsid w:val="004D552E"/>
    <w:rsid w:val="005478B4"/>
    <w:rsid w:val="005645B3"/>
    <w:rsid w:val="005B6A3A"/>
    <w:rsid w:val="005F05D0"/>
    <w:rsid w:val="00614CBE"/>
    <w:rsid w:val="00665E5D"/>
    <w:rsid w:val="00696E6A"/>
    <w:rsid w:val="006F3E0E"/>
    <w:rsid w:val="0070607F"/>
    <w:rsid w:val="00711BBF"/>
    <w:rsid w:val="00717C5F"/>
    <w:rsid w:val="00760B5C"/>
    <w:rsid w:val="00776EA2"/>
    <w:rsid w:val="007F6BF8"/>
    <w:rsid w:val="00822CB5"/>
    <w:rsid w:val="0082796C"/>
    <w:rsid w:val="008541CD"/>
    <w:rsid w:val="0087650C"/>
    <w:rsid w:val="00876EF8"/>
    <w:rsid w:val="0088205E"/>
    <w:rsid w:val="00895A52"/>
    <w:rsid w:val="00896114"/>
    <w:rsid w:val="0089667B"/>
    <w:rsid w:val="008B41F0"/>
    <w:rsid w:val="008D0B6D"/>
    <w:rsid w:val="008D7B43"/>
    <w:rsid w:val="008E6467"/>
    <w:rsid w:val="00907A92"/>
    <w:rsid w:val="009175F9"/>
    <w:rsid w:val="00930986"/>
    <w:rsid w:val="00942BB1"/>
    <w:rsid w:val="00995C77"/>
    <w:rsid w:val="009D6997"/>
    <w:rsid w:val="009D7AC5"/>
    <w:rsid w:val="009E29E0"/>
    <w:rsid w:val="00A50182"/>
    <w:rsid w:val="00A54E85"/>
    <w:rsid w:val="00A65C23"/>
    <w:rsid w:val="00AC56AB"/>
    <w:rsid w:val="00AD3F49"/>
    <w:rsid w:val="00AF2941"/>
    <w:rsid w:val="00B24E4B"/>
    <w:rsid w:val="00B33C89"/>
    <w:rsid w:val="00B45A89"/>
    <w:rsid w:val="00B63810"/>
    <w:rsid w:val="00BC1F3F"/>
    <w:rsid w:val="00BC5580"/>
    <w:rsid w:val="00BE1ECC"/>
    <w:rsid w:val="00C2589B"/>
    <w:rsid w:val="00C65E3C"/>
    <w:rsid w:val="00CC4FD4"/>
    <w:rsid w:val="00D02748"/>
    <w:rsid w:val="00D12181"/>
    <w:rsid w:val="00D4011F"/>
    <w:rsid w:val="00D55DF5"/>
    <w:rsid w:val="00D6091E"/>
    <w:rsid w:val="00DD71BE"/>
    <w:rsid w:val="00E22E24"/>
    <w:rsid w:val="00E420F7"/>
    <w:rsid w:val="00E54D0A"/>
    <w:rsid w:val="00E84981"/>
    <w:rsid w:val="00E97955"/>
    <w:rsid w:val="00EC15CE"/>
    <w:rsid w:val="00EC1890"/>
    <w:rsid w:val="00EC2F22"/>
    <w:rsid w:val="00ED0F5F"/>
    <w:rsid w:val="00EE0D03"/>
    <w:rsid w:val="00F03B9C"/>
    <w:rsid w:val="00F10ECB"/>
    <w:rsid w:val="00F155BE"/>
    <w:rsid w:val="00F75368"/>
    <w:rsid w:val="00F90151"/>
    <w:rsid w:val="00FB180E"/>
    <w:rsid w:val="00FE57EC"/>
    <w:rsid w:val="00FF4F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Titre4"/>
    <w:next w:val="Normal"/>
    <w:link w:val="Titre5Car"/>
    <w:uiPriority w:val="9"/>
    <w:unhideWhenUsed/>
    <w:qFormat/>
    <w:rsid w:val="00AD3F49"/>
    <w:pPr>
      <w:numPr>
        <w:ilvl w:val="3"/>
      </w:numPr>
      <w:ind w:left="1985" w:hanging="905"/>
      <w:outlineLvl w:val="4"/>
    </w:p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rsid w:val="00AD3F49"/>
    <w:rPr>
      <w:rFonts w:ascii="Trebuchet MS" w:eastAsia="Trebuchet MS" w:hAnsi="Trebuchet MS" w:cs="Trebuchet MS"/>
      <w:b/>
      <w:bCs/>
      <w:color w:val="000000"/>
      <w:kern w:val="0"/>
      <w:szCs w:val="20"/>
      <w:lang w:val="fr" w:eastAsia="fr-FR"/>
      <w14:ligatures w14:val="none"/>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
    <w:name w:val="points clés 1"/>
    <w:basedOn w:val="Normal"/>
    <w:link w:val="pointscls1Car"/>
    <w:qFormat/>
    <w:rsid w:val="006F3E0E"/>
    <w:pPr>
      <w:numPr>
        <w:numId w:val="3"/>
      </w:numPr>
      <w:pBdr>
        <w:top w:val="single" w:sz="4" w:space="1" w:color="747474" w:themeColor="background2" w:themeShade="80"/>
        <w:left w:val="single" w:sz="4" w:space="4" w:color="747474" w:themeColor="background2" w:themeShade="80"/>
        <w:bottom w:val="single" w:sz="4" w:space="0" w:color="747474" w:themeColor="background2" w:themeShade="80"/>
        <w:right w:val="single" w:sz="4" w:space="4" w:color="747474" w:themeColor="background2" w:themeShade="80"/>
      </w:pBdr>
      <w:spacing w:before="40" w:line="276" w:lineRule="auto"/>
      <w:ind w:left="426" w:right="141" w:hanging="284"/>
    </w:pPr>
    <w:rPr>
      <w:sz w:val="18"/>
      <w:szCs w:val="18"/>
    </w:rPr>
  </w:style>
  <w:style w:type="character" w:customStyle="1" w:styleId="pointscls1Car">
    <w:name w:val="points clés 1 Car"/>
    <w:basedOn w:val="Policepardfaut"/>
    <w:link w:val="pointscls1"/>
    <w:rsid w:val="006F3E0E"/>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34"/>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table" w:styleId="Grilledutableau">
    <w:name w:val="Table Grid"/>
    <w:basedOn w:val="TableauNormal"/>
    <w:uiPriority w:val="39"/>
    <w:rsid w:val="00AD3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6F3E0E"/>
    <w:pPr>
      <w:jc w:val="both"/>
    </w:pPr>
    <w:rPr>
      <w:rFonts w:ascii="Trebuchet MS" w:eastAsia="Trebuchet MS" w:hAnsi="Trebuchet MS" w:cs="Trebuchet MS"/>
      <w:kern w:val="0"/>
      <w:szCs w:val="20"/>
      <w:lang w:val="fr" w:eastAsia="fr-FR"/>
      <w14:ligatures w14:val="none"/>
    </w:rPr>
    <w:tblPr>
      <w:tblCellMar>
        <w:top w:w="100" w:type="dxa"/>
        <w:left w:w="100" w:type="dxa"/>
        <w:bottom w:w="100" w:type="dxa"/>
        <w:right w:w="100" w:type="dxa"/>
      </w:tblCellMar>
    </w:tblPr>
  </w:style>
  <w:style w:type="paragraph" w:customStyle="1" w:styleId="pieddepage">
    <w:name w:val="pied de page"/>
    <w:basedOn w:val="Normal"/>
    <w:link w:val="pieddepageCar"/>
    <w:qFormat/>
    <w:rsid w:val="00E97955"/>
    <w:pPr>
      <w:pBdr>
        <w:top w:val="nil"/>
        <w:left w:val="nil"/>
        <w:bottom w:val="nil"/>
        <w:right w:val="nil"/>
        <w:between w:val="nil"/>
      </w:pBdr>
      <w:spacing w:line="240" w:lineRule="auto"/>
    </w:pPr>
    <w:rPr>
      <w:rFonts w:ascii="Arial" w:eastAsia="Arial" w:hAnsi="Arial" w:cs="Arial"/>
      <w:sz w:val="16"/>
      <w:szCs w:val="16"/>
    </w:rPr>
  </w:style>
  <w:style w:type="character" w:customStyle="1" w:styleId="pieddepageCar">
    <w:name w:val="pied de page Car"/>
    <w:basedOn w:val="Policepardfaut"/>
    <w:link w:val="pieddepage"/>
    <w:rsid w:val="00E97955"/>
    <w:rPr>
      <w:rFonts w:ascii="Arial" w:eastAsia="Arial" w:hAnsi="Arial" w:cs="Arial"/>
      <w:color w:val="000000"/>
      <w:kern w:val="0"/>
      <w:sz w:val="16"/>
      <w:szCs w:val="16"/>
      <w:lang w:val="fr" w:eastAsia="fr-FR"/>
      <w14:ligatures w14:val="none"/>
    </w:rPr>
  </w:style>
  <w:style w:type="character" w:styleId="Lienhypertexte">
    <w:name w:val="Hyperlink"/>
    <w:basedOn w:val="Policepardfaut"/>
    <w:uiPriority w:val="99"/>
    <w:unhideWhenUsed/>
    <w:rsid w:val="00075236"/>
    <w:rPr>
      <w:color w:val="467886" w:themeColor="hyperlink"/>
      <w:u w:val="single"/>
    </w:rPr>
  </w:style>
  <w:style w:type="paragraph" w:styleId="En-tte">
    <w:name w:val="header"/>
    <w:aliases w:val="Car"/>
    <w:basedOn w:val="Normal"/>
    <w:link w:val="En-tteCar"/>
    <w:unhideWhenUsed/>
    <w:rsid w:val="00DD71BE"/>
    <w:pPr>
      <w:tabs>
        <w:tab w:val="center" w:pos="4536"/>
        <w:tab w:val="right" w:pos="9072"/>
      </w:tabs>
      <w:spacing w:line="240" w:lineRule="auto"/>
    </w:pPr>
  </w:style>
  <w:style w:type="character" w:customStyle="1" w:styleId="En-tteCar">
    <w:name w:val="En-tête Car"/>
    <w:aliases w:val="Car Car"/>
    <w:basedOn w:val="Policepardfaut"/>
    <w:link w:val="En-tte"/>
    <w:rsid w:val="00DD71BE"/>
    <w:rPr>
      <w:rFonts w:ascii="Trebuchet MS" w:eastAsia="Trebuchet MS" w:hAnsi="Trebuchet MS" w:cs="Trebuchet MS"/>
      <w:color w:val="000000"/>
      <w:kern w:val="0"/>
      <w:szCs w:val="20"/>
      <w:lang w:val="fr" w:eastAsia="fr-FR"/>
      <w14:ligatures w14:val="none"/>
    </w:rPr>
  </w:style>
  <w:style w:type="paragraph" w:styleId="Pieddepage0">
    <w:name w:val="footer"/>
    <w:basedOn w:val="Normal"/>
    <w:link w:val="PieddepageCar0"/>
    <w:uiPriority w:val="99"/>
    <w:unhideWhenUsed/>
    <w:rsid w:val="00DD71BE"/>
    <w:pPr>
      <w:tabs>
        <w:tab w:val="center" w:pos="4536"/>
        <w:tab w:val="right" w:pos="9072"/>
      </w:tabs>
      <w:spacing w:line="240" w:lineRule="auto"/>
    </w:pPr>
  </w:style>
  <w:style w:type="character" w:customStyle="1" w:styleId="PieddepageCar0">
    <w:name w:val="Pied de page Car"/>
    <w:basedOn w:val="Policepardfaut"/>
    <w:link w:val="Pieddepage0"/>
    <w:uiPriority w:val="99"/>
    <w:rsid w:val="00DD71BE"/>
    <w:rPr>
      <w:rFonts w:ascii="Trebuchet MS" w:eastAsia="Trebuchet MS" w:hAnsi="Trebuchet MS" w:cs="Trebuchet M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espifil.fr/actus/actualites/premier-pnds-sarcoidose-pulmonaire/" TargetMode="External"/><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jp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25</Pages>
  <Words>5608</Words>
  <Characters>34776</Characters>
  <Application>Microsoft Office Word</Application>
  <DocSecurity>0</DocSecurity>
  <Lines>891</Lines>
  <Paragraphs>602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71</cp:revision>
  <dcterms:created xsi:type="dcterms:W3CDTF">2026-06-02T14:47:00Z</dcterms:created>
  <dcterms:modified xsi:type="dcterms:W3CDTF">2026-09-11T12:09:00Z</dcterms:modified>
</cp:coreProperties>
</file>