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28E97A87" w:rsidR="00E84981" w:rsidRDefault="0041733F" w:rsidP="00362251">
      <w:pPr>
        <w:rPr>
          <w:color w:val="2E74B5"/>
          <w:sz w:val="44"/>
          <w:szCs w:val="44"/>
        </w:rPr>
      </w:pPr>
      <w:r w:rsidRPr="00357D58">
        <w:rPr>
          <w:noProof/>
        </w:rPr>
        <w:drawing>
          <wp:anchor distT="0" distB="0" distL="114300" distR="114300" simplePos="0" relativeHeight="251941888" behindDoc="0" locked="0" layoutInCell="1" allowOverlap="1" wp14:anchorId="200E5D25" wp14:editId="7821B070">
            <wp:simplePos x="0" y="0"/>
            <wp:positionH relativeFrom="column">
              <wp:posOffset>-704995</wp:posOffset>
            </wp:positionH>
            <wp:positionV relativeFrom="paragraph">
              <wp:posOffset>-851579</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182">
        <w:rPr>
          <w:noProof/>
        </w:rPr>
        <w:drawing>
          <wp:anchor distT="0" distB="0" distL="114300" distR="114300" simplePos="0" relativeHeight="251926528" behindDoc="0" locked="0" layoutInCell="1" hidden="0" allowOverlap="1" wp14:anchorId="58798723" wp14:editId="00E68DB3">
            <wp:simplePos x="0" y="0"/>
            <wp:positionH relativeFrom="margin">
              <wp:align>right</wp:align>
            </wp:positionH>
            <wp:positionV relativeFrom="paragraph">
              <wp:posOffset>9192</wp:posOffset>
            </wp:positionV>
            <wp:extent cx="2160000" cy="1440000"/>
            <wp:effectExtent l="0" t="0" r="0" b="8255"/>
            <wp:wrapSquare wrapText="bothSides" distT="0" distB="0" distL="114300" distR="114300"/>
            <wp:docPr id="16723678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160000" cy="1440000"/>
                    </a:xfrm>
                    <a:prstGeom prst="rect">
                      <a:avLst/>
                    </a:prstGeom>
                    <a:ln/>
                  </pic:spPr>
                </pic:pic>
              </a:graphicData>
            </a:graphic>
          </wp:anchor>
        </w:drawing>
      </w:r>
    </w:p>
    <w:p w14:paraId="3B8B012C" w14:textId="71F53966" w:rsidR="00876EF8" w:rsidRPr="00A54E85" w:rsidRDefault="00876EF8" w:rsidP="00362251">
      <w:pPr>
        <w:rPr>
          <w:color w:val="2E74B5"/>
          <w:sz w:val="14"/>
          <w:szCs w:val="14"/>
        </w:rPr>
      </w:pPr>
      <w:bookmarkStart w:id="0" w:name="_heading=h.okbxcyd5wsjy" w:colFirst="0" w:colLast="0"/>
      <w:bookmarkEnd w:id="0"/>
    </w:p>
    <w:p w14:paraId="30F39325" w14:textId="466323D9" w:rsidR="00876EF8" w:rsidRPr="00E84981" w:rsidRDefault="00E84981" w:rsidP="00E84981">
      <w:pPr>
        <w:pStyle w:val="Titre1"/>
      </w:pPr>
      <w:r w:rsidRPr="00E84981">
        <w:t>Item </w:t>
      </w:r>
      <w:bookmarkStart w:id="1" w:name="_heading=h.j7k05ddw17s6" w:colFirst="0" w:colLast="0"/>
      <w:bookmarkEnd w:id="1"/>
      <w:r w:rsidR="00A50182">
        <w:t>210 – Pneumopathies interstitielles diffuses</w:t>
      </w:r>
    </w:p>
    <w:p w14:paraId="58CCE89C" w14:textId="77777777" w:rsidR="00876EF8" w:rsidRDefault="00876EF8" w:rsidP="00362251"/>
    <w:p w14:paraId="1D7886DB" w14:textId="77777777" w:rsidR="00E84981" w:rsidRDefault="00E84981" w:rsidP="00362251">
      <w:pPr>
        <w:rPr>
          <w:sz w:val="10"/>
          <w:szCs w:val="10"/>
        </w:rPr>
      </w:pPr>
    </w:p>
    <w:p w14:paraId="42228953" w14:textId="77777777" w:rsidR="00717C5F" w:rsidRPr="00E84981" w:rsidRDefault="00717C5F" w:rsidP="00362251">
      <w:pPr>
        <w:rPr>
          <w:sz w:val="10"/>
          <w:szCs w:val="10"/>
        </w:rPr>
      </w:pPr>
    </w:p>
    <w:tbl>
      <w:tblPr>
        <w:tblW w:w="9012" w:type="dxa"/>
        <w:tblInd w:w="55"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631"/>
        <w:gridCol w:w="1721"/>
        <w:gridCol w:w="4394"/>
        <w:gridCol w:w="2266"/>
      </w:tblGrid>
      <w:tr w:rsidR="00A50182" w14:paraId="7D36ABFD" w14:textId="77777777" w:rsidTr="008E6467">
        <w:trPr>
          <w:trHeight w:val="201"/>
        </w:trPr>
        <w:tc>
          <w:tcPr>
            <w:tcW w:w="631" w:type="dxa"/>
            <w:shd w:val="clear" w:color="auto" w:fill="D1D1D1" w:themeFill="background2" w:themeFillShade="E6"/>
            <w:vAlign w:val="center"/>
          </w:tcPr>
          <w:p w14:paraId="631A206B" w14:textId="77777777" w:rsidR="00A50182" w:rsidRPr="00A50182" w:rsidRDefault="00A50182"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Rang</w:t>
            </w:r>
          </w:p>
        </w:tc>
        <w:tc>
          <w:tcPr>
            <w:tcW w:w="1721" w:type="dxa"/>
            <w:shd w:val="clear" w:color="auto" w:fill="D1D1D1" w:themeFill="background2" w:themeFillShade="E6"/>
            <w:vAlign w:val="center"/>
          </w:tcPr>
          <w:p w14:paraId="7C5A9597" w14:textId="77777777" w:rsidR="00A50182" w:rsidRPr="00A50182" w:rsidRDefault="00A50182"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Rubrique</w:t>
            </w:r>
          </w:p>
        </w:tc>
        <w:tc>
          <w:tcPr>
            <w:tcW w:w="4394" w:type="dxa"/>
            <w:shd w:val="clear" w:color="auto" w:fill="D1D1D1" w:themeFill="background2" w:themeFillShade="E6"/>
          </w:tcPr>
          <w:p w14:paraId="3A29B133" w14:textId="77777777" w:rsidR="00A50182" w:rsidRPr="00A50182" w:rsidRDefault="00A50182"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Intitulé des connaissances</w:t>
            </w:r>
          </w:p>
        </w:tc>
        <w:tc>
          <w:tcPr>
            <w:tcW w:w="2266" w:type="dxa"/>
            <w:shd w:val="clear" w:color="auto" w:fill="D1D1D1" w:themeFill="background2" w:themeFillShade="E6"/>
          </w:tcPr>
          <w:p w14:paraId="6C7FC85E" w14:textId="77777777" w:rsidR="00A50182" w:rsidRPr="00A50182" w:rsidRDefault="00A50182"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Descriptif</w:t>
            </w:r>
          </w:p>
        </w:tc>
      </w:tr>
      <w:tr w:rsidR="00A50182" w14:paraId="7EB03D2F" w14:textId="77777777" w:rsidTr="008E6467">
        <w:trPr>
          <w:trHeight w:val="32"/>
        </w:trPr>
        <w:tc>
          <w:tcPr>
            <w:tcW w:w="631" w:type="dxa"/>
            <w:vAlign w:val="center"/>
          </w:tcPr>
          <w:p w14:paraId="35711434" w14:textId="77777777" w:rsidR="00A50182" w:rsidRDefault="00A50182" w:rsidP="0094705B">
            <w:pPr>
              <w:spacing w:line="240" w:lineRule="auto"/>
              <w:jc w:val="center"/>
              <w:rPr>
                <w:rFonts w:ascii="Calibri" w:eastAsia="Calibri" w:hAnsi="Calibri" w:cs="Calibri"/>
              </w:rPr>
            </w:pPr>
            <w:r>
              <w:rPr>
                <w:rFonts w:ascii="Calibri" w:eastAsia="Calibri" w:hAnsi="Calibri" w:cs="Calibri"/>
                <w:color w:val="0070C0"/>
              </w:rPr>
              <w:t>B</w:t>
            </w:r>
          </w:p>
        </w:tc>
        <w:tc>
          <w:tcPr>
            <w:tcW w:w="1721" w:type="dxa"/>
            <w:vAlign w:val="center"/>
          </w:tcPr>
          <w:p w14:paraId="4E20DC24"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Contenu multimédia</w:t>
            </w:r>
          </w:p>
        </w:tc>
        <w:tc>
          <w:tcPr>
            <w:tcW w:w="4394" w:type="dxa"/>
            <w:vAlign w:val="center"/>
          </w:tcPr>
          <w:p w14:paraId="5DAA3555"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TDM thoracique fibrose pulmonaire idiopathique (PIC)</w:t>
            </w:r>
          </w:p>
        </w:tc>
        <w:tc>
          <w:tcPr>
            <w:tcW w:w="2266" w:type="dxa"/>
          </w:tcPr>
          <w:p w14:paraId="65CCD911" w14:textId="77777777" w:rsidR="00A50182" w:rsidRDefault="00A50182" w:rsidP="0094705B">
            <w:pPr>
              <w:spacing w:line="240" w:lineRule="auto"/>
              <w:rPr>
                <w:rFonts w:ascii="Calibri" w:eastAsia="Calibri" w:hAnsi="Calibri" w:cs="Calibri"/>
                <w:color w:val="0070C0"/>
              </w:rPr>
            </w:pPr>
          </w:p>
        </w:tc>
      </w:tr>
      <w:tr w:rsidR="00A50182" w14:paraId="69736C32" w14:textId="77777777" w:rsidTr="008E6467">
        <w:trPr>
          <w:trHeight w:val="32"/>
        </w:trPr>
        <w:tc>
          <w:tcPr>
            <w:tcW w:w="631" w:type="dxa"/>
            <w:vAlign w:val="center"/>
          </w:tcPr>
          <w:p w14:paraId="4A283660" w14:textId="77777777" w:rsidR="00A50182" w:rsidRDefault="00A50182" w:rsidP="0094705B">
            <w:pPr>
              <w:spacing w:line="240" w:lineRule="auto"/>
              <w:jc w:val="center"/>
              <w:rPr>
                <w:rFonts w:ascii="Calibri" w:eastAsia="Calibri" w:hAnsi="Calibri" w:cs="Calibri"/>
              </w:rPr>
            </w:pPr>
            <w:r>
              <w:rPr>
                <w:rFonts w:ascii="Calibri" w:eastAsia="Calibri" w:hAnsi="Calibri" w:cs="Calibri"/>
                <w:color w:val="0070C0"/>
              </w:rPr>
              <w:t>B</w:t>
            </w:r>
          </w:p>
        </w:tc>
        <w:tc>
          <w:tcPr>
            <w:tcW w:w="1721" w:type="dxa"/>
            <w:vAlign w:val="center"/>
          </w:tcPr>
          <w:p w14:paraId="03BAD5EC"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Contenu multimédia</w:t>
            </w:r>
          </w:p>
        </w:tc>
        <w:tc>
          <w:tcPr>
            <w:tcW w:w="4394" w:type="dxa"/>
            <w:vAlign w:val="center"/>
          </w:tcPr>
          <w:p w14:paraId="31AD786E"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Exemple de TDM thoracique d’asbestose</w:t>
            </w:r>
          </w:p>
        </w:tc>
        <w:tc>
          <w:tcPr>
            <w:tcW w:w="2266" w:type="dxa"/>
          </w:tcPr>
          <w:p w14:paraId="66F1E88E" w14:textId="77777777" w:rsidR="00A50182" w:rsidRDefault="00A50182" w:rsidP="0094705B">
            <w:pPr>
              <w:spacing w:line="240" w:lineRule="auto"/>
              <w:rPr>
                <w:rFonts w:ascii="Calibri" w:eastAsia="Calibri" w:hAnsi="Calibri" w:cs="Calibri"/>
              </w:rPr>
            </w:pPr>
          </w:p>
        </w:tc>
      </w:tr>
      <w:tr w:rsidR="00A50182" w14:paraId="0A7E4675" w14:textId="77777777" w:rsidTr="008E6467">
        <w:trPr>
          <w:trHeight w:val="201"/>
        </w:trPr>
        <w:tc>
          <w:tcPr>
            <w:tcW w:w="631" w:type="dxa"/>
            <w:vAlign w:val="center"/>
          </w:tcPr>
          <w:p w14:paraId="0C0AA77D" w14:textId="77777777" w:rsidR="00A50182" w:rsidRDefault="00A50182" w:rsidP="0094705B">
            <w:pPr>
              <w:spacing w:line="240" w:lineRule="auto"/>
              <w:jc w:val="center"/>
              <w:rPr>
                <w:rFonts w:ascii="Calibri" w:eastAsia="Calibri" w:hAnsi="Calibri" w:cs="Calibri"/>
                <w:i/>
                <w:iCs/>
                <w:color w:val="2E74B5"/>
              </w:rPr>
            </w:pPr>
            <w:r>
              <w:rPr>
                <w:rFonts w:ascii="Calibri" w:eastAsia="Calibri" w:hAnsi="Calibri" w:cs="Calibri"/>
              </w:rPr>
              <w:t>A</w:t>
            </w:r>
          </w:p>
        </w:tc>
        <w:tc>
          <w:tcPr>
            <w:tcW w:w="1721" w:type="dxa"/>
            <w:vAlign w:val="center"/>
          </w:tcPr>
          <w:p w14:paraId="0FC81A6A" w14:textId="77777777" w:rsidR="00A50182" w:rsidRDefault="00A50182" w:rsidP="0094705B">
            <w:pPr>
              <w:spacing w:line="240" w:lineRule="auto"/>
              <w:jc w:val="left"/>
              <w:rPr>
                <w:rFonts w:ascii="Calibri" w:eastAsia="Calibri" w:hAnsi="Calibri" w:cs="Calibri"/>
                <w:i/>
                <w:iCs/>
                <w:color w:val="2E74B5"/>
              </w:rPr>
            </w:pPr>
            <w:r>
              <w:rPr>
                <w:rFonts w:ascii="Calibri" w:eastAsia="Calibri" w:hAnsi="Calibri" w:cs="Calibri"/>
              </w:rPr>
              <w:t>Définition</w:t>
            </w:r>
          </w:p>
        </w:tc>
        <w:tc>
          <w:tcPr>
            <w:tcW w:w="4394" w:type="dxa"/>
            <w:vAlign w:val="center"/>
          </w:tcPr>
          <w:p w14:paraId="0AAA0A3C" w14:textId="77777777" w:rsidR="00A50182" w:rsidRDefault="00A50182" w:rsidP="0094705B">
            <w:pPr>
              <w:spacing w:line="240" w:lineRule="auto"/>
              <w:jc w:val="left"/>
              <w:rPr>
                <w:rFonts w:ascii="Calibri" w:eastAsia="Calibri" w:hAnsi="Calibri" w:cs="Calibri"/>
                <w:i/>
                <w:iCs/>
                <w:color w:val="2E74B5"/>
              </w:rPr>
            </w:pPr>
            <w:r>
              <w:rPr>
                <w:rFonts w:ascii="Calibri" w:eastAsia="Calibri" w:hAnsi="Calibri" w:cs="Calibri"/>
              </w:rPr>
              <w:t>Définition des PID, connaître les grandes catégories de PID</w:t>
            </w:r>
          </w:p>
        </w:tc>
        <w:tc>
          <w:tcPr>
            <w:tcW w:w="2266" w:type="dxa"/>
          </w:tcPr>
          <w:p w14:paraId="38575C57" w14:textId="77777777" w:rsidR="00A50182" w:rsidRDefault="00A50182" w:rsidP="0094705B">
            <w:pPr>
              <w:spacing w:line="240" w:lineRule="auto"/>
              <w:jc w:val="left"/>
              <w:rPr>
                <w:rFonts w:ascii="Calibri" w:eastAsia="Calibri" w:hAnsi="Calibri" w:cs="Calibri"/>
              </w:rPr>
            </w:pPr>
            <w:r>
              <w:rPr>
                <w:rFonts w:ascii="Calibri" w:eastAsia="Calibri" w:hAnsi="Calibri" w:cs="Calibri"/>
              </w:rPr>
              <w:t>(De cause connue et de cause inconnue)</w:t>
            </w:r>
          </w:p>
        </w:tc>
      </w:tr>
      <w:tr w:rsidR="00A50182" w14:paraId="582FDCD8" w14:textId="77777777" w:rsidTr="008E6467">
        <w:trPr>
          <w:trHeight w:val="201"/>
        </w:trPr>
        <w:tc>
          <w:tcPr>
            <w:tcW w:w="631" w:type="dxa"/>
            <w:vAlign w:val="center"/>
          </w:tcPr>
          <w:p w14:paraId="2961A99B"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1721" w:type="dxa"/>
            <w:vAlign w:val="center"/>
          </w:tcPr>
          <w:p w14:paraId="22B47481"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Diagnostic positif</w:t>
            </w:r>
          </w:p>
        </w:tc>
        <w:tc>
          <w:tcPr>
            <w:tcW w:w="4394" w:type="dxa"/>
            <w:vAlign w:val="center"/>
          </w:tcPr>
          <w:p w14:paraId="7FE6407E" w14:textId="77777777" w:rsidR="00A50182" w:rsidRDefault="00A50182" w:rsidP="00A50182">
            <w:pPr>
              <w:spacing w:line="240" w:lineRule="auto"/>
              <w:ind w:right="-114"/>
              <w:jc w:val="left"/>
              <w:rPr>
                <w:rFonts w:ascii="Calibri" w:eastAsia="Calibri" w:hAnsi="Calibri" w:cs="Calibri"/>
              </w:rPr>
            </w:pPr>
            <w:r>
              <w:rPr>
                <w:rFonts w:ascii="Calibri" w:eastAsia="Calibri" w:hAnsi="Calibri" w:cs="Calibri"/>
                <w:color w:val="0070C0"/>
              </w:rPr>
              <w:t>Pneumoconiose : savoir évoquer le diagnostic</w:t>
            </w:r>
          </w:p>
        </w:tc>
        <w:tc>
          <w:tcPr>
            <w:tcW w:w="2266" w:type="dxa"/>
          </w:tcPr>
          <w:p w14:paraId="3F45147D" w14:textId="77777777" w:rsidR="00A50182" w:rsidRDefault="00A50182" w:rsidP="0094705B">
            <w:pPr>
              <w:spacing w:line="240" w:lineRule="auto"/>
              <w:jc w:val="left"/>
              <w:rPr>
                <w:rFonts w:ascii="Calibri" w:eastAsia="Calibri" w:hAnsi="Calibri" w:cs="Calibri"/>
                <w:color w:val="0070C0"/>
              </w:rPr>
            </w:pPr>
          </w:p>
        </w:tc>
      </w:tr>
      <w:tr w:rsidR="00A50182" w14:paraId="21DFA0C4" w14:textId="77777777" w:rsidTr="008E6467">
        <w:trPr>
          <w:trHeight w:val="201"/>
        </w:trPr>
        <w:tc>
          <w:tcPr>
            <w:tcW w:w="631" w:type="dxa"/>
            <w:vAlign w:val="center"/>
          </w:tcPr>
          <w:p w14:paraId="3F3837B7"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1721" w:type="dxa"/>
            <w:vAlign w:val="center"/>
          </w:tcPr>
          <w:p w14:paraId="6ABE3AE0" w14:textId="77777777" w:rsidR="00A50182" w:rsidRDefault="00A50182" w:rsidP="0094705B">
            <w:pPr>
              <w:spacing w:line="240" w:lineRule="auto"/>
              <w:jc w:val="left"/>
              <w:rPr>
                <w:rFonts w:ascii="Calibri" w:eastAsia="Calibri" w:hAnsi="Calibri" w:cs="Calibri"/>
                <w:color w:val="2E74B5"/>
              </w:rPr>
            </w:pPr>
            <w:r>
              <w:rPr>
                <w:rFonts w:ascii="Calibri" w:eastAsia="Calibri" w:hAnsi="Calibri" w:cs="Calibri"/>
                <w:color w:val="0070C0"/>
              </w:rPr>
              <w:t>Diagnostic positif</w:t>
            </w:r>
          </w:p>
        </w:tc>
        <w:tc>
          <w:tcPr>
            <w:tcW w:w="4394" w:type="dxa"/>
            <w:vAlign w:val="center"/>
          </w:tcPr>
          <w:p w14:paraId="1EE58396" w14:textId="77777777" w:rsidR="00A50182" w:rsidRDefault="00A50182" w:rsidP="0094705B">
            <w:pPr>
              <w:spacing w:line="240" w:lineRule="auto"/>
              <w:jc w:val="left"/>
              <w:rPr>
                <w:rFonts w:ascii="Calibri" w:eastAsia="Calibri" w:hAnsi="Calibri" w:cs="Calibri"/>
                <w:color w:val="2E74B5"/>
              </w:rPr>
            </w:pPr>
            <w:r>
              <w:rPr>
                <w:rFonts w:ascii="Calibri" w:eastAsia="Calibri" w:hAnsi="Calibri" w:cs="Calibri"/>
                <w:color w:val="0070C0"/>
              </w:rPr>
              <w:t>Pneumopathie d’hypersensibilité : savoir évoquer le diagnostic</w:t>
            </w:r>
          </w:p>
        </w:tc>
        <w:tc>
          <w:tcPr>
            <w:tcW w:w="2266" w:type="dxa"/>
          </w:tcPr>
          <w:p w14:paraId="65F5CDA8" w14:textId="77777777" w:rsidR="00A50182" w:rsidRDefault="00A50182" w:rsidP="0094705B">
            <w:pPr>
              <w:spacing w:line="240" w:lineRule="auto"/>
              <w:jc w:val="left"/>
              <w:rPr>
                <w:rFonts w:ascii="Calibri" w:eastAsia="Calibri" w:hAnsi="Calibri" w:cs="Calibri"/>
              </w:rPr>
            </w:pPr>
          </w:p>
        </w:tc>
      </w:tr>
      <w:tr w:rsidR="00A50182" w14:paraId="0B1BD663" w14:textId="77777777" w:rsidTr="008E6467">
        <w:trPr>
          <w:trHeight w:val="201"/>
        </w:trPr>
        <w:tc>
          <w:tcPr>
            <w:tcW w:w="631" w:type="dxa"/>
            <w:vAlign w:val="center"/>
          </w:tcPr>
          <w:p w14:paraId="1B2746E9" w14:textId="77777777" w:rsidR="00A50182" w:rsidRDefault="00A50182" w:rsidP="0094705B">
            <w:pPr>
              <w:spacing w:line="240" w:lineRule="auto"/>
              <w:jc w:val="center"/>
              <w:rPr>
                <w:rFonts w:ascii="Calibri" w:eastAsia="Calibri" w:hAnsi="Calibri" w:cs="Calibri"/>
                <w:color w:val="2E74B5"/>
              </w:rPr>
            </w:pPr>
            <w:r>
              <w:rPr>
                <w:rFonts w:ascii="Calibri" w:eastAsia="Calibri" w:hAnsi="Calibri" w:cs="Calibri"/>
                <w:color w:val="0070C0"/>
              </w:rPr>
              <w:t>B</w:t>
            </w:r>
          </w:p>
        </w:tc>
        <w:tc>
          <w:tcPr>
            <w:tcW w:w="1721" w:type="dxa"/>
            <w:vAlign w:val="center"/>
          </w:tcPr>
          <w:p w14:paraId="4CD82BF7" w14:textId="77777777" w:rsidR="00A50182" w:rsidRDefault="00A50182" w:rsidP="0094705B">
            <w:pPr>
              <w:spacing w:line="240" w:lineRule="auto"/>
              <w:jc w:val="left"/>
              <w:rPr>
                <w:rFonts w:ascii="Calibri" w:eastAsia="Calibri" w:hAnsi="Calibri" w:cs="Calibri"/>
                <w:color w:val="2E74B5"/>
              </w:rPr>
            </w:pPr>
            <w:r>
              <w:rPr>
                <w:rFonts w:ascii="Calibri" w:eastAsia="Calibri" w:hAnsi="Calibri" w:cs="Calibri"/>
                <w:color w:val="0070C0"/>
              </w:rPr>
              <w:t>Diagnostic positif</w:t>
            </w:r>
          </w:p>
        </w:tc>
        <w:tc>
          <w:tcPr>
            <w:tcW w:w="4394" w:type="dxa"/>
            <w:vAlign w:val="center"/>
          </w:tcPr>
          <w:p w14:paraId="1C1B7BF9" w14:textId="77777777" w:rsidR="00A50182" w:rsidRDefault="00A50182" w:rsidP="0094705B">
            <w:pPr>
              <w:spacing w:line="240" w:lineRule="auto"/>
              <w:jc w:val="left"/>
              <w:rPr>
                <w:rFonts w:ascii="Calibri" w:eastAsia="Calibri" w:hAnsi="Calibri" w:cs="Calibri"/>
                <w:color w:val="2E74B5"/>
              </w:rPr>
            </w:pPr>
            <w:r>
              <w:rPr>
                <w:rFonts w:ascii="Calibri" w:eastAsia="Calibri" w:hAnsi="Calibri" w:cs="Calibri"/>
                <w:color w:val="0070C0"/>
              </w:rPr>
              <w:t>Savoir orienter l’étiologie en fonction du caractère aigu ou chronique, primitif ou secondaire et de l’état immunitaire du patient (immunocompétence versus immunodépression)</w:t>
            </w:r>
          </w:p>
        </w:tc>
        <w:tc>
          <w:tcPr>
            <w:tcW w:w="2266" w:type="dxa"/>
          </w:tcPr>
          <w:p w14:paraId="656FBFBE" w14:textId="77777777" w:rsidR="00A50182" w:rsidRDefault="00A50182" w:rsidP="0094705B">
            <w:pPr>
              <w:spacing w:line="240" w:lineRule="auto"/>
              <w:jc w:val="left"/>
              <w:rPr>
                <w:rFonts w:ascii="Calibri" w:eastAsia="Calibri" w:hAnsi="Calibri" w:cs="Calibri"/>
                <w:color w:val="0070C0"/>
              </w:rPr>
            </w:pPr>
          </w:p>
        </w:tc>
      </w:tr>
      <w:tr w:rsidR="00A50182" w14:paraId="762ACBBC" w14:textId="77777777" w:rsidTr="008E6467">
        <w:trPr>
          <w:trHeight w:val="201"/>
        </w:trPr>
        <w:tc>
          <w:tcPr>
            <w:tcW w:w="631" w:type="dxa"/>
            <w:vAlign w:val="center"/>
          </w:tcPr>
          <w:p w14:paraId="45FC38D4" w14:textId="77777777" w:rsidR="00A50182" w:rsidRDefault="00A50182" w:rsidP="0094705B">
            <w:pPr>
              <w:spacing w:line="240" w:lineRule="auto"/>
              <w:jc w:val="center"/>
              <w:rPr>
                <w:rFonts w:ascii="Calibri" w:eastAsia="Calibri" w:hAnsi="Calibri" w:cs="Calibri"/>
                <w:i/>
                <w:iCs/>
                <w:color w:val="0070C0"/>
              </w:rPr>
            </w:pPr>
            <w:r>
              <w:rPr>
                <w:rFonts w:ascii="Calibri" w:eastAsia="Calibri" w:hAnsi="Calibri" w:cs="Calibri"/>
                <w:color w:val="0070C0"/>
              </w:rPr>
              <w:t>B</w:t>
            </w:r>
          </w:p>
        </w:tc>
        <w:tc>
          <w:tcPr>
            <w:tcW w:w="1721" w:type="dxa"/>
            <w:vAlign w:val="center"/>
          </w:tcPr>
          <w:p w14:paraId="781D04F0" w14:textId="77777777" w:rsidR="00A50182" w:rsidRDefault="00A50182" w:rsidP="0094705B">
            <w:pPr>
              <w:spacing w:line="240" w:lineRule="auto"/>
              <w:jc w:val="left"/>
              <w:rPr>
                <w:rFonts w:ascii="Calibri" w:eastAsia="Calibri" w:hAnsi="Calibri" w:cs="Calibri"/>
                <w:i/>
                <w:iCs/>
                <w:color w:val="2E74B5"/>
              </w:rPr>
            </w:pPr>
            <w:r>
              <w:rPr>
                <w:rFonts w:ascii="Calibri" w:eastAsia="Calibri" w:hAnsi="Calibri" w:cs="Calibri"/>
                <w:color w:val="0070C0"/>
              </w:rPr>
              <w:t>Étiologie</w:t>
            </w:r>
          </w:p>
        </w:tc>
        <w:tc>
          <w:tcPr>
            <w:tcW w:w="4394" w:type="dxa"/>
            <w:vAlign w:val="center"/>
          </w:tcPr>
          <w:p w14:paraId="0C5368EC" w14:textId="77777777" w:rsidR="00A50182" w:rsidRDefault="00A50182" w:rsidP="0094705B">
            <w:pPr>
              <w:spacing w:line="240" w:lineRule="auto"/>
              <w:jc w:val="left"/>
              <w:rPr>
                <w:rFonts w:ascii="Calibri" w:eastAsia="Calibri" w:hAnsi="Calibri" w:cs="Calibri"/>
                <w:i/>
                <w:iCs/>
                <w:color w:val="2E74B5"/>
              </w:rPr>
            </w:pPr>
            <w:r>
              <w:rPr>
                <w:rFonts w:ascii="Calibri" w:eastAsia="Calibri" w:hAnsi="Calibri" w:cs="Calibri"/>
                <w:color w:val="0070C0"/>
              </w:rPr>
              <w:t>Connaître les principales causes de PID secondaires</w:t>
            </w:r>
          </w:p>
        </w:tc>
        <w:tc>
          <w:tcPr>
            <w:tcW w:w="2266" w:type="dxa"/>
          </w:tcPr>
          <w:p w14:paraId="76ECD16A" w14:textId="77777777" w:rsidR="00A50182" w:rsidRDefault="00A50182" w:rsidP="0094705B">
            <w:pPr>
              <w:spacing w:line="240" w:lineRule="auto"/>
              <w:jc w:val="left"/>
              <w:rPr>
                <w:rFonts w:ascii="Calibri" w:eastAsia="Calibri" w:hAnsi="Calibri" w:cs="Calibri"/>
              </w:rPr>
            </w:pPr>
            <w:r>
              <w:rPr>
                <w:rFonts w:ascii="Calibri" w:eastAsia="Calibri" w:hAnsi="Calibri" w:cs="Calibri"/>
              </w:rPr>
              <w:t>Médicament, infections, insuffisance cardiaque</w:t>
            </w:r>
          </w:p>
        </w:tc>
      </w:tr>
      <w:tr w:rsidR="00A50182" w14:paraId="2AA3CD24" w14:textId="77777777" w:rsidTr="008E6467">
        <w:trPr>
          <w:trHeight w:val="201"/>
        </w:trPr>
        <w:tc>
          <w:tcPr>
            <w:tcW w:w="631" w:type="dxa"/>
            <w:vAlign w:val="center"/>
          </w:tcPr>
          <w:p w14:paraId="62D6F1CB"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1721" w:type="dxa"/>
            <w:vAlign w:val="center"/>
          </w:tcPr>
          <w:p w14:paraId="6B06D462"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Étiologies</w:t>
            </w:r>
          </w:p>
        </w:tc>
        <w:tc>
          <w:tcPr>
            <w:tcW w:w="4394" w:type="dxa"/>
            <w:vAlign w:val="center"/>
          </w:tcPr>
          <w:p w14:paraId="000E9310"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Connaître le retentissement pulmonaire des principales maladies auto-immunes et infectieuses</w:t>
            </w:r>
          </w:p>
        </w:tc>
        <w:tc>
          <w:tcPr>
            <w:tcW w:w="2266" w:type="dxa"/>
          </w:tcPr>
          <w:p w14:paraId="4A2C902C" w14:textId="77777777" w:rsidR="00A50182" w:rsidRDefault="00A50182" w:rsidP="0094705B">
            <w:pPr>
              <w:spacing w:line="240" w:lineRule="auto"/>
              <w:jc w:val="left"/>
              <w:rPr>
                <w:rFonts w:ascii="Calibri" w:eastAsia="Calibri" w:hAnsi="Calibri" w:cs="Calibri"/>
                <w:color w:val="0070C0"/>
              </w:rPr>
            </w:pPr>
          </w:p>
        </w:tc>
      </w:tr>
      <w:tr w:rsidR="00A50182" w14:paraId="5464CD3E" w14:textId="77777777" w:rsidTr="008E6467">
        <w:trPr>
          <w:trHeight w:val="201"/>
        </w:trPr>
        <w:tc>
          <w:tcPr>
            <w:tcW w:w="631" w:type="dxa"/>
            <w:vAlign w:val="center"/>
          </w:tcPr>
          <w:p w14:paraId="6901A76E"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rPr>
              <w:t>A</w:t>
            </w:r>
          </w:p>
        </w:tc>
        <w:tc>
          <w:tcPr>
            <w:tcW w:w="1721" w:type="dxa"/>
            <w:vAlign w:val="center"/>
          </w:tcPr>
          <w:p w14:paraId="7F81207E" w14:textId="77777777" w:rsidR="00A50182" w:rsidRDefault="00A50182" w:rsidP="0094705B">
            <w:pPr>
              <w:spacing w:line="240" w:lineRule="auto"/>
              <w:jc w:val="left"/>
              <w:rPr>
                <w:rFonts w:ascii="Calibri" w:eastAsia="Calibri" w:hAnsi="Calibri" w:cs="Calibri"/>
              </w:rPr>
            </w:pPr>
            <w:r>
              <w:rPr>
                <w:rFonts w:ascii="Calibri" w:eastAsia="Calibri" w:hAnsi="Calibri" w:cs="Calibri"/>
              </w:rPr>
              <w:t>Examens complémentaires</w:t>
            </w:r>
          </w:p>
        </w:tc>
        <w:tc>
          <w:tcPr>
            <w:tcW w:w="4394" w:type="dxa"/>
            <w:vAlign w:val="center"/>
          </w:tcPr>
          <w:p w14:paraId="17C87371" w14:textId="77777777" w:rsidR="00A50182" w:rsidRDefault="00A50182" w:rsidP="0094705B">
            <w:pPr>
              <w:spacing w:line="240" w:lineRule="auto"/>
              <w:jc w:val="left"/>
              <w:rPr>
                <w:rFonts w:ascii="Calibri" w:eastAsia="Calibri" w:hAnsi="Calibri" w:cs="Calibri"/>
              </w:rPr>
            </w:pPr>
            <w:r>
              <w:rPr>
                <w:rFonts w:ascii="Calibri" w:eastAsia="Calibri" w:hAnsi="Calibri" w:cs="Calibri"/>
              </w:rPr>
              <w:t>Connaître l’indication des examens d’imagerie au cours d’une pneumopathie interstitielle diffuse</w:t>
            </w:r>
          </w:p>
        </w:tc>
        <w:tc>
          <w:tcPr>
            <w:tcW w:w="2266" w:type="dxa"/>
          </w:tcPr>
          <w:p w14:paraId="00017EA9" w14:textId="77777777" w:rsidR="00A50182" w:rsidRDefault="00A50182" w:rsidP="0094705B">
            <w:pPr>
              <w:spacing w:line="240" w:lineRule="auto"/>
              <w:jc w:val="left"/>
              <w:rPr>
                <w:rFonts w:ascii="Calibri" w:eastAsia="Calibri" w:hAnsi="Calibri" w:cs="Calibri"/>
                <w:color w:val="0070C0"/>
              </w:rPr>
            </w:pPr>
          </w:p>
        </w:tc>
      </w:tr>
      <w:tr w:rsidR="00A50182" w14:paraId="2FD8A780" w14:textId="77777777" w:rsidTr="008E6467">
        <w:trPr>
          <w:trHeight w:val="201"/>
        </w:trPr>
        <w:tc>
          <w:tcPr>
            <w:tcW w:w="631" w:type="dxa"/>
            <w:vAlign w:val="center"/>
          </w:tcPr>
          <w:p w14:paraId="3A22B80A"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1721" w:type="dxa"/>
            <w:vAlign w:val="center"/>
          </w:tcPr>
          <w:p w14:paraId="60FB2A47"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color w:val="0070C0"/>
              </w:rPr>
              <w:t>Examens complémentaires</w:t>
            </w:r>
          </w:p>
        </w:tc>
        <w:tc>
          <w:tcPr>
            <w:tcW w:w="4394" w:type="dxa"/>
            <w:vAlign w:val="center"/>
          </w:tcPr>
          <w:p w14:paraId="1E91CD0C"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color w:val="0070C0"/>
              </w:rPr>
              <w:t>Connaître la stratégie diagnostique initiale devant une pneumopathie interstitielle diffuse</w:t>
            </w:r>
          </w:p>
        </w:tc>
        <w:tc>
          <w:tcPr>
            <w:tcW w:w="2266" w:type="dxa"/>
          </w:tcPr>
          <w:p w14:paraId="5A74045F" w14:textId="77777777" w:rsidR="00A50182" w:rsidRDefault="00A50182" w:rsidP="0094705B">
            <w:pPr>
              <w:spacing w:line="240" w:lineRule="auto"/>
              <w:jc w:val="left"/>
              <w:rPr>
                <w:rFonts w:ascii="Calibri" w:eastAsia="Calibri" w:hAnsi="Calibri" w:cs="Calibri"/>
                <w:color w:val="0070C0"/>
              </w:rPr>
            </w:pPr>
          </w:p>
        </w:tc>
      </w:tr>
      <w:tr w:rsidR="00A50182" w14:paraId="14FDCCEF" w14:textId="77777777" w:rsidTr="008E6467">
        <w:trPr>
          <w:trHeight w:val="201"/>
        </w:trPr>
        <w:tc>
          <w:tcPr>
            <w:tcW w:w="631" w:type="dxa"/>
            <w:vAlign w:val="center"/>
          </w:tcPr>
          <w:p w14:paraId="259E9E10"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color w:val="0070C0"/>
              </w:rPr>
              <w:t>B</w:t>
            </w:r>
          </w:p>
        </w:tc>
        <w:tc>
          <w:tcPr>
            <w:tcW w:w="1721" w:type="dxa"/>
            <w:vAlign w:val="center"/>
          </w:tcPr>
          <w:p w14:paraId="51228701"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color w:val="0070C0"/>
              </w:rPr>
              <w:t>Examens complémentaires</w:t>
            </w:r>
          </w:p>
        </w:tc>
        <w:tc>
          <w:tcPr>
            <w:tcW w:w="4394" w:type="dxa"/>
            <w:vAlign w:val="center"/>
          </w:tcPr>
          <w:p w14:paraId="34A21E3C"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color w:val="0070C0"/>
              </w:rPr>
              <w:t>Connaître la sémiologie TDM d’une pneumopathie interstitielle diffuse</w:t>
            </w:r>
          </w:p>
        </w:tc>
        <w:tc>
          <w:tcPr>
            <w:tcW w:w="2266" w:type="dxa"/>
          </w:tcPr>
          <w:p w14:paraId="4A6EBAB7"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rPr>
              <w:t>Lésions élémentaires : nodules, images linéaires, hyperdensités, hypodensités</w:t>
            </w:r>
          </w:p>
        </w:tc>
      </w:tr>
      <w:tr w:rsidR="00A50182" w14:paraId="143DB725" w14:textId="77777777" w:rsidTr="008E6467">
        <w:trPr>
          <w:trHeight w:val="201"/>
        </w:trPr>
        <w:tc>
          <w:tcPr>
            <w:tcW w:w="631" w:type="dxa"/>
            <w:vAlign w:val="center"/>
          </w:tcPr>
          <w:p w14:paraId="67ABA71E" w14:textId="77777777" w:rsidR="00A50182" w:rsidRDefault="00A50182" w:rsidP="0094705B">
            <w:pPr>
              <w:spacing w:line="240" w:lineRule="auto"/>
              <w:jc w:val="center"/>
              <w:rPr>
                <w:rFonts w:ascii="Calibri" w:eastAsia="Calibri" w:hAnsi="Calibri" w:cs="Calibri"/>
                <w:color w:val="0070C0"/>
              </w:rPr>
            </w:pPr>
            <w:r>
              <w:rPr>
                <w:rFonts w:ascii="Calibri" w:eastAsia="Calibri" w:hAnsi="Calibri" w:cs="Calibri"/>
              </w:rPr>
              <w:t>A</w:t>
            </w:r>
          </w:p>
        </w:tc>
        <w:tc>
          <w:tcPr>
            <w:tcW w:w="1721" w:type="dxa"/>
            <w:vAlign w:val="center"/>
          </w:tcPr>
          <w:p w14:paraId="3F370FE0"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rPr>
              <w:t>Examens complémentaires</w:t>
            </w:r>
          </w:p>
        </w:tc>
        <w:tc>
          <w:tcPr>
            <w:tcW w:w="4394" w:type="dxa"/>
            <w:vAlign w:val="center"/>
          </w:tcPr>
          <w:p w14:paraId="3E68E662" w14:textId="77777777" w:rsidR="00A50182" w:rsidRDefault="00A50182" w:rsidP="0094705B">
            <w:pPr>
              <w:spacing w:line="240" w:lineRule="auto"/>
              <w:jc w:val="left"/>
              <w:rPr>
                <w:rFonts w:ascii="Calibri" w:eastAsia="Calibri" w:hAnsi="Calibri" w:cs="Calibri"/>
                <w:color w:val="0070C0"/>
              </w:rPr>
            </w:pPr>
            <w:r>
              <w:rPr>
                <w:rFonts w:ascii="Calibri" w:eastAsia="Calibri" w:hAnsi="Calibri" w:cs="Calibri"/>
              </w:rPr>
              <w:t>Connaître l’intérêt des EFR pour le diagnostic et le suivi des PID</w:t>
            </w:r>
          </w:p>
        </w:tc>
        <w:tc>
          <w:tcPr>
            <w:tcW w:w="2266" w:type="dxa"/>
          </w:tcPr>
          <w:p w14:paraId="595B078E" w14:textId="77777777" w:rsidR="00A50182" w:rsidRDefault="00A50182" w:rsidP="0094705B">
            <w:pPr>
              <w:spacing w:line="240" w:lineRule="auto"/>
              <w:rPr>
                <w:rFonts w:ascii="Calibri" w:eastAsia="Calibri" w:hAnsi="Calibri" w:cs="Calibri"/>
              </w:rPr>
            </w:pPr>
          </w:p>
        </w:tc>
      </w:tr>
      <w:tr w:rsidR="00A50182" w14:paraId="354A01B0" w14:textId="77777777" w:rsidTr="008E6467">
        <w:trPr>
          <w:trHeight w:val="201"/>
        </w:trPr>
        <w:tc>
          <w:tcPr>
            <w:tcW w:w="631" w:type="dxa"/>
            <w:vAlign w:val="center"/>
          </w:tcPr>
          <w:p w14:paraId="1EA7B0C7" w14:textId="77777777" w:rsidR="00A50182" w:rsidRDefault="00A50182" w:rsidP="0094705B">
            <w:pPr>
              <w:spacing w:line="240" w:lineRule="auto"/>
              <w:jc w:val="center"/>
              <w:rPr>
                <w:rFonts w:ascii="Calibri" w:eastAsia="Calibri" w:hAnsi="Calibri" w:cs="Calibri"/>
              </w:rPr>
            </w:pPr>
            <w:r>
              <w:rPr>
                <w:rFonts w:ascii="Calibri" w:eastAsia="Calibri" w:hAnsi="Calibri" w:cs="Calibri"/>
                <w:color w:val="0070C0"/>
              </w:rPr>
              <w:t>B</w:t>
            </w:r>
          </w:p>
        </w:tc>
        <w:tc>
          <w:tcPr>
            <w:tcW w:w="1721" w:type="dxa"/>
            <w:vAlign w:val="center"/>
          </w:tcPr>
          <w:p w14:paraId="22358DD3"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Examens complémentaires</w:t>
            </w:r>
          </w:p>
        </w:tc>
        <w:tc>
          <w:tcPr>
            <w:tcW w:w="4394" w:type="dxa"/>
            <w:vAlign w:val="center"/>
          </w:tcPr>
          <w:p w14:paraId="7B8E8EB9" w14:textId="77777777" w:rsidR="00A50182" w:rsidRDefault="00A50182" w:rsidP="0094705B">
            <w:pPr>
              <w:spacing w:line="240" w:lineRule="auto"/>
              <w:jc w:val="left"/>
              <w:rPr>
                <w:rFonts w:ascii="Calibri" w:eastAsia="Calibri" w:hAnsi="Calibri" w:cs="Calibri"/>
              </w:rPr>
            </w:pPr>
            <w:r>
              <w:rPr>
                <w:rFonts w:ascii="Calibri" w:eastAsia="Calibri" w:hAnsi="Calibri" w:cs="Calibri"/>
                <w:color w:val="0070C0"/>
              </w:rPr>
              <w:t>Connaître les principaux examens biologiques dont les examens immunologiques à effectuer devant une PID</w:t>
            </w:r>
          </w:p>
        </w:tc>
        <w:tc>
          <w:tcPr>
            <w:tcW w:w="2266" w:type="dxa"/>
          </w:tcPr>
          <w:p w14:paraId="27063C74" w14:textId="77777777" w:rsidR="00A50182" w:rsidRDefault="00A50182" w:rsidP="0094705B">
            <w:pPr>
              <w:spacing w:line="240" w:lineRule="auto"/>
              <w:rPr>
                <w:rFonts w:ascii="Calibri" w:eastAsia="Calibri" w:hAnsi="Calibri" w:cs="Calibri"/>
              </w:rPr>
            </w:pPr>
          </w:p>
        </w:tc>
      </w:tr>
    </w:tbl>
    <w:p w14:paraId="57811E0F" w14:textId="77777777" w:rsidR="006F3E0E" w:rsidRDefault="006F3E0E" w:rsidP="00362251"/>
    <w:p w14:paraId="7F04C889" w14:textId="47959A67" w:rsidR="00717C5F" w:rsidRDefault="00876EF8" w:rsidP="00717C5F">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358057FC" w14:textId="77777777" w:rsidR="00A54E85" w:rsidRDefault="00A54E85" w:rsidP="00A54E85">
      <w:pPr>
        <w:spacing w:line="240" w:lineRule="auto"/>
        <w:jc w:val="center"/>
        <w:rPr>
          <w:i/>
          <w:iCs/>
          <w:color w:val="2E74B5"/>
        </w:rPr>
      </w:pPr>
    </w:p>
    <w:p w14:paraId="31D0302D" w14:textId="77777777" w:rsidR="008E6467" w:rsidRDefault="008E6467">
      <w:pPr>
        <w:spacing w:after="160"/>
        <w:jc w:val="left"/>
        <w:rPr>
          <w:b/>
          <w:bCs/>
          <w:color w:val="FFFFFF"/>
          <w:sz w:val="22"/>
          <w:szCs w:val="22"/>
        </w:rPr>
      </w:pPr>
      <w:r>
        <w:br w:type="page"/>
      </w:r>
    </w:p>
    <w:p w14:paraId="1A91D4E0" w14:textId="1A5B0B60" w:rsidR="00896114" w:rsidRDefault="00876EF8" w:rsidP="00896114">
      <w:pPr>
        <w:pStyle w:val="Pointscls"/>
      </w:pPr>
      <w:r>
        <w:lastRenderedPageBreak/>
        <w:t>Points clés</w:t>
      </w:r>
    </w:p>
    <w:p w14:paraId="4B5A88C9" w14:textId="77777777" w:rsidR="008E6467" w:rsidRDefault="008E6467" w:rsidP="008E6467">
      <w:pPr>
        <w:pStyle w:val="pointscls1"/>
      </w:pPr>
      <w:r>
        <w:t>Les pneumopathies interstitielles diffuses (PID) rassemblent de nombreuses entités dont le point commun est de donner des opacités infiltrantes diffuses sur l’imagerie pulmonaire.</w:t>
      </w:r>
    </w:p>
    <w:p w14:paraId="6B3E70BE" w14:textId="77777777" w:rsidR="008E6467" w:rsidRDefault="008E6467" w:rsidP="008E6467">
      <w:pPr>
        <w:pStyle w:val="pointscls1"/>
      </w:pPr>
      <w:r>
        <w:t>Ces maladies touchent essentiellement le compartiment interstitiel du poumon.</w:t>
      </w:r>
    </w:p>
    <w:p w14:paraId="55780E2D" w14:textId="77777777" w:rsidR="008E6467" w:rsidRDefault="008E6467" w:rsidP="008E6467">
      <w:pPr>
        <w:pStyle w:val="pointscls1"/>
      </w:pPr>
      <w:r>
        <w:t>Les PID peuvent être classées en fonction de leur caractère aigu ou chronique et de leur cause, connue ou inconnue.</w:t>
      </w:r>
    </w:p>
    <w:p w14:paraId="79C4B693" w14:textId="77777777" w:rsidR="008E6467" w:rsidRDefault="008E6467" w:rsidP="008E6467">
      <w:pPr>
        <w:pStyle w:val="pointscls1"/>
      </w:pPr>
      <w:r>
        <w:t>Les PID aiguës sont dominées par les causes infectieuses et cardiogéniques.</w:t>
      </w:r>
    </w:p>
    <w:p w14:paraId="0A9D2AA1" w14:textId="77777777" w:rsidR="008E6467" w:rsidRDefault="008E6467" w:rsidP="008E6467">
      <w:pPr>
        <w:pStyle w:val="pointscls1"/>
      </w:pPr>
      <w:r>
        <w:t>Le lavage broncho-alvéolaire est l’examen clé au cours des PID aiguës fébriles ou chez l’immunodéprimé.</w:t>
      </w:r>
    </w:p>
    <w:p w14:paraId="4A791477" w14:textId="77777777" w:rsidR="008E6467" w:rsidRDefault="008E6467" w:rsidP="008E6467">
      <w:pPr>
        <w:pStyle w:val="pointscls1"/>
      </w:pPr>
      <w:r>
        <w:t>Le bilan cardiologique est indispensable au cours des PID aiguës non fébriles.</w:t>
      </w:r>
    </w:p>
    <w:p w14:paraId="2212F8FE" w14:textId="77777777" w:rsidR="008E6467" w:rsidRDefault="008E6467" w:rsidP="008E6467">
      <w:pPr>
        <w:pStyle w:val="pointscls1"/>
      </w:pPr>
      <w:r>
        <w:t>Les PID subaiguës ou chroniques sont dominées par la sarcoïdose, la fibrose pulmonaire idiopathique, la pneumopathie d’hypersensibilité, et les PID associées aux connectivites.</w:t>
      </w:r>
    </w:p>
    <w:p w14:paraId="4CE6E0FE" w14:textId="77777777" w:rsidR="008E6467" w:rsidRDefault="008E6467" w:rsidP="008E6467">
      <w:pPr>
        <w:pStyle w:val="pointscls1"/>
      </w:pPr>
      <w:r>
        <w:t>L’examen physique pulmonaire et les EFR sont rarement discriminantes pour le diagnostic étiologique, mais l’interrogatoire est essentiel.</w:t>
      </w:r>
    </w:p>
    <w:p w14:paraId="50525D5E" w14:textId="77777777" w:rsidR="008E6467" w:rsidRDefault="008E6467" w:rsidP="008E6467">
      <w:pPr>
        <w:pStyle w:val="pointscls1"/>
      </w:pPr>
      <w:r>
        <w:t>L’intégration des données cliniques, biologiques et d’imagerie (scanner thoracique en haute résolution et en coupes fines) au cours de la discussion multidisciplinaire représente la pierre angulaire de l’orientation diagnostique des PID subaiguës ou chroniques.</w:t>
      </w:r>
    </w:p>
    <w:p w14:paraId="02D4CAF9" w14:textId="77777777" w:rsidR="008E6467" w:rsidRDefault="008E6467" w:rsidP="008E6467">
      <w:pPr>
        <w:pStyle w:val="pointscls1"/>
      </w:pPr>
      <w:r>
        <w:t>La prise en charge optimale nécessite la collaboration d’experts spécifiquement formés au diagnostic des PID (cliniciens, radiologues, anatomo-pathologistes, chirurgiens) à toutes les étapes de la démarche diagnostique.</w:t>
      </w:r>
    </w:p>
    <w:p w14:paraId="0D118E1C" w14:textId="77777777" w:rsidR="00896114" w:rsidRDefault="00896114">
      <w:pPr>
        <w:spacing w:after="160"/>
        <w:jc w:val="left"/>
        <w:rPr>
          <w:b/>
          <w:bCs/>
          <w:color w:val="FFFFFF"/>
          <w:sz w:val="22"/>
          <w:szCs w:val="22"/>
        </w:rPr>
      </w:pPr>
      <w:r>
        <w:br w:type="page"/>
      </w:r>
    </w:p>
    <w:p w14:paraId="6CCAA836" w14:textId="73CCCE08" w:rsidR="00B24E4B" w:rsidRDefault="00B24E4B" w:rsidP="009175F9">
      <w:pPr>
        <w:pStyle w:val="titredepartie"/>
      </w:pPr>
      <w:r>
        <w:lastRenderedPageBreak/>
        <w:t>DEFINITIONS</w:t>
      </w:r>
      <w:r w:rsidR="009175F9">
        <w:t xml:space="preserve"> – </w:t>
      </w:r>
      <w:r>
        <w:t>PHYSIOPATHOL</w:t>
      </w:r>
      <w:r w:rsidR="00740926">
        <w:t>O</w:t>
      </w:r>
      <w:r>
        <w:t>GIE</w:t>
      </w:r>
      <w:r w:rsidR="009175F9">
        <w:t xml:space="preserve"> </w:t>
      </w:r>
      <w:r>
        <w:t>-</w:t>
      </w:r>
      <w:r w:rsidR="009175F9">
        <w:t xml:space="preserve"> </w:t>
      </w:r>
      <w:r>
        <w:t>EPIDEMIOLOGIE</w:t>
      </w:r>
    </w:p>
    <w:p w14:paraId="35A416AE" w14:textId="77777777" w:rsidR="00B24E4B" w:rsidRPr="009175F9" w:rsidRDefault="00B24E4B" w:rsidP="009175F9">
      <w:pPr>
        <w:rPr>
          <w:b/>
          <w:bCs/>
        </w:rPr>
      </w:pPr>
      <w:r w:rsidRPr="009175F9">
        <w:rPr>
          <w:b/>
          <w:bCs/>
        </w:rPr>
        <w:t>«</w:t>
      </w:r>
      <w:r w:rsidRPr="009175F9">
        <w:rPr>
          <w:rFonts w:ascii="Arial" w:eastAsia="Arial" w:hAnsi="Arial" w:cs="Arial"/>
          <w:b/>
          <w:bCs/>
        </w:rPr>
        <w:t> </w:t>
      </w:r>
      <w:r w:rsidRPr="009175F9">
        <w:rPr>
          <w:b/>
          <w:bCs/>
        </w:rPr>
        <w:t>L’interstitium pulmonaire</w:t>
      </w:r>
      <w:r w:rsidRPr="009175F9">
        <w:rPr>
          <w:rFonts w:ascii="Arial" w:eastAsia="Arial" w:hAnsi="Arial" w:cs="Arial"/>
          <w:b/>
          <w:bCs/>
        </w:rPr>
        <w:t> </w:t>
      </w:r>
      <w:r w:rsidRPr="009175F9">
        <w:rPr>
          <w:b/>
          <w:bCs/>
        </w:rPr>
        <w:t>» est représenté par le tissu conjonctif de soutien des axes broncho-vasculaires, et des cloisons (septa) inter et intra-lobulaires (figures 1 et 2)</w:t>
      </w:r>
      <w:r w:rsidRPr="009175F9">
        <w:rPr>
          <w:b/>
          <w:bCs/>
          <w:color w:val="FF0000"/>
        </w:rPr>
        <w:t>.</w:t>
      </w:r>
    </w:p>
    <w:p w14:paraId="7306DCD0" w14:textId="77777777" w:rsidR="00B24E4B" w:rsidRPr="009175F9" w:rsidRDefault="00B24E4B" w:rsidP="00B24E4B">
      <w:pPr>
        <w:pBdr>
          <w:top w:val="nil"/>
          <w:left w:val="nil"/>
          <w:bottom w:val="nil"/>
          <w:right w:val="nil"/>
          <w:between w:val="nil"/>
        </w:pBdr>
        <w:spacing w:line="276" w:lineRule="auto"/>
        <w:rPr>
          <w:b/>
          <w:bCs/>
        </w:rPr>
      </w:pPr>
    </w:p>
    <w:p w14:paraId="6951FBF7" w14:textId="77777777" w:rsidR="00B24E4B" w:rsidRDefault="00B24E4B" w:rsidP="00B24E4B">
      <w:pPr>
        <w:pBdr>
          <w:top w:val="nil"/>
          <w:left w:val="nil"/>
          <w:bottom w:val="nil"/>
          <w:right w:val="nil"/>
          <w:between w:val="nil"/>
        </w:pBdr>
        <w:spacing w:line="276" w:lineRule="auto"/>
        <w:rPr>
          <w:b/>
          <w:bCs/>
        </w:rPr>
      </w:pPr>
      <w:r>
        <w:rPr>
          <w:b/>
          <w:bCs/>
        </w:rPr>
        <w:t xml:space="preserve">Les pneumopathies interstitielles diffuses (PID) sont aussi appelées </w:t>
      </w:r>
      <w:r>
        <w:t>pneumopathies infiltrantes (ou infiltratives) diffuses</w:t>
      </w:r>
      <w:r>
        <w:rPr>
          <w:b/>
          <w:bCs/>
        </w:rPr>
        <w:t xml:space="preserve">. </w:t>
      </w:r>
    </w:p>
    <w:p w14:paraId="093C1BDC" w14:textId="77777777" w:rsidR="00B24E4B" w:rsidRDefault="00B24E4B" w:rsidP="00B24E4B">
      <w:pPr>
        <w:pBdr>
          <w:top w:val="nil"/>
          <w:left w:val="nil"/>
          <w:bottom w:val="nil"/>
          <w:right w:val="nil"/>
          <w:between w:val="nil"/>
        </w:pBdr>
        <w:spacing w:line="276" w:lineRule="auto"/>
        <w:rPr>
          <w:b/>
          <w:bCs/>
        </w:rPr>
      </w:pPr>
    </w:p>
    <w:p w14:paraId="62057454" w14:textId="77777777" w:rsidR="00B24E4B" w:rsidRDefault="00B24E4B" w:rsidP="00B24E4B">
      <w:pPr>
        <w:pBdr>
          <w:top w:val="nil"/>
          <w:left w:val="nil"/>
          <w:bottom w:val="nil"/>
          <w:right w:val="nil"/>
          <w:between w:val="nil"/>
        </w:pBdr>
        <w:spacing w:line="276" w:lineRule="auto"/>
        <w:rPr>
          <w:b/>
          <w:bCs/>
        </w:rPr>
      </w:pPr>
      <w:r>
        <w:rPr>
          <w:b/>
          <w:bCs/>
        </w:rPr>
        <w:t>Elles ont en commun :</w:t>
      </w:r>
    </w:p>
    <w:p w14:paraId="064C9735" w14:textId="77777777" w:rsidR="00B24E4B" w:rsidRDefault="00B24E4B" w:rsidP="00B24E4B">
      <w:pPr>
        <w:pBdr>
          <w:top w:val="nil"/>
          <w:left w:val="nil"/>
          <w:bottom w:val="nil"/>
          <w:right w:val="nil"/>
          <w:between w:val="nil"/>
        </w:pBdr>
        <w:spacing w:line="276" w:lineRule="auto"/>
        <w:rPr>
          <w:b/>
          <w:bCs/>
        </w:rPr>
      </w:pPr>
      <w:r>
        <w:rPr>
          <w:b/>
          <w:bCs/>
        </w:rPr>
        <w:t>- Anatomopathologie :</w:t>
      </w:r>
    </w:p>
    <w:p w14:paraId="435173D1" w14:textId="77777777" w:rsidR="00B24E4B" w:rsidRDefault="00B24E4B">
      <w:pPr>
        <w:numPr>
          <w:ilvl w:val="0"/>
          <w:numId w:val="17"/>
        </w:numPr>
        <w:pBdr>
          <w:top w:val="nil"/>
          <w:left w:val="nil"/>
          <w:bottom w:val="nil"/>
          <w:right w:val="nil"/>
          <w:between w:val="nil"/>
        </w:pBdr>
        <w:spacing w:line="276" w:lineRule="auto"/>
        <w:ind w:left="284" w:hanging="142"/>
        <w:rPr>
          <w:b/>
          <w:bCs/>
        </w:rPr>
      </w:pPr>
      <w:r>
        <w:rPr>
          <w:b/>
          <w:bCs/>
        </w:rPr>
        <w:t>Atteinte de l’interstitium pulmonaire par infiltrat cellulaire, œdémateux ou fibreux (</w:t>
      </w:r>
      <w:r>
        <w:t>±</w:t>
      </w:r>
      <w:r>
        <w:rPr>
          <w:b/>
          <w:bCs/>
        </w:rPr>
        <w:t xml:space="preserve"> bronchioles).</w:t>
      </w:r>
    </w:p>
    <w:p w14:paraId="26D4EF2C" w14:textId="77777777" w:rsidR="00B24E4B" w:rsidRDefault="00B24E4B" w:rsidP="00B24E4B">
      <w:pPr>
        <w:pBdr>
          <w:top w:val="nil"/>
          <w:left w:val="nil"/>
          <w:bottom w:val="nil"/>
          <w:right w:val="nil"/>
          <w:between w:val="nil"/>
        </w:pBdr>
        <w:spacing w:line="276" w:lineRule="auto"/>
        <w:rPr>
          <w:b/>
          <w:bCs/>
        </w:rPr>
      </w:pPr>
      <w:r>
        <w:rPr>
          <w:b/>
          <w:bCs/>
        </w:rPr>
        <w:t xml:space="preserve">- Imagerie : </w:t>
      </w:r>
      <w:r>
        <w:rPr>
          <w:b/>
          <w:bCs/>
        </w:rPr>
        <w:tab/>
      </w:r>
    </w:p>
    <w:p w14:paraId="51E82115" w14:textId="77777777" w:rsidR="00B24E4B" w:rsidRDefault="00B24E4B">
      <w:pPr>
        <w:numPr>
          <w:ilvl w:val="0"/>
          <w:numId w:val="8"/>
        </w:numPr>
        <w:pBdr>
          <w:top w:val="nil"/>
          <w:left w:val="nil"/>
          <w:bottom w:val="nil"/>
          <w:right w:val="nil"/>
          <w:between w:val="nil"/>
        </w:pBdr>
        <w:spacing w:line="276" w:lineRule="auto"/>
        <w:ind w:left="284" w:hanging="142"/>
      </w:pPr>
      <w:r>
        <w:t>Opacités parenchymateuses diffuses, non systématisées, bilatérales et habituellement symétriques.</w:t>
      </w:r>
    </w:p>
    <w:p w14:paraId="514A0203" w14:textId="77777777" w:rsidR="00B24E4B" w:rsidRDefault="00B24E4B" w:rsidP="00B24E4B">
      <w:pPr>
        <w:pBdr>
          <w:top w:val="nil"/>
          <w:left w:val="nil"/>
          <w:bottom w:val="nil"/>
          <w:right w:val="nil"/>
          <w:between w:val="nil"/>
        </w:pBdr>
        <w:spacing w:line="276" w:lineRule="auto"/>
        <w:rPr>
          <w:b/>
          <w:bCs/>
        </w:rPr>
      </w:pPr>
      <w:r>
        <w:rPr>
          <w:b/>
          <w:bCs/>
        </w:rPr>
        <w:t>- Clinique :</w:t>
      </w:r>
    </w:p>
    <w:p w14:paraId="1F3C0FB3" w14:textId="77777777" w:rsidR="00B24E4B" w:rsidRDefault="00B24E4B">
      <w:pPr>
        <w:numPr>
          <w:ilvl w:val="0"/>
          <w:numId w:val="8"/>
        </w:numPr>
        <w:pBdr>
          <w:top w:val="nil"/>
          <w:left w:val="nil"/>
          <w:bottom w:val="nil"/>
          <w:right w:val="nil"/>
          <w:between w:val="nil"/>
        </w:pBdr>
        <w:spacing w:line="276" w:lineRule="auto"/>
        <w:ind w:left="284" w:hanging="142"/>
        <w:rPr>
          <w:b/>
          <w:bCs/>
        </w:rPr>
      </w:pPr>
      <w:r>
        <w:rPr>
          <w:b/>
          <w:bCs/>
        </w:rPr>
        <w:t>Signes non spécifiques : dyspnée d’effort, toux.</w:t>
      </w:r>
    </w:p>
    <w:p w14:paraId="5E32FB00" w14:textId="77777777" w:rsidR="00B24E4B" w:rsidRDefault="00B24E4B">
      <w:pPr>
        <w:numPr>
          <w:ilvl w:val="0"/>
          <w:numId w:val="8"/>
        </w:numPr>
        <w:pBdr>
          <w:top w:val="nil"/>
          <w:left w:val="nil"/>
          <w:bottom w:val="nil"/>
          <w:right w:val="nil"/>
          <w:between w:val="nil"/>
        </w:pBdr>
        <w:spacing w:line="276" w:lineRule="auto"/>
        <w:ind w:left="284" w:hanging="142"/>
        <w:rPr>
          <w:b/>
          <w:bCs/>
        </w:rPr>
      </w:pPr>
      <w:r>
        <w:rPr>
          <w:b/>
          <w:bCs/>
        </w:rPr>
        <w:t>Crépitants fréquents.</w:t>
      </w:r>
    </w:p>
    <w:p w14:paraId="64D418F2" w14:textId="77777777" w:rsidR="00B24E4B" w:rsidRDefault="00B24E4B">
      <w:pPr>
        <w:numPr>
          <w:ilvl w:val="0"/>
          <w:numId w:val="8"/>
        </w:numPr>
        <w:pBdr>
          <w:top w:val="nil"/>
          <w:left w:val="nil"/>
          <w:bottom w:val="nil"/>
          <w:right w:val="nil"/>
          <w:between w:val="nil"/>
        </w:pBdr>
        <w:spacing w:line="276" w:lineRule="auto"/>
        <w:ind w:left="284" w:hanging="142"/>
        <w:rPr>
          <w:b/>
          <w:bCs/>
        </w:rPr>
      </w:pPr>
      <w:r>
        <w:rPr>
          <w:b/>
          <w:bCs/>
        </w:rPr>
        <w:t>Hypoxémie à l’effort.</w:t>
      </w:r>
    </w:p>
    <w:p w14:paraId="37CDF5F9" w14:textId="77777777" w:rsidR="00B24E4B" w:rsidRDefault="00B24E4B" w:rsidP="00B24E4B">
      <w:pPr>
        <w:pBdr>
          <w:top w:val="nil"/>
          <w:left w:val="nil"/>
          <w:bottom w:val="nil"/>
          <w:right w:val="nil"/>
          <w:between w:val="nil"/>
        </w:pBdr>
        <w:spacing w:line="276" w:lineRule="auto"/>
        <w:rPr>
          <w:b/>
          <w:bCs/>
        </w:rPr>
      </w:pPr>
    </w:p>
    <w:p w14:paraId="7362272C" w14:textId="2D11B498" w:rsidR="00B24E4B" w:rsidRDefault="00B24E4B" w:rsidP="00E97955">
      <w:pPr>
        <w:pStyle w:val="lgende"/>
      </w:pPr>
      <w:r>
        <w:t>Figure 1 : Représentation schématique du lobule pulmonaire en 2D</w:t>
      </w:r>
      <w:r w:rsidR="00462C2B">
        <w:t xml:space="preserve"> et en 3D</w:t>
      </w:r>
      <w:r>
        <w:t>.</w:t>
      </w:r>
    </w:p>
    <w:p w14:paraId="4C5F634C" w14:textId="42EA16EE" w:rsidR="00462C2B" w:rsidRDefault="00462C2B" w:rsidP="00E97955">
      <w:pPr>
        <w:pStyle w:val="lgende"/>
      </w:pPr>
      <w:r w:rsidRPr="70E77436">
        <w:rPr>
          <w:sz w:val="16"/>
          <w:szCs w:val="16"/>
        </w:rPr>
        <w:t xml:space="preserve">Le lobule pulmonaire est l’unité respiratoire terminale qui a une forme polyédrique de 1 à 2,5 cm de diamètre, à sommet hilaire et à base pleurale, séparée des lobules voisins par </w:t>
      </w:r>
      <w:proofErr w:type="gramStart"/>
      <w:r w:rsidRPr="70E77436">
        <w:rPr>
          <w:sz w:val="16"/>
          <w:szCs w:val="16"/>
        </w:rPr>
        <w:t>les septa</w:t>
      </w:r>
      <w:proofErr w:type="gramEnd"/>
      <w:r w:rsidRPr="70E77436">
        <w:rPr>
          <w:sz w:val="16"/>
          <w:szCs w:val="16"/>
        </w:rPr>
        <w:t xml:space="preserve"> </w:t>
      </w:r>
      <w:proofErr w:type="spellStart"/>
      <w:r w:rsidRPr="70E77436">
        <w:rPr>
          <w:sz w:val="16"/>
          <w:szCs w:val="16"/>
        </w:rPr>
        <w:t>inter-lobulaires</w:t>
      </w:r>
      <w:proofErr w:type="spellEnd"/>
      <w:r w:rsidRPr="70E77436">
        <w:rPr>
          <w:sz w:val="16"/>
          <w:szCs w:val="16"/>
        </w:rPr>
        <w:t xml:space="preserve">. Chaque lobule pulmonaire est centré sur une bronchiole terminale accompagnée de son artère centro-lobulaire. En périphérie du lobule (dans les septas </w:t>
      </w:r>
      <w:proofErr w:type="spellStart"/>
      <w:r w:rsidRPr="70E77436">
        <w:rPr>
          <w:sz w:val="16"/>
          <w:szCs w:val="16"/>
        </w:rPr>
        <w:t>inter-lobulaires</w:t>
      </w:r>
      <w:proofErr w:type="spellEnd"/>
      <w:r w:rsidRPr="70E77436">
        <w:rPr>
          <w:sz w:val="16"/>
          <w:szCs w:val="16"/>
        </w:rPr>
        <w:t>) cheminent le réseau de drainage veineux et lymphatique</w:t>
      </w:r>
    </w:p>
    <w:p w14:paraId="1785BB66" w14:textId="0C6FBB51" w:rsidR="00B24E4B" w:rsidRDefault="00462C2B" w:rsidP="00B24E4B">
      <w:pPr>
        <w:pBdr>
          <w:top w:val="nil"/>
          <w:left w:val="nil"/>
          <w:bottom w:val="nil"/>
          <w:right w:val="nil"/>
          <w:between w:val="nil"/>
        </w:pBdr>
        <w:spacing w:line="240" w:lineRule="auto"/>
        <w:jc w:val="center"/>
        <w:rPr>
          <w:b/>
          <w:bCs/>
        </w:rPr>
      </w:pPr>
      <w:r w:rsidRPr="00013857">
        <w:rPr>
          <w:rFonts w:ascii="Arial" w:eastAsia="Arial" w:hAnsi="Arial"/>
          <w:noProof/>
          <w:sz w:val="18"/>
          <w:szCs w:val="18"/>
          <w14:ligatures w14:val="standardContextual"/>
        </w:rPr>
        <w:drawing>
          <wp:inline distT="0" distB="0" distL="0" distR="0" wp14:anchorId="3571BAE3" wp14:editId="4AFA1508">
            <wp:extent cx="5760720" cy="3578860"/>
            <wp:effectExtent l="0" t="0" r="5080" b="2540"/>
            <wp:docPr id="192718639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86390" name="Image 192718639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3578860"/>
                    </a:xfrm>
                    <a:prstGeom prst="rect">
                      <a:avLst/>
                    </a:prstGeom>
                  </pic:spPr>
                </pic:pic>
              </a:graphicData>
            </a:graphic>
          </wp:inline>
        </w:drawing>
      </w:r>
    </w:p>
    <w:p w14:paraId="0072E7A3" w14:textId="77777777" w:rsidR="00B24E4B" w:rsidRDefault="00B24E4B" w:rsidP="00B24E4B">
      <w:pPr>
        <w:spacing w:line="276" w:lineRule="auto"/>
        <w:ind w:left="-709" w:right="-427"/>
      </w:pPr>
    </w:p>
    <w:p w14:paraId="532D18CD" w14:textId="77777777" w:rsidR="00B24E4B" w:rsidRDefault="00B24E4B" w:rsidP="00E97955">
      <w:pPr>
        <w:pStyle w:val="lgende"/>
      </w:pPr>
      <w:r>
        <w:lastRenderedPageBreak/>
        <w:t xml:space="preserve">Figure 2 : Cloisons </w:t>
      </w:r>
      <w:proofErr w:type="spellStart"/>
      <w:r>
        <w:t>inter-lobulaires</w:t>
      </w:r>
      <w:proofErr w:type="spellEnd"/>
      <w:r>
        <w:t xml:space="preserve"> vues en thoracoscopie chez un fumeur</w:t>
      </w:r>
      <w:r>
        <w:rPr>
          <w:vertAlign w:val="superscript"/>
        </w:rPr>
        <w:t xml:space="preserve">. </w:t>
      </w:r>
      <w:r>
        <w:t xml:space="preserve">Les dépôts de poussière (anthracose) dans les vaisseaux lymphatiques (présents dans </w:t>
      </w:r>
      <w:proofErr w:type="gramStart"/>
      <w:r>
        <w:t>les septa</w:t>
      </w:r>
      <w:proofErr w:type="gramEnd"/>
      <w:r>
        <w:t xml:space="preserve"> </w:t>
      </w:r>
      <w:proofErr w:type="spellStart"/>
      <w:r>
        <w:t>inter-lobulaires</w:t>
      </w:r>
      <w:proofErr w:type="spellEnd"/>
      <w:r>
        <w:t>) dessinent les limites des lobules pulmonaires à la périphérie du poumon, sous la plèvre.</w:t>
      </w:r>
    </w:p>
    <w:p w14:paraId="041D6059" w14:textId="77777777" w:rsidR="00B24E4B" w:rsidRDefault="00B24E4B" w:rsidP="00B24E4B">
      <w:pPr>
        <w:spacing w:line="276" w:lineRule="auto"/>
        <w:ind w:left="1134" w:hanging="1134"/>
        <w:jc w:val="center"/>
        <w:rPr>
          <w:smallCaps/>
        </w:rPr>
      </w:pPr>
      <w:r>
        <w:rPr>
          <w:noProof/>
        </w:rPr>
        <w:drawing>
          <wp:inline distT="0" distB="0" distL="0" distR="0" wp14:anchorId="5708CBA5" wp14:editId="077959E7">
            <wp:extent cx="2910205" cy="2210435"/>
            <wp:effectExtent l="0" t="0" r="0" b="0"/>
            <wp:docPr id="26" name="image22.jpg" descr="G:\NICE ENSEIGNEMENT\COLLEGE NATIONAL DES PU-PH\ECN - REFERENTIEL\EDITION 2019\ITEM_206_PID\FIGURES\FIGURES RETENUES\figure 6.jpg"/>
            <wp:cNvGraphicFramePr/>
            <a:graphic xmlns:a="http://schemas.openxmlformats.org/drawingml/2006/main">
              <a:graphicData uri="http://schemas.openxmlformats.org/drawingml/2006/picture">
                <pic:pic xmlns:pic="http://schemas.openxmlformats.org/drawingml/2006/picture">
                  <pic:nvPicPr>
                    <pic:cNvPr id="0" name="image22.jpg" descr="G:\NICE ENSEIGNEMENT\COLLEGE NATIONAL DES PU-PH\ECN - REFERENTIEL\EDITION 2019\ITEM_206_PID\FIGURES\FIGURES RETENUES\figure 6.jpg"/>
                    <pic:cNvPicPr preferRelativeResize="0"/>
                  </pic:nvPicPr>
                  <pic:blipFill>
                    <a:blip r:embed="rId12"/>
                    <a:srcRect/>
                    <a:stretch>
                      <a:fillRect/>
                    </a:stretch>
                  </pic:blipFill>
                  <pic:spPr>
                    <a:xfrm>
                      <a:off x="0" y="0"/>
                      <a:ext cx="2910205" cy="2210435"/>
                    </a:xfrm>
                    <a:prstGeom prst="rect">
                      <a:avLst/>
                    </a:prstGeom>
                    <a:ln/>
                  </pic:spPr>
                </pic:pic>
              </a:graphicData>
            </a:graphic>
          </wp:inline>
        </w:drawing>
      </w:r>
    </w:p>
    <w:p w14:paraId="7605D62C" w14:textId="77777777" w:rsidR="00B24E4B" w:rsidRDefault="00B24E4B" w:rsidP="00B24E4B">
      <w:pPr>
        <w:spacing w:line="276" w:lineRule="auto"/>
        <w:ind w:left="1134" w:hanging="1134"/>
        <w:rPr>
          <w:b/>
          <w:bCs/>
          <w:smallCaps/>
        </w:rPr>
      </w:pPr>
    </w:p>
    <w:p w14:paraId="58F65DC1" w14:textId="77777777" w:rsidR="00B24E4B" w:rsidRDefault="00B24E4B" w:rsidP="00E97955">
      <w:pPr>
        <w:pStyle w:val="titredepartie"/>
      </w:pPr>
      <w:r>
        <w:t>ÉTAPE 1 : FAIRE LA DIFFÉRENCE ENTRE PID aiguËs versus PID sub-aiguËs/</w:t>
      </w:r>
      <w:r>
        <w:br/>
        <w:t>chroniques</w:t>
      </w:r>
    </w:p>
    <w:p w14:paraId="7E77940B" w14:textId="77777777" w:rsidR="00B24E4B" w:rsidRPr="00E97955" w:rsidRDefault="00B24E4B" w:rsidP="00E97955">
      <w:pPr>
        <w:rPr>
          <w:b/>
          <w:bCs/>
        </w:rPr>
      </w:pPr>
      <w:r w:rsidRPr="00E97955">
        <w:rPr>
          <w:b/>
          <w:bCs/>
        </w:rPr>
        <w:t>La démarche diagnostique et la prise en charge sont fondamentalement différentes, selon que l’on se trouve face à une PID aiguë ou une PID subaiguë ou chronique (PID-SC).</w:t>
      </w:r>
    </w:p>
    <w:p w14:paraId="4C776F85" w14:textId="77777777" w:rsidR="00B24E4B" w:rsidRDefault="00B24E4B" w:rsidP="00B24E4B">
      <w:pPr>
        <w:pBdr>
          <w:top w:val="nil"/>
          <w:left w:val="nil"/>
          <w:bottom w:val="nil"/>
          <w:right w:val="nil"/>
          <w:between w:val="nil"/>
        </w:pBdr>
        <w:spacing w:line="276" w:lineRule="auto"/>
        <w:rPr>
          <w:b/>
          <w:bCs/>
        </w:rPr>
      </w:pPr>
    </w:p>
    <w:p w14:paraId="1CFE0F2B" w14:textId="77777777" w:rsidR="00B24E4B" w:rsidRDefault="00B24E4B" w:rsidP="00B24E4B">
      <w:pPr>
        <w:spacing w:line="276" w:lineRule="auto"/>
      </w:pPr>
      <w:r>
        <w:t xml:space="preserve">- </w:t>
      </w:r>
      <w:r>
        <w:rPr>
          <w:u w:val="single"/>
        </w:rPr>
        <w:t>PID aiguës</w:t>
      </w:r>
      <w:r>
        <w:t xml:space="preserve"> (&lt; 3 semaines), dominées par 4 grandes étiologies (tableau 1) :</w:t>
      </w:r>
    </w:p>
    <w:p w14:paraId="5998B3E5" w14:textId="77777777" w:rsidR="00B24E4B" w:rsidRDefault="00B24E4B">
      <w:pPr>
        <w:numPr>
          <w:ilvl w:val="0"/>
          <w:numId w:val="9"/>
        </w:numPr>
        <w:spacing w:line="276" w:lineRule="auto"/>
        <w:ind w:left="284" w:hanging="142"/>
      </w:pPr>
      <w:r>
        <w:t>Infectieuse : pneumonies aiguës communautaires (PAC) graves ou à germes opportunistes (cf. item 154).</w:t>
      </w:r>
    </w:p>
    <w:p w14:paraId="523A38C6" w14:textId="77777777" w:rsidR="00B24E4B" w:rsidRDefault="00B24E4B">
      <w:pPr>
        <w:numPr>
          <w:ilvl w:val="0"/>
          <w:numId w:val="9"/>
        </w:numPr>
        <w:spacing w:line="276" w:lineRule="auto"/>
        <w:ind w:left="284" w:hanging="142"/>
      </w:pPr>
      <w:r>
        <w:t>Cardiogénique (œdème aigu du poumon) (cf. item 234).</w:t>
      </w:r>
    </w:p>
    <w:p w14:paraId="1EA0E2F1" w14:textId="77777777" w:rsidR="00B24E4B" w:rsidRDefault="00B24E4B">
      <w:pPr>
        <w:numPr>
          <w:ilvl w:val="0"/>
          <w:numId w:val="9"/>
        </w:numPr>
        <w:spacing w:line="276" w:lineRule="auto"/>
        <w:ind w:left="284" w:hanging="142"/>
      </w:pPr>
      <w:r>
        <w:t>Syndrome de détresse respiratoire aiguë - SDRA (cf. item 359).</w:t>
      </w:r>
    </w:p>
    <w:p w14:paraId="1D2EF751" w14:textId="1BA17D28" w:rsidR="00B24E4B" w:rsidRDefault="00E97955">
      <w:pPr>
        <w:numPr>
          <w:ilvl w:val="0"/>
          <w:numId w:val="9"/>
        </w:numPr>
        <w:spacing w:line="276" w:lineRule="auto"/>
        <w:ind w:left="284" w:hanging="142"/>
      </w:pPr>
      <w:r>
        <w:rPr>
          <w:noProof/>
        </w:rPr>
        <w:drawing>
          <wp:anchor distT="0" distB="0" distL="114300" distR="114300" simplePos="0" relativeHeight="251928576" behindDoc="0" locked="0" layoutInCell="1" hidden="0" allowOverlap="1" wp14:anchorId="557AA80B" wp14:editId="2E874DF3">
            <wp:simplePos x="0" y="0"/>
            <wp:positionH relativeFrom="column">
              <wp:posOffset>-276388</wp:posOffset>
            </wp:positionH>
            <wp:positionV relativeFrom="paragraph">
              <wp:posOffset>166370</wp:posOffset>
            </wp:positionV>
            <wp:extent cx="153670" cy="137160"/>
            <wp:effectExtent l="0" t="0" r="0" b="0"/>
            <wp:wrapSquare wrapText="bothSides" distT="0" distB="0" distL="114300" distR="114300"/>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B24E4B">
        <w:t>Exacerbation d’une PID-SC préexistante.</w:t>
      </w:r>
    </w:p>
    <w:p w14:paraId="2DD2A802" w14:textId="526584B9" w:rsidR="00B24E4B" w:rsidRDefault="00B24E4B" w:rsidP="00B24E4B">
      <w:pPr>
        <w:spacing w:line="276" w:lineRule="auto"/>
        <w:rPr>
          <w:color w:val="0070C0"/>
        </w:rPr>
      </w:pPr>
      <w:r>
        <w:rPr>
          <w:color w:val="0070C0"/>
        </w:rPr>
        <w:t>- Causes plus rares : par exemple pneumopathie médicamenteuse, pneumopathie d’hypersensibilité non fibrosante, hémorragie intra-alvéolaire, pneumopathie aiguë à éosinophiles, pneumopathie organisée, pneumopathie associée à certaines connectivites.</w:t>
      </w:r>
    </w:p>
    <w:p w14:paraId="05841671" w14:textId="77777777" w:rsidR="00B24E4B" w:rsidRDefault="00B24E4B" w:rsidP="00B24E4B">
      <w:pPr>
        <w:spacing w:line="276" w:lineRule="auto"/>
        <w:ind w:left="348"/>
      </w:pPr>
    </w:p>
    <w:p w14:paraId="375DABFE" w14:textId="77777777" w:rsidR="00B24E4B" w:rsidRDefault="00B24E4B" w:rsidP="00B24E4B">
      <w:pPr>
        <w:spacing w:line="276" w:lineRule="auto"/>
      </w:pPr>
      <w:r>
        <w:t xml:space="preserve">- </w:t>
      </w:r>
      <w:r>
        <w:rPr>
          <w:u w:val="single"/>
        </w:rPr>
        <w:t>PID-subaiguës ou chroniques</w:t>
      </w:r>
      <w:r>
        <w:t xml:space="preserve"> (tableau 2), groupe hétérogène d’affections que l’on peut pour des raisons épidémiologiques et pratiques séparer en :</w:t>
      </w:r>
    </w:p>
    <w:p w14:paraId="1F9BF8EE" w14:textId="77777777" w:rsidR="00B24E4B" w:rsidRDefault="00B24E4B">
      <w:pPr>
        <w:numPr>
          <w:ilvl w:val="0"/>
          <w:numId w:val="10"/>
        </w:numPr>
        <w:spacing w:line="276" w:lineRule="auto"/>
        <w:ind w:left="284" w:hanging="142"/>
      </w:pPr>
      <w:r>
        <w:t>PID de cause connue.</w:t>
      </w:r>
    </w:p>
    <w:p w14:paraId="3DA98B24" w14:textId="77777777" w:rsidR="00B24E4B" w:rsidRDefault="00B24E4B">
      <w:pPr>
        <w:numPr>
          <w:ilvl w:val="0"/>
          <w:numId w:val="10"/>
        </w:numPr>
        <w:spacing w:line="276" w:lineRule="auto"/>
        <w:ind w:left="284" w:hanging="142"/>
      </w:pPr>
      <w:r>
        <w:t xml:space="preserve">PID de cause inconnue. </w:t>
      </w:r>
    </w:p>
    <w:p w14:paraId="2C4BC543" w14:textId="77777777" w:rsidR="00B24E4B" w:rsidRDefault="00B24E4B" w:rsidP="00B24E4B">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B24E4B" w14:paraId="2FEF3D23" w14:textId="77777777" w:rsidTr="00E97955">
        <w:trPr>
          <w:trHeight w:val="1210"/>
        </w:trPr>
        <w:tc>
          <w:tcPr>
            <w:tcW w:w="9067" w:type="dxa"/>
            <w:vAlign w:val="center"/>
          </w:tcPr>
          <w:p w14:paraId="71DB655E" w14:textId="77777777" w:rsidR="00B24E4B" w:rsidRDefault="00B24E4B" w:rsidP="0094705B">
            <w:pPr>
              <w:spacing w:line="276" w:lineRule="auto"/>
              <w:rPr>
                <w:sz w:val="10"/>
                <w:szCs w:val="10"/>
              </w:rPr>
            </w:pPr>
            <w:r>
              <w:rPr>
                <w:noProof/>
              </w:rPr>
              <w:drawing>
                <wp:anchor distT="0" distB="0" distL="114300" distR="71755" simplePos="0" relativeHeight="251929600" behindDoc="0" locked="0" layoutInCell="1" hidden="0" allowOverlap="1" wp14:anchorId="1861DCC6" wp14:editId="7D5F4808">
                  <wp:simplePos x="0" y="0"/>
                  <wp:positionH relativeFrom="column">
                    <wp:posOffset>-693419</wp:posOffset>
                  </wp:positionH>
                  <wp:positionV relativeFrom="paragraph">
                    <wp:posOffset>-45084</wp:posOffset>
                  </wp:positionV>
                  <wp:extent cx="654685" cy="665480"/>
                  <wp:effectExtent l="0" t="0" r="0" b="0"/>
                  <wp:wrapSquare wrapText="bothSides" distT="0" distB="0" distL="114300" distR="71755"/>
                  <wp:docPr id="3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3"/>
                          <a:srcRect/>
                          <a:stretch>
                            <a:fillRect/>
                          </a:stretch>
                        </pic:blipFill>
                        <pic:spPr>
                          <a:xfrm>
                            <a:off x="0" y="0"/>
                            <a:ext cx="654685" cy="665480"/>
                          </a:xfrm>
                          <a:prstGeom prst="rect">
                            <a:avLst/>
                          </a:prstGeom>
                          <a:ln/>
                        </pic:spPr>
                      </pic:pic>
                    </a:graphicData>
                  </a:graphic>
                </wp:anchor>
              </w:drawing>
            </w:r>
          </w:p>
          <w:p w14:paraId="08CCB2AD" w14:textId="77777777" w:rsidR="00B24E4B" w:rsidRDefault="00B24E4B" w:rsidP="0094705B">
            <w:pPr>
              <w:spacing w:line="276" w:lineRule="auto"/>
            </w:pPr>
            <w:r>
              <w:t>En cas de début d’ECOS avec des signes cliniques et radiologiques évocateurs de pneumopathie interstitielle, bien éliminer avant tout les causes aiguës avant de se lancer sur un sujet de PID chronique.</w:t>
            </w:r>
          </w:p>
        </w:tc>
      </w:tr>
    </w:tbl>
    <w:p w14:paraId="08093A97" w14:textId="77777777" w:rsidR="00B24E4B" w:rsidRDefault="00B24E4B" w:rsidP="00B24E4B">
      <w:pPr>
        <w:pBdr>
          <w:top w:val="nil"/>
          <w:left w:val="nil"/>
          <w:bottom w:val="nil"/>
          <w:right w:val="nil"/>
          <w:between w:val="nil"/>
        </w:pBdr>
        <w:spacing w:line="276" w:lineRule="auto"/>
        <w:rPr>
          <w:b/>
          <w:bCs/>
        </w:rPr>
      </w:pPr>
    </w:p>
    <w:p w14:paraId="65196248" w14:textId="77777777" w:rsidR="00B24E4B" w:rsidRDefault="00B24E4B" w:rsidP="00E97955">
      <w:pPr>
        <w:pStyle w:val="titredepartie"/>
        <w:spacing w:after="0"/>
      </w:pPr>
      <w:r>
        <w:t>ETAPE 2.1 : STRATEGIE diagnostique devant une PID aiguË</w:t>
      </w:r>
    </w:p>
    <w:p w14:paraId="20FA0C6E" w14:textId="77777777" w:rsidR="00E97955" w:rsidRDefault="00E97955" w:rsidP="00E97955"/>
    <w:p w14:paraId="19DC6389" w14:textId="2E918DCF" w:rsidR="00B24E4B" w:rsidRDefault="00B24E4B" w:rsidP="00E97955">
      <w:pPr>
        <w:pStyle w:val="lgende"/>
      </w:pPr>
      <w:r>
        <w:lastRenderedPageBreak/>
        <w:t xml:space="preserve">Tableau 1 : Orientation diagnostique devant une PID </w:t>
      </w:r>
      <w:sdt>
        <w:sdtPr>
          <w:tag w:val="goog_rdk_0"/>
          <w:id w:val="-1584860353"/>
        </w:sdtPr>
        <w:sdtContent/>
      </w:sdt>
      <w:r>
        <w:t>aiguë.</w:t>
      </w: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1415"/>
        <w:gridCol w:w="1982"/>
        <w:gridCol w:w="2412"/>
        <w:gridCol w:w="1276"/>
        <w:gridCol w:w="1982"/>
      </w:tblGrid>
      <w:tr w:rsidR="00B24E4B" w:rsidRPr="00E97955" w14:paraId="34263C50" w14:textId="77777777" w:rsidTr="00E97955">
        <w:tc>
          <w:tcPr>
            <w:tcW w:w="1415" w:type="dxa"/>
            <w:shd w:val="clear" w:color="auto" w:fill="D1D1D1" w:themeFill="background2" w:themeFillShade="E6"/>
            <w:vAlign w:val="center"/>
          </w:tcPr>
          <w:p w14:paraId="36E35084" w14:textId="77777777" w:rsidR="00B24E4B" w:rsidRPr="00E97955" w:rsidRDefault="00B24E4B" w:rsidP="00E97955">
            <w:pPr>
              <w:jc w:val="center"/>
              <w:rPr>
                <w:rFonts w:ascii="Calibri" w:eastAsia="Calibri" w:hAnsi="Calibri" w:cs="Calibri"/>
                <w:b/>
                <w:bCs/>
                <w:color w:val="000000" w:themeColor="text1"/>
              </w:rPr>
            </w:pPr>
          </w:p>
        </w:tc>
        <w:tc>
          <w:tcPr>
            <w:tcW w:w="1982" w:type="dxa"/>
            <w:shd w:val="clear" w:color="auto" w:fill="D1D1D1" w:themeFill="background2" w:themeFillShade="E6"/>
            <w:vAlign w:val="center"/>
          </w:tcPr>
          <w:p w14:paraId="4994B850"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Œdème pulmonaire hémodynamique</w:t>
            </w:r>
          </w:p>
          <w:p w14:paraId="696F9F2A"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Item 234</w:t>
            </w:r>
          </w:p>
        </w:tc>
        <w:tc>
          <w:tcPr>
            <w:tcW w:w="2412" w:type="dxa"/>
            <w:shd w:val="clear" w:color="auto" w:fill="D1D1D1" w:themeFill="background2" w:themeFillShade="E6"/>
            <w:vAlign w:val="center"/>
          </w:tcPr>
          <w:p w14:paraId="7A3A00BF"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Pneumonies infectieuses</w:t>
            </w:r>
          </w:p>
          <w:p w14:paraId="1E3B8E35"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Item 154</w:t>
            </w:r>
          </w:p>
        </w:tc>
        <w:tc>
          <w:tcPr>
            <w:tcW w:w="1276" w:type="dxa"/>
            <w:shd w:val="clear" w:color="auto" w:fill="D1D1D1" w:themeFill="background2" w:themeFillShade="E6"/>
            <w:vAlign w:val="center"/>
          </w:tcPr>
          <w:p w14:paraId="6DCB539A"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SDRA*</w:t>
            </w:r>
          </w:p>
          <w:p w14:paraId="2C533EAC"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Item 359</w:t>
            </w:r>
          </w:p>
        </w:tc>
        <w:tc>
          <w:tcPr>
            <w:tcW w:w="1982" w:type="dxa"/>
            <w:shd w:val="clear" w:color="auto" w:fill="D1D1D1" w:themeFill="background2" w:themeFillShade="E6"/>
            <w:vAlign w:val="center"/>
          </w:tcPr>
          <w:p w14:paraId="10980C8D" w14:textId="77777777" w:rsidR="00B24E4B" w:rsidRPr="00E97955" w:rsidRDefault="00B24E4B" w:rsidP="00E97955">
            <w:pPr>
              <w:jc w:val="center"/>
              <w:rPr>
                <w:rFonts w:ascii="Calibri" w:eastAsia="Calibri" w:hAnsi="Calibri" w:cs="Calibri"/>
                <w:b/>
                <w:bCs/>
                <w:color w:val="000000" w:themeColor="text1"/>
              </w:rPr>
            </w:pPr>
            <w:r w:rsidRPr="00E97955">
              <w:rPr>
                <w:rFonts w:ascii="Calibri" w:eastAsia="Calibri" w:hAnsi="Calibri" w:cs="Calibri"/>
                <w:b/>
                <w:bCs/>
                <w:color w:val="000000" w:themeColor="text1"/>
              </w:rPr>
              <w:t>Exacerbation de PID –SC</w:t>
            </w:r>
          </w:p>
        </w:tc>
      </w:tr>
      <w:tr w:rsidR="00B24E4B" w:rsidRPr="00E97955" w14:paraId="41AE91AB" w14:textId="77777777" w:rsidTr="00E97955">
        <w:tc>
          <w:tcPr>
            <w:tcW w:w="1415" w:type="dxa"/>
            <w:shd w:val="clear" w:color="auto" w:fill="F2F2F2"/>
            <w:vAlign w:val="center"/>
          </w:tcPr>
          <w:p w14:paraId="39E4A0A8" w14:textId="77777777" w:rsidR="00B24E4B" w:rsidRPr="00E97955" w:rsidRDefault="00B24E4B" w:rsidP="00E97955">
            <w:pPr>
              <w:jc w:val="center"/>
              <w:rPr>
                <w:rFonts w:ascii="Calibri" w:eastAsia="Calibri" w:hAnsi="Calibri" w:cs="Calibri"/>
                <w:b/>
                <w:bCs/>
              </w:rPr>
            </w:pPr>
            <w:r w:rsidRPr="00E97955">
              <w:rPr>
                <w:rFonts w:ascii="Calibri" w:eastAsia="Calibri" w:hAnsi="Calibri" w:cs="Calibri"/>
                <w:b/>
                <w:bCs/>
              </w:rPr>
              <w:t>Fièvre</w:t>
            </w:r>
          </w:p>
        </w:tc>
        <w:tc>
          <w:tcPr>
            <w:tcW w:w="1982" w:type="dxa"/>
            <w:shd w:val="clear" w:color="auto" w:fill="F2F2F2"/>
            <w:vAlign w:val="center"/>
          </w:tcPr>
          <w:p w14:paraId="12F40D79"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NON</w:t>
            </w:r>
          </w:p>
        </w:tc>
        <w:tc>
          <w:tcPr>
            <w:tcW w:w="2412" w:type="dxa"/>
            <w:shd w:val="clear" w:color="auto" w:fill="F2F2F2"/>
            <w:vAlign w:val="center"/>
          </w:tcPr>
          <w:p w14:paraId="37B59687"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OUI</w:t>
            </w:r>
          </w:p>
        </w:tc>
        <w:tc>
          <w:tcPr>
            <w:tcW w:w="1276" w:type="dxa"/>
            <w:shd w:val="clear" w:color="auto" w:fill="F2F2F2"/>
            <w:vAlign w:val="center"/>
          </w:tcPr>
          <w:p w14:paraId="4C5C7C07"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w:t>
            </w:r>
          </w:p>
        </w:tc>
        <w:tc>
          <w:tcPr>
            <w:tcW w:w="1982" w:type="dxa"/>
            <w:shd w:val="clear" w:color="auto" w:fill="F2F2F2"/>
            <w:vAlign w:val="center"/>
          </w:tcPr>
          <w:p w14:paraId="130F0139"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w:t>
            </w:r>
          </w:p>
        </w:tc>
      </w:tr>
      <w:tr w:rsidR="00B24E4B" w:rsidRPr="00E97955" w14:paraId="01BEE19B" w14:textId="77777777" w:rsidTr="00E97955">
        <w:tc>
          <w:tcPr>
            <w:tcW w:w="1415" w:type="dxa"/>
            <w:vAlign w:val="center"/>
          </w:tcPr>
          <w:p w14:paraId="61171C2B" w14:textId="77777777" w:rsidR="00B24E4B" w:rsidRPr="00E97955" w:rsidRDefault="00B24E4B" w:rsidP="00E97955">
            <w:pPr>
              <w:jc w:val="center"/>
              <w:rPr>
                <w:rFonts w:ascii="Calibri" w:eastAsia="Calibri" w:hAnsi="Calibri" w:cs="Calibri"/>
                <w:b/>
                <w:bCs/>
              </w:rPr>
            </w:pPr>
            <w:r w:rsidRPr="00E97955">
              <w:rPr>
                <w:rFonts w:ascii="Calibri" w:eastAsia="Calibri" w:hAnsi="Calibri" w:cs="Calibri"/>
                <w:b/>
                <w:bCs/>
              </w:rPr>
              <w:t>Agent causal / mécanisme</w:t>
            </w:r>
          </w:p>
        </w:tc>
        <w:tc>
          <w:tcPr>
            <w:tcW w:w="1982" w:type="dxa"/>
            <w:vAlign w:val="center"/>
          </w:tcPr>
          <w:p w14:paraId="4EA08FA9"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Cause cardiovasculaire</w:t>
            </w:r>
          </w:p>
        </w:tc>
        <w:tc>
          <w:tcPr>
            <w:tcW w:w="2412" w:type="dxa"/>
            <w:vAlign w:val="center"/>
          </w:tcPr>
          <w:p w14:paraId="00B431C5"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Agression par bactérie/</w:t>
            </w:r>
            <w:r w:rsidRPr="00E97955">
              <w:rPr>
                <w:rFonts w:ascii="Calibri" w:eastAsia="Calibri" w:hAnsi="Calibri" w:cs="Calibri"/>
              </w:rPr>
              <w:br/>
              <w:t>virus/parasite</w:t>
            </w:r>
          </w:p>
        </w:tc>
        <w:tc>
          <w:tcPr>
            <w:tcW w:w="1276" w:type="dxa"/>
            <w:vAlign w:val="center"/>
          </w:tcPr>
          <w:p w14:paraId="1BE61136"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Agression exogène</w:t>
            </w:r>
          </w:p>
          <w:p w14:paraId="642EF266" w14:textId="77777777" w:rsidR="00B24E4B" w:rsidRPr="00E97955" w:rsidRDefault="00B24E4B" w:rsidP="00E97955">
            <w:pPr>
              <w:jc w:val="center"/>
              <w:rPr>
                <w:rFonts w:ascii="Calibri" w:eastAsia="Calibri" w:hAnsi="Calibri" w:cs="Calibri"/>
              </w:rPr>
            </w:pPr>
          </w:p>
          <w:p w14:paraId="781617B8"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Agression endogène</w:t>
            </w:r>
          </w:p>
        </w:tc>
        <w:tc>
          <w:tcPr>
            <w:tcW w:w="1982" w:type="dxa"/>
            <w:vAlign w:val="center"/>
          </w:tcPr>
          <w:p w14:paraId="0298DC24"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Les plus fréquentes :</w:t>
            </w:r>
          </w:p>
          <w:p w14:paraId="3D4212F1" w14:textId="77777777" w:rsidR="00B24E4B" w:rsidRPr="00E97955" w:rsidRDefault="00B24E4B" w:rsidP="00E97955">
            <w:pPr>
              <w:spacing w:line="240" w:lineRule="auto"/>
              <w:jc w:val="center"/>
              <w:rPr>
                <w:rFonts w:ascii="Calibri" w:eastAsia="Calibri" w:hAnsi="Calibri" w:cs="Calibri"/>
              </w:rPr>
            </w:pPr>
            <w:r w:rsidRPr="00E97955">
              <w:rPr>
                <w:rFonts w:ascii="Calibri" w:eastAsia="Calibri" w:hAnsi="Calibri" w:cs="Calibri"/>
              </w:rPr>
              <w:t>- Médicaments</w:t>
            </w:r>
          </w:p>
          <w:p w14:paraId="6D53A093" w14:textId="77777777" w:rsidR="00E97955" w:rsidRPr="00E97955" w:rsidRDefault="00B24E4B" w:rsidP="00E97955">
            <w:pPr>
              <w:spacing w:line="240" w:lineRule="auto"/>
              <w:jc w:val="center"/>
              <w:rPr>
                <w:rFonts w:ascii="Calibri" w:eastAsia="Calibri" w:hAnsi="Calibri" w:cs="Calibri"/>
              </w:rPr>
            </w:pPr>
            <w:r w:rsidRPr="00E97955">
              <w:rPr>
                <w:rFonts w:ascii="Calibri" w:eastAsia="Calibri" w:hAnsi="Calibri" w:cs="Calibri"/>
              </w:rPr>
              <w:t>- Exacerbation de FPI</w:t>
            </w:r>
          </w:p>
          <w:p w14:paraId="0CC87861" w14:textId="24445A94" w:rsidR="00B24E4B" w:rsidRPr="00E97955" w:rsidRDefault="00B24E4B" w:rsidP="00E97955">
            <w:pPr>
              <w:spacing w:line="240" w:lineRule="auto"/>
              <w:jc w:val="center"/>
              <w:rPr>
                <w:rFonts w:ascii="Calibri" w:eastAsia="Calibri" w:hAnsi="Calibri" w:cs="Calibri"/>
              </w:rPr>
            </w:pPr>
            <w:r w:rsidRPr="00E97955">
              <w:rPr>
                <w:rFonts w:ascii="Calibri" w:eastAsia="Calibri" w:hAnsi="Calibri" w:cs="Calibri"/>
              </w:rPr>
              <w:t>- Connectivites</w:t>
            </w:r>
          </w:p>
        </w:tc>
      </w:tr>
      <w:tr w:rsidR="00B24E4B" w:rsidRPr="00E97955" w14:paraId="4215CD1D" w14:textId="77777777" w:rsidTr="00E97955">
        <w:tc>
          <w:tcPr>
            <w:tcW w:w="1415" w:type="dxa"/>
            <w:shd w:val="clear" w:color="auto" w:fill="F2F2F2"/>
            <w:vAlign w:val="center"/>
          </w:tcPr>
          <w:p w14:paraId="12E1ABE9" w14:textId="77777777" w:rsidR="00B24E4B" w:rsidRPr="00E97955" w:rsidRDefault="00B24E4B" w:rsidP="00E97955">
            <w:pPr>
              <w:jc w:val="center"/>
              <w:rPr>
                <w:rFonts w:ascii="Calibri" w:eastAsia="Calibri" w:hAnsi="Calibri" w:cs="Calibri"/>
                <w:b/>
                <w:bCs/>
              </w:rPr>
            </w:pPr>
            <w:r w:rsidRPr="00E97955">
              <w:rPr>
                <w:rFonts w:ascii="Calibri" w:eastAsia="Calibri" w:hAnsi="Calibri" w:cs="Calibri"/>
                <w:b/>
                <w:bCs/>
              </w:rPr>
              <w:t>Terrain/</w:t>
            </w:r>
          </w:p>
          <w:p w14:paraId="768CD0C0" w14:textId="77777777" w:rsidR="00B24E4B" w:rsidRPr="00E97955" w:rsidRDefault="00B24E4B" w:rsidP="00E97955">
            <w:pPr>
              <w:jc w:val="center"/>
              <w:rPr>
                <w:rFonts w:ascii="Calibri" w:eastAsia="Calibri" w:hAnsi="Calibri" w:cs="Calibri"/>
                <w:b/>
                <w:bCs/>
              </w:rPr>
            </w:pPr>
            <w:proofErr w:type="gramStart"/>
            <w:r w:rsidRPr="00E97955">
              <w:rPr>
                <w:rFonts w:ascii="Calibri" w:eastAsia="Calibri" w:hAnsi="Calibri" w:cs="Calibri"/>
                <w:b/>
                <w:bCs/>
              </w:rPr>
              <w:t>anamnèse</w:t>
            </w:r>
            <w:proofErr w:type="gramEnd"/>
            <w:r w:rsidRPr="00E97955">
              <w:rPr>
                <w:rFonts w:ascii="Calibri" w:eastAsia="Calibri" w:hAnsi="Calibri" w:cs="Calibri"/>
                <w:b/>
                <w:bCs/>
              </w:rPr>
              <w:t>/</w:t>
            </w:r>
          </w:p>
          <w:p w14:paraId="1331550E" w14:textId="77777777" w:rsidR="00B24E4B" w:rsidRPr="00E97955" w:rsidRDefault="00B24E4B" w:rsidP="00E97955">
            <w:pPr>
              <w:jc w:val="center"/>
              <w:rPr>
                <w:rFonts w:ascii="Calibri" w:eastAsia="Calibri" w:hAnsi="Calibri" w:cs="Calibri"/>
                <w:b/>
                <w:bCs/>
              </w:rPr>
            </w:pPr>
            <w:proofErr w:type="gramStart"/>
            <w:r w:rsidRPr="00E97955">
              <w:rPr>
                <w:rFonts w:ascii="Calibri" w:eastAsia="Calibri" w:hAnsi="Calibri" w:cs="Calibri"/>
                <w:b/>
                <w:bCs/>
              </w:rPr>
              <w:t>clinique</w:t>
            </w:r>
            <w:proofErr w:type="gramEnd"/>
          </w:p>
        </w:tc>
        <w:tc>
          <w:tcPr>
            <w:tcW w:w="1982" w:type="dxa"/>
            <w:shd w:val="clear" w:color="auto" w:fill="F2F2F2"/>
            <w:vAlign w:val="center"/>
          </w:tcPr>
          <w:p w14:paraId="6698C4F0"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ACTD cardiovasculaire</w:t>
            </w:r>
          </w:p>
          <w:p w14:paraId="0DC816A3"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Signes cliniques d’OAP</w:t>
            </w:r>
          </w:p>
        </w:tc>
        <w:tc>
          <w:tcPr>
            <w:tcW w:w="2412" w:type="dxa"/>
            <w:shd w:val="clear" w:color="auto" w:fill="F2F2F2"/>
            <w:vAlign w:val="center"/>
          </w:tcPr>
          <w:p w14:paraId="501930D3" w14:textId="77777777" w:rsidR="00B24E4B" w:rsidRPr="00E97955" w:rsidRDefault="00B24E4B" w:rsidP="00E97955">
            <w:pPr>
              <w:jc w:val="center"/>
              <w:rPr>
                <w:rFonts w:ascii="Calibri" w:eastAsia="Calibri" w:hAnsi="Calibri" w:cs="Calibri"/>
                <w:lang w:val="pt-PT"/>
              </w:rPr>
            </w:pPr>
            <w:proofErr w:type="spellStart"/>
            <w:r w:rsidRPr="00E97955">
              <w:rPr>
                <w:rFonts w:ascii="Calibri" w:eastAsia="Calibri" w:hAnsi="Calibri" w:cs="Calibri"/>
                <w:lang w:val="pt-PT"/>
              </w:rPr>
              <w:t>Contexte</w:t>
            </w:r>
            <w:proofErr w:type="spellEnd"/>
            <w:r w:rsidRPr="00E97955">
              <w:rPr>
                <w:rFonts w:ascii="Calibri" w:eastAsia="Calibri" w:hAnsi="Calibri" w:cs="Calibri"/>
                <w:lang w:val="pt-PT"/>
              </w:rPr>
              <w:t xml:space="preserve"> de </w:t>
            </w:r>
            <w:proofErr w:type="spellStart"/>
            <w:r w:rsidRPr="00E97955">
              <w:rPr>
                <w:rFonts w:ascii="Calibri" w:eastAsia="Calibri" w:hAnsi="Calibri" w:cs="Calibri"/>
                <w:lang w:val="pt-PT"/>
              </w:rPr>
              <w:t>contage</w:t>
            </w:r>
            <w:proofErr w:type="spellEnd"/>
            <w:r w:rsidRPr="00E97955">
              <w:rPr>
                <w:rFonts w:ascii="Calibri" w:eastAsia="Calibri" w:hAnsi="Calibri" w:cs="Calibri"/>
                <w:lang w:val="pt-PT"/>
              </w:rPr>
              <w:t xml:space="preserve"> (tuberculose, </w:t>
            </w:r>
            <w:proofErr w:type="spellStart"/>
            <w:r w:rsidRPr="00E97955">
              <w:rPr>
                <w:rFonts w:ascii="Calibri" w:eastAsia="Calibri" w:hAnsi="Calibri" w:cs="Calibri"/>
                <w:lang w:val="pt-PT"/>
              </w:rPr>
              <w:t>grippe</w:t>
            </w:r>
            <w:proofErr w:type="spellEnd"/>
            <w:r w:rsidRPr="00E97955">
              <w:rPr>
                <w:rFonts w:ascii="Calibri" w:eastAsia="Calibri" w:hAnsi="Calibri" w:cs="Calibri"/>
                <w:lang w:val="pt-PT"/>
              </w:rPr>
              <w:t>, COVID)</w:t>
            </w:r>
          </w:p>
          <w:p w14:paraId="7172DEAC"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Conteste d’Immunodépression</w:t>
            </w:r>
          </w:p>
          <w:p w14:paraId="5ED56C63"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(VIH, greffe, cancers)</w:t>
            </w:r>
          </w:p>
        </w:tc>
        <w:tc>
          <w:tcPr>
            <w:tcW w:w="1276" w:type="dxa"/>
            <w:shd w:val="clear" w:color="auto" w:fill="F2F2F2"/>
            <w:vAlign w:val="center"/>
          </w:tcPr>
          <w:p w14:paraId="2ADE0B5F"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Agression aiguë</w:t>
            </w:r>
          </w:p>
        </w:tc>
        <w:tc>
          <w:tcPr>
            <w:tcW w:w="1982" w:type="dxa"/>
            <w:shd w:val="clear" w:color="auto" w:fill="F2F2F2"/>
            <w:vAlign w:val="center"/>
          </w:tcPr>
          <w:p w14:paraId="2367041F"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PID-SC (voir infra)</w:t>
            </w:r>
          </w:p>
        </w:tc>
      </w:tr>
      <w:tr w:rsidR="00B24E4B" w:rsidRPr="00E97955" w14:paraId="6BE9949F" w14:textId="77777777" w:rsidTr="00E97955">
        <w:tc>
          <w:tcPr>
            <w:tcW w:w="1415" w:type="dxa"/>
            <w:vAlign w:val="center"/>
          </w:tcPr>
          <w:p w14:paraId="596A9FAF" w14:textId="77777777" w:rsidR="00B24E4B" w:rsidRPr="00E97955" w:rsidRDefault="00B24E4B" w:rsidP="00E97955">
            <w:pPr>
              <w:jc w:val="center"/>
              <w:rPr>
                <w:rFonts w:ascii="Calibri" w:eastAsia="Calibri" w:hAnsi="Calibri" w:cs="Calibri"/>
                <w:b/>
                <w:bCs/>
              </w:rPr>
            </w:pPr>
            <w:r w:rsidRPr="00E97955">
              <w:rPr>
                <w:rFonts w:ascii="Calibri" w:eastAsia="Calibri" w:hAnsi="Calibri" w:cs="Calibri"/>
                <w:b/>
                <w:bCs/>
              </w:rPr>
              <w:t>Éléments du diagnostic</w:t>
            </w:r>
          </w:p>
        </w:tc>
        <w:tc>
          <w:tcPr>
            <w:tcW w:w="1982" w:type="dxa"/>
            <w:vAlign w:val="center"/>
          </w:tcPr>
          <w:p w14:paraId="6A7CE7B8"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Examens item 234 +</w:t>
            </w:r>
          </w:p>
          <w:p w14:paraId="1D5A9A83" w14:textId="43B857BC" w:rsidR="00B24E4B" w:rsidRPr="00E97955" w:rsidRDefault="00B24E4B" w:rsidP="00E97955">
            <w:pPr>
              <w:jc w:val="center"/>
              <w:rPr>
                <w:rFonts w:ascii="Calibri" w:eastAsia="Calibri" w:hAnsi="Calibri" w:cs="Calibri"/>
              </w:rPr>
            </w:pPr>
            <w:r w:rsidRPr="00E97955">
              <w:rPr>
                <w:rFonts w:ascii="Calibri" w:eastAsia="Calibri" w:hAnsi="Calibri" w:cs="Calibri"/>
              </w:rPr>
              <w:t>Test thérapeutique aux diurétiques</w:t>
            </w:r>
          </w:p>
        </w:tc>
        <w:tc>
          <w:tcPr>
            <w:tcW w:w="2412" w:type="dxa"/>
            <w:vAlign w:val="center"/>
          </w:tcPr>
          <w:p w14:paraId="37E6577A"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Prélèvements infectieux (voir item 154) +</w:t>
            </w:r>
          </w:p>
          <w:p w14:paraId="6D057C46"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LBA (si immunodéprimé)</w:t>
            </w:r>
          </w:p>
        </w:tc>
        <w:tc>
          <w:tcPr>
            <w:tcW w:w="1276" w:type="dxa"/>
            <w:vAlign w:val="center"/>
          </w:tcPr>
          <w:p w14:paraId="067D8358"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Examens</w:t>
            </w:r>
          </w:p>
          <w:p w14:paraId="18246877"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Item 359</w:t>
            </w:r>
          </w:p>
        </w:tc>
        <w:tc>
          <w:tcPr>
            <w:tcW w:w="1982" w:type="dxa"/>
            <w:vAlign w:val="center"/>
          </w:tcPr>
          <w:p w14:paraId="47C85820"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PID-SC (voir infra)</w:t>
            </w:r>
          </w:p>
        </w:tc>
      </w:tr>
      <w:tr w:rsidR="00B24E4B" w:rsidRPr="00E97955" w14:paraId="173FE5BD" w14:textId="77777777" w:rsidTr="00E97955">
        <w:tc>
          <w:tcPr>
            <w:tcW w:w="1415" w:type="dxa"/>
            <w:shd w:val="clear" w:color="auto" w:fill="F2F2F2"/>
            <w:vAlign w:val="center"/>
          </w:tcPr>
          <w:p w14:paraId="7AF77F29" w14:textId="77777777" w:rsidR="00B24E4B" w:rsidRPr="00E97955" w:rsidRDefault="00B24E4B" w:rsidP="00E97955">
            <w:pPr>
              <w:jc w:val="center"/>
              <w:rPr>
                <w:rFonts w:ascii="Calibri" w:eastAsia="Calibri" w:hAnsi="Calibri" w:cs="Calibri"/>
                <w:b/>
                <w:bCs/>
              </w:rPr>
            </w:pPr>
            <w:r w:rsidRPr="00E97955">
              <w:rPr>
                <w:rFonts w:ascii="Calibri" w:eastAsia="Calibri" w:hAnsi="Calibri" w:cs="Calibri"/>
                <w:b/>
                <w:bCs/>
              </w:rPr>
              <w:t>Particularités radiologiques</w:t>
            </w:r>
          </w:p>
        </w:tc>
        <w:tc>
          <w:tcPr>
            <w:tcW w:w="1982" w:type="dxa"/>
            <w:shd w:val="clear" w:color="auto" w:fill="F2F2F2"/>
            <w:vAlign w:val="center"/>
          </w:tcPr>
          <w:p w14:paraId="53014FE7" w14:textId="77777777" w:rsidR="00E97955" w:rsidRPr="00E97955" w:rsidRDefault="00B24E4B" w:rsidP="00E97955">
            <w:pPr>
              <w:rPr>
                <w:rFonts w:ascii="Calibri" w:eastAsia="Calibri" w:hAnsi="Calibri" w:cs="Calibri"/>
              </w:rPr>
            </w:pPr>
            <w:r w:rsidRPr="00E97955">
              <w:rPr>
                <w:rFonts w:ascii="Calibri" w:eastAsia="Calibri" w:hAnsi="Calibri" w:cs="Calibri"/>
              </w:rPr>
              <w:t>- Cardiomégalie</w:t>
            </w:r>
          </w:p>
          <w:p w14:paraId="3C4264CB" w14:textId="77777777" w:rsidR="00E97955" w:rsidRPr="00E97955" w:rsidRDefault="00B24E4B" w:rsidP="00E97955">
            <w:pPr>
              <w:jc w:val="left"/>
              <w:rPr>
                <w:rFonts w:ascii="Calibri" w:eastAsia="Calibri" w:hAnsi="Calibri" w:cs="Calibri"/>
              </w:rPr>
            </w:pPr>
            <w:r w:rsidRPr="00E97955">
              <w:rPr>
                <w:rFonts w:ascii="Calibri" w:eastAsia="Calibri" w:hAnsi="Calibri" w:cs="Calibri"/>
              </w:rPr>
              <w:t>- Opacités floues péri-hilaire</w:t>
            </w:r>
          </w:p>
          <w:p w14:paraId="3CA8582E" w14:textId="1D1B52C1" w:rsidR="00B24E4B" w:rsidRPr="00E97955" w:rsidRDefault="00B24E4B" w:rsidP="00E97955">
            <w:pPr>
              <w:jc w:val="left"/>
              <w:rPr>
                <w:rFonts w:ascii="Calibri" w:eastAsia="Calibri" w:hAnsi="Calibri" w:cs="Calibri"/>
              </w:rPr>
            </w:pPr>
            <w:r w:rsidRPr="00E97955">
              <w:rPr>
                <w:rFonts w:ascii="Calibri" w:eastAsia="Calibri" w:hAnsi="Calibri" w:cs="Calibri"/>
              </w:rPr>
              <w:t>- Épanchements pleuraux</w:t>
            </w:r>
          </w:p>
        </w:tc>
        <w:tc>
          <w:tcPr>
            <w:tcW w:w="2412" w:type="dxa"/>
            <w:shd w:val="clear" w:color="auto" w:fill="F2F2F2"/>
            <w:vAlign w:val="center"/>
          </w:tcPr>
          <w:p w14:paraId="214BB31B" w14:textId="56FC766E" w:rsidR="00B24E4B" w:rsidRPr="00E97955" w:rsidRDefault="00B24E4B" w:rsidP="00E97955">
            <w:pPr>
              <w:rPr>
                <w:rFonts w:ascii="Calibri" w:eastAsia="Calibri" w:hAnsi="Calibri" w:cs="Calibri"/>
              </w:rPr>
            </w:pPr>
            <w:r w:rsidRPr="00E97955">
              <w:rPr>
                <w:rFonts w:ascii="Calibri" w:eastAsia="Calibri" w:hAnsi="Calibri" w:cs="Calibri"/>
              </w:rPr>
              <w:t>- Nodules</w:t>
            </w:r>
          </w:p>
          <w:p w14:paraId="7022D6D7" w14:textId="5A219FCE" w:rsidR="00B24E4B" w:rsidRPr="00E97955" w:rsidRDefault="00B24E4B" w:rsidP="00E97955">
            <w:pPr>
              <w:rPr>
                <w:rFonts w:ascii="Calibri" w:eastAsia="Calibri" w:hAnsi="Calibri" w:cs="Calibri"/>
              </w:rPr>
            </w:pPr>
            <w:r w:rsidRPr="00E97955">
              <w:rPr>
                <w:rFonts w:ascii="Calibri" w:eastAsia="Calibri" w:hAnsi="Calibri" w:cs="Calibri"/>
              </w:rPr>
              <w:t>- Infiltrats</w:t>
            </w:r>
          </w:p>
          <w:p w14:paraId="0398F39D" w14:textId="09326C5D" w:rsidR="00B24E4B" w:rsidRPr="00E97955" w:rsidRDefault="00B24E4B" w:rsidP="00E97955">
            <w:pPr>
              <w:ind w:right="-109"/>
              <w:jc w:val="left"/>
              <w:rPr>
                <w:rFonts w:ascii="Calibri" w:eastAsia="Calibri" w:hAnsi="Calibri" w:cs="Calibri"/>
              </w:rPr>
            </w:pPr>
            <w:r w:rsidRPr="00E97955">
              <w:rPr>
                <w:rFonts w:ascii="Calibri" w:eastAsia="Calibri" w:hAnsi="Calibri" w:cs="Calibri"/>
              </w:rPr>
              <w:t>- Micronodules à contours nets (miliaire</w:t>
            </w:r>
            <w:r w:rsidR="00E97955" w:rsidRPr="00E97955">
              <w:rPr>
                <w:rFonts w:ascii="Calibri" w:eastAsia="Calibri" w:hAnsi="Calibri" w:cs="Calibri"/>
              </w:rPr>
              <w:t xml:space="preserve"> </w:t>
            </w:r>
            <w:r w:rsidRPr="00E97955">
              <w:rPr>
                <w:rFonts w:ascii="Calibri" w:eastAsia="Calibri" w:hAnsi="Calibri" w:cs="Calibri"/>
              </w:rPr>
              <w:t>tuberculeuse)</w:t>
            </w:r>
          </w:p>
        </w:tc>
        <w:tc>
          <w:tcPr>
            <w:tcW w:w="1276" w:type="dxa"/>
            <w:shd w:val="clear" w:color="auto" w:fill="F2F2F2"/>
            <w:vAlign w:val="center"/>
          </w:tcPr>
          <w:p w14:paraId="1DC68B1B"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Infiltrats diffus, bilatéraux, étendus</w:t>
            </w:r>
          </w:p>
        </w:tc>
        <w:tc>
          <w:tcPr>
            <w:tcW w:w="1982" w:type="dxa"/>
            <w:shd w:val="clear" w:color="auto" w:fill="F2F2F2"/>
            <w:vAlign w:val="center"/>
          </w:tcPr>
          <w:p w14:paraId="64D33FB5" w14:textId="77777777" w:rsidR="00B24E4B" w:rsidRPr="00E97955" w:rsidRDefault="00B24E4B" w:rsidP="00E97955">
            <w:pPr>
              <w:jc w:val="center"/>
              <w:rPr>
                <w:rFonts w:ascii="Calibri" w:eastAsia="Calibri" w:hAnsi="Calibri" w:cs="Calibri"/>
              </w:rPr>
            </w:pPr>
            <w:r w:rsidRPr="00E97955">
              <w:rPr>
                <w:rFonts w:ascii="Calibri" w:eastAsia="Calibri" w:hAnsi="Calibri" w:cs="Calibri"/>
              </w:rPr>
              <w:t>Cf. PID-SC</w:t>
            </w:r>
          </w:p>
        </w:tc>
      </w:tr>
    </w:tbl>
    <w:p w14:paraId="095D351E" w14:textId="77777777" w:rsidR="00B24E4B" w:rsidRDefault="00B24E4B" w:rsidP="00B24E4B">
      <w:pPr>
        <w:pBdr>
          <w:top w:val="nil"/>
          <w:left w:val="nil"/>
          <w:bottom w:val="nil"/>
          <w:right w:val="nil"/>
          <w:between w:val="nil"/>
        </w:pBdr>
        <w:spacing w:line="276" w:lineRule="auto"/>
        <w:rPr>
          <w:rFonts w:ascii="Arial" w:eastAsia="Arial" w:hAnsi="Arial" w:cs="Arial"/>
          <w:sz w:val="18"/>
          <w:szCs w:val="18"/>
        </w:rPr>
      </w:pPr>
      <w:r>
        <w:rPr>
          <w:rFonts w:ascii="Arial" w:eastAsia="Arial" w:hAnsi="Arial" w:cs="Arial"/>
          <w:sz w:val="18"/>
          <w:szCs w:val="18"/>
        </w:rPr>
        <w:t>Légende : LBA = lavage broncho-alvéolaire ; FPI = fibrose pulmonaire idiopathique ; SDRA = syndrome de détresse respiratoire aiguë de l’adulte</w:t>
      </w:r>
    </w:p>
    <w:p w14:paraId="57CB6EE1" w14:textId="77777777" w:rsidR="00B24E4B" w:rsidRDefault="00B24E4B" w:rsidP="00B24E4B">
      <w:pPr>
        <w:spacing w:line="276" w:lineRule="auto"/>
      </w:pPr>
    </w:p>
    <w:p w14:paraId="3269834F" w14:textId="77777777" w:rsidR="00B24E4B" w:rsidRDefault="00B24E4B" w:rsidP="00D02748">
      <w:pPr>
        <w:pStyle w:val="titredesous-partie"/>
      </w:pPr>
      <w:r>
        <w:rPr>
          <w:shd w:val="clear" w:color="auto" w:fill="auto"/>
        </w:rPr>
        <w:t xml:space="preserve">MOTIF DE CONSULTATION/PRISE EN CHARGE </w:t>
      </w:r>
    </w:p>
    <w:p w14:paraId="14DF31D0" w14:textId="77777777" w:rsidR="00B24E4B" w:rsidRDefault="00B24E4B" w:rsidP="00B24E4B">
      <w:pPr>
        <w:spacing w:line="276" w:lineRule="auto"/>
      </w:pPr>
      <w:r>
        <w:t>Dyspnée et/ou toux très récente, voire détresse respiratoire aiguë.</w:t>
      </w:r>
    </w:p>
    <w:p w14:paraId="5186B04F" w14:textId="77777777" w:rsidR="00B24E4B" w:rsidRDefault="00B24E4B" w:rsidP="00B24E4B">
      <w:pPr>
        <w:spacing w:line="276" w:lineRule="auto"/>
      </w:pPr>
    </w:p>
    <w:p w14:paraId="3726A5EF" w14:textId="77777777" w:rsidR="00B24E4B" w:rsidRDefault="00B24E4B" w:rsidP="00D02748">
      <w:pPr>
        <w:pStyle w:val="titredesous-partie"/>
      </w:pPr>
      <w:r>
        <w:rPr>
          <w:shd w:val="clear" w:color="auto" w:fill="auto"/>
        </w:rPr>
        <w:t>TERRAIN ET ATCD</w:t>
      </w:r>
    </w:p>
    <w:p w14:paraId="60B8967E" w14:textId="77777777" w:rsidR="00B24E4B" w:rsidRDefault="00B24E4B" w:rsidP="00B24E4B">
      <w:pPr>
        <w:spacing w:line="276" w:lineRule="auto"/>
      </w:pPr>
      <w:r>
        <w:t>Le contexte va être clé et évocateur :</w:t>
      </w:r>
    </w:p>
    <w:p w14:paraId="2472435B" w14:textId="77777777" w:rsidR="00B24E4B" w:rsidRDefault="00B24E4B" w:rsidP="00B24E4B">
      <w:pPr>
        <w:spacing w:line="276" w:lineRule="auto"/>
      </w:pPr>
      <w:r>
        <w:t>- ATCD personnels (cancer, hémopathie maligne, facteurs de risque cardiovasculaires, connectivite).</w:t>
      </w:r>
    </w:p>
    <w:p w14:paraId="4E8EBCE5" w14:textId="77777777" w:rsidR="00B24E4B" w:rsidRDefault="00B24E4B" w:rsidP="00B24E4B">
      <w:pPr>
        <w:spacing w:line="276" w:lineRule="auto"/>
      </w:pPr>
      <w:r>
        <w:t>- Immunodépression (statut VIH, exposition à des médicaments immunosuppresseurs).</w:t>
      </w:r>
    </w:p>
    <w:p w14:paraId="54F177EE" w14:textId="77777777" w:rsidR="00B24E4B" w:rsidRDefault="00B24E4B" w:rsidP="00B24E4B">
      <w:pPr>
        <w:spacing w:line="276" w:lineRule="auto"/>
      </w:pPr>
      <w:r>
        <w:t xml:space="preserve">- Exposition à des agents susceptibles d’entraîner un œdème lésionnel (médicaments </w:t>
      </w:r>
      <w:proofErr w:type="spellStart"/>
      <w:r>
        <w:t>pneumotoxiques</w:t>
      </w:r>
      <w:proofErr w:type="spellEnd"/>
      <w:r>
        <w:t>, gaz toxique, drogues).</w:t>
      </w:r>
    </w:p>
    <w:p w14:paraId="4E92BE07" w14:textId="77777777" w:rsidR="00B24E4B" w:rsidRDefault="00B24E4B" w:rsidP="00B24E4B">
      <w:pPr>
        <w:spacing w:line="276" w:lineRule="auto"/>
      </w:pP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9067"/>
      </w:tblGrid>
      <w:tr w:rsidR="00B24E4B" w14:paraId="288C2A4A" w14:textId="77777777" w:rsidTr="00D02748">
        <w:trPr>
          <w:trHeight w:val="1077"/>
        </w:trPr>
        <w:tc>
          <w:tcPr>
            <w:tcW w:w="9067" w:type="dxa"/>
            <w:vAlign w:val="center"/>
          </w:tcPr>
          <w:p w14:paraId="6E90E0D7" w14:textId="77777777" w:rsidR="00B24E4B" w:rsidRDefault="00B24E4B" w:rsidP="0094705B">
            <w:pPr>
              <w:spacing w:line="276" w:lineRule="auto"/>
              <w:rPr>
                <w:sz w:val="10"/>
                <w:szCs w:val="10"/>
              </w:rPr>
            </w:pPr>
          </w:p>
          <w:p w14:paraId="470E9131" w14:textId="77777777" w:rsidR="00B24E4B" w:rsidRDefault="00B24E4B" w:rsidP="0094705B">
            <w:pPr>
              <w:spacing w:line="276" w:lineRule="auto"/>
              <w:rPr>
                <w:sz w:val="10"/>
                <w:szCs w:val="10"/>
              </w:rPr>
            </w:pPr>
            <w:r>
              <w:rPr>
                <w:noProof/>
              </w:rPr>
              <w:drawing>
                <wp:anchor distT="0" distB="0" distL="114300" distR="114300" simplePos="0" relativeHeight="251930624" behindDoc="0" locked="0" layoutInCell="1" hidden="0" allowOverlap="1" wp14:anchorId="4B5B4C46" wp14:editId="0889EC87">
                  <wp:simplePos x="0" y="0"/>
                  <wp:positionH relativeFrom="column">
                    <wp:posOffset>-352424</wp:posOffset>
                  </wp:positionH>
                  <wp:positionV relativeFrom="paragraph">
                    <wp:posOffset>-226059</wp:posOffset>
                  </wp:positionV>
                  <wp:extent cx="455295" cy="548640"/>
                  <wp:effectExtent l="0" t="0" r="0" b="0"/>
                  <wp:wrapSquare wrapText="bothSides" distT="0" distB="0" distL="114300" distR="11430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55295" cy="548640"/>
                          </a:xfrm>
                          <a:prstGeom prst="rect">
                            <a:avLst/>
                          </a:prstGeom>
                          <a:ln/>
                        </pic:spPr>
                      </pic:pic>
                    </a:graphicData>
                  </a:graphic>
                </wp:anchor>
              </w:drawing>
            </w:r>
          </w:p>
          <w:p w14:paraId="14E4CCA9" w14:textId="77777777" w:rsidR="00B24E4B" w:rsidRDefault="00B24E4B" w:rsidP="0094705B">
            <w:pPr>
              <w:spacing w:line="276" w:lineRule="auto"/>
            </w:pPr>
            <w:r>
              <w:t>En raison de sa fréquence, l’</w:t>
            </w:r>
            <w:r>
              <w:rPr>
                <w:b/>
                <w:bCs/>
              </w:rPr>
              <w:t>œdème cardiogénique</w:t>
            </w:r>
            <w:r>
              <w:t xml:space="preserve"> doit toujours être suspecté.</w:t>
            </w:r>
          </w:p>
        </w:tc>
      </w:tr>
    </w:tbl>
    <w:p w14:paraId="243F29E2" w14:textId="77777777" w:rsidR="00B24E4B" w:rsidRDefault="00B24E4B" w:rsidP="00B24E4B">
      <w:pPr>
        <w:spacing w:line="276" w:lineRule="auto"/>
        <w:rPr>
          <w:b/>
          <w:bCs/>
        </w:rPr>
      </w:pPr>
    </w:p>
    <w:p w14:paraId="26368424" w14:textId="77777777" w:rsidR="00B24E4B" w:rsidRDefault="00B24E4B" w:rsidP="00D02748">
      <w:pPr>
        <w:pStyle w:val="titredesous-partie"/>
      </w:pPr>
      <w:r>
        <w:rPr>
          <w:shd w:val="clear" w:color="auto" w:fill="auto"/>
        </w:rPr>
        <w:t>HISTOIRE DE LA MALADIE</w:t>
      </w:r>
    </w:p>
    <w:p w14:paraId="14782608" w14:textId="77777777" w:rsidR="00B24E4B" w:rsidRDefault="00B24E4B" w:rsidP="00B24E4B">
      <w:pPr>
        <w:spacing w:line="276" w:lineRule="auto"/>
      </w:pPr>
      <w:r>
        <w:lastRenderedPageBreak/>
        <w:t>Le contexte, le caractère aigu sera à noter</w:t>
      </w:r>
      <w:r>
        <w:rPr>
          <w:b/>
          <w:bCs/>
        </w:rPr>
        <w:t>.</w:t>
      </w:r>
    </w:p>
    <w:p w14:paraId="6057C949" w14:textId="77777777" w:rsidR="00B24E4B" w:rsidRDefault="00B24E4B" w:rsidP="00B24E4B">
      <w:pPr>
        <w:spacing w:line="276" w:lineRule="auto"/>
        <w:rPr>
          <w:i/>
          <w:iCs/>
        </w:rPr>
      </w:pPr>
      <w:r>
        <w:t>Des épisodes identiques auparavant, avec récupération entre les épisodes, sont évocateurs d’œdème cardiogénique.</w:t>
      </w:r>
    </w:p>
    <w:p w14:paraId="22D1E132" w14:textId="77777777" w:rsidR="00B24E4B" w:rsidRDefault="00B24E4B" w:rsidP="00B24E4B">
      <w:pPr>
        <w:spacing w:line="276" w:lineRule="auto"/>
        <w:rPr>
          <w:b/>
          <w:bCs/>
        </w:rPr>
      </w:pPr>
    </w:p>
    <w:p w14:paraId="68B8EF50" w14:textId="77777777" w:rsidR="00B24E4B" w:rsidRDefault="00B24E4B" w:rsidP="00D02748">
      <w:pPr>
        <w:pStyle w:val="titredesous-partie"/>
      </w:pPr>
      <w:r>
        <w:rPr>
          <w:shd w:val="clear" w:color="auto" w:fill="auto"/>
        </w:rPr>
        <w:t>EXAMEN CLINIQUE</w:t>
      </w:r>
    </w:p>
    <w:p w14:paraId="19C1BA17" w14:textId="77777777" w:rsidR="00B24E4B" w:rsidRDefault="00B24E4B" w:rsidP="00B24E4B">
      <w:pPr>
        <w:pBdr>
          <w:top w:val="nil"/>
          <w:left w:val="nil"/>
          <w:bottom w:val="nil"/>
          <w:right w:val="nil"/>
          <w:between w:val="nil"/>
        </w:pBdr>
        <w:spacing w:line="276" w:lineRule="auto"/>
        <w:rPr>
          <w:b/>
          <w:bCs/>
        </w:rPr>
      </w:pPr>
      <w:r>
        <w:rPr>
          <w:b/>
          <w:bCs/>
        </w:rPr>
        <w:t>- Signes non spécifiques : dyspnée d’effort, toux d’installation rapide.</w:t>
      </w:r>
    </w:p>
    <w:p w14:paraId="380CB8A8" w14:textId="77777777" w:rsidR="00B24E4B" w:rsidRDefault="00B24E4B" w:rsidP="00B24E4B">
      <w:pPr>
        <w:pBdr>
          <w:top w:val="nil"/>
          <w:left w:val="nil"/>
          <w:bottom w:val="nil"/>
          <w:right w:val="nil"/>
          <w:between w:val="nil"/>
        </w:pBdr>
        <w:spacing w:line="276" w:lineRule="auto"/>
        <w:rPr>
          <w:b/>
          <w:bCs/>
        </w:rPr>
      </w:pPr>
      <w:r>
        <w:rPr>
          <w:b/>
          <w:bCs/>
        </w:rPr>
        <w:t>- Crépitants fréquents.</w:t>
      </w:r>
    </w:p>
    <w:p w14:paraId="5B14D6A0" w14:textId="77777777" w:rsidR="00B24E4B" w:rsidRDefault="00B24E4B" w:rsidP="00B24E4B">
      <w:pPr>
        <w:pBdr>
          <w:top w:val="nil"/>
          <w:left w:val="nil"/>
          <w:bottom w:val="nil"/>
          <w:right w:val="nil"/>
          <w:between w:val="nil"/>
        </w:pBdr>
        <w:spacing w:line="276" w:lineRule="auto"/>
        <w:rPr>
          <w:b/>
          <w:bCs/>
        </w:rPr>
      </w:pPr>
      <w:r>
        <w:rPr>
          <w:b/>
          <w:bCs/>
        </w:rPr>
        <w:t>- Hypoxémie avec baisse de la SpO2 à l’effort.</w:t>
      </w:r>
    </w:p>
    <w:p w14:paraId="497AB0E9" w14:textId="77777777" w:rsidR="00B24E4B" w:rsidRDefault="00B24E4B" w:rsidP="00B24E4B">
      <w:pPr>
        <w:spacing w:line="276" w:lineRule="auto"/>
        <w:rPr>
          <w:b/>
          <w:bCs/>
        </w:rPr>
      </w:pPr>
    </w:p>
    <w:p w14:paraId="02E1ACFF" w14:textId="77777777" w:rsidR="00B24E4B" w:rsidRDefault="00B24E4B" w:rsidP="00D02748">
      <w:pPr>
        <w:pStyle w:val="titredesous-partie"/>
      </w:pPr>
      <w:r>
        <w:rPr>
          <w:shd w:val="clear" w:color="auto" w:fill="auto"/>
        </w:rPr>
        <w:t>EXAMENS COMPLEMENTAIRES</w:t>
      </w:r>
    </w:p>
    <w:p w14:paraId="26B657A7" w14:textId="77777777" w:rsidR="00B24E4B" w:rsidRDefault="00B24E4B" w:rsidP="00B24E4B">
      <w:pPr>
        <w:spacing w:line="276" w:lineRule="auto"/>
      </w:pPr>
      <w:r>
        <w:rPr>
          <w:b/>
          <w:bCs/>
        </w:rPr>
        <w:t>Le lavage broncho-alvéolaire (LBA) : s’il est réalisable, et une fois la cause cardiaque éliminée</w:t>
      </w:r>
      <w:r>
        <w:t> :</w:t>
      </w:r>
    </w:p>
    <w:p w14:paraId="3C4D712B" w14:textId="77777777" w:rsidR="00B24E4B" w:rsidRDefault="00B24E4B" w:rsidP="00B24E4B">
      <w:pPr>
        <w:spacing w:line="276" w:lineRule="auto"/>
      </w:pPr>
      <w:r>
        <w:t>- Très performant pour le diagnostic des infections.</w:t>
      </w:r>
    </w:p>
    <w:p w14:paraId="01FB64C1" w14:textId="77777777" w:rsidR="00B24E4B" w:rsidRDefault="00B24E4B" w:rsidP="00B24E4B">
      <w:pPr>
        <w:spacing w:line="276" w:lineRule="auto"/>
      </w:pPr>
      <w:r>
        <w:t>- Indiqué devant toute PID de l’immunodéprimé (car infection non fébrile possible).</w:t>
      </w:r>
    </w:p>
    <w:p w14:paraId="2454E355" w14:textId="77777777" w:rsidR="00B24E4B" w:rsidRDefault="00B24E4B" w:rsidP="00B24E4B">
      <w:pPr>
        <w:spacing w:line="276" w:lineRule="auto"/>
      </w:pPr>
      <w:r>
        <w:t>- Permet une orientation diagnostique dans les autres cas (formule cellulaire si possible).</w:t>
      </w:r>
    </w:p>
    <w:p w14:paraId="67A1F597" w14:textId="77777777" w:rsidR="00B24E4B" w:rsidRDefault="00B24E4B" w:rsidP="00B24E4B">
      <w:pPr>
        <w:spacing w:line="276" w:lineRule="auto"/>
      </w:pPr>
    </w:p>
    <w:p w14:paraId="4B579E29" w14:textId="77777777" w:rsidR="00B24E4B" w:rsidRDefault="00B24E4B" w:rsidP="00B24E4B">
      <w:pPr>
        <w:spacing w:line="276" w:lineRule="auto"/>
      </w:pPr>
      <w:r>
        <w:t>Les autres examens complémentaires seront dictés par la suspicion diagnostique (tableau 1).</w:t>
      </w:r>
    </w:p>
    <w:p w14:paraId="7B5B71D8" w14:textId="77777777" w:rsidR="00B24E4B" w:rsidRDefault="00B24E4B" w:rsidP="00B24E4B">
      <w:pPr>
        <w:spacing w:line="276" w:lineRule="auto"/>
      </w:pPr>
    </w:p>
    <w:p w14:paraId="7E2B5B55" w14:textId="77777777" w:rsidR="00B24E4B" w:rsidRDefault="00B24E4B" w:rsidP="00D02748">
      <w:pPr>
        <w:pStyle w:val="titredepartie"/>
      </w:pPr>
      <w:r>
        <w:t xml:space="preserve">TRAITEMENTS ET PRISE EN </w:t>
      </w:r>
      <w:sdt>
        <w:sdtPr>
          <w:tag w:val="goog_rdk_1"/>
          <w:id w:val="377929395"/>
        </w:sdtPr>
        <w:sdtContent/>
      </w:sdt>
      <w:r>
        <w:t>CHARGE</w:t>
      </w:r>
    </w:p>
    <w:p w14:paraId="605BD36C" w14:textId="77777777" w:rsidR="00B24E4B" w:rsidRDefault="00B24E4B" w:rsidP="00B24E4B">
      <w:pPr>
        <w:spacing w:line="276" w:lineRule="auto"/>
      </w:pPr>
      <w:r>
        <w:t xml:space="preserve">La démarche diagnostique ne doit pas retarder la </w:t>
      </w:r>
      <w:r>
        <w:rPr>
          <w:u w:val="single"/>
        </w:rPr>
        <w:t>prise en charge thérapeutique</w:t>
      </w:r>
      <w:r>
        <w:t xml:space="preserve"> qui associe :</w:t>
      </w:r>
    </w:p>
    <w:p w14:paraId="3DCAC6B4" w14:textId="77777777" w:rsidR="00B24E4B" w:rsidRDefault="00B24E4B" w:rsidP="00B24E4B">
      <w:pPr>
        <w:spacing w:line="276" w:lineRule="auto"/>
      </w:pPr>
      <w:r>
        <w:t>- Transfert en réanimation si détresse respiratoire.</w:t>
      </w:r>
    </w:p>
    <w:p w14:paraId="2735B385" w14:textId="77777777" w:rsidR="00B24E4B" w:rsidRDefault="00B24E4B" w:rsidP="00B24E4B">
      <w:pPr>
        <w:spacing w:line="276" w:lineRule="auto"/>
      </w:pPr>
      <w:r>
        <w:t>- O</w:t>
      </w:r>
      <w:r>
        <w:rPr>
          <w:vertAlign w:val="subscript"/>
        </w:rPr>
        <w:t>2</w:t>
      </w:r>
      <w:r>
        <w:t xml:space="preserve"> à haut débit +/- assistance ventilatoire.</w:t>
      </w:r>
    </w:p>
    <w:p w14:paraId="5234BDC5" w14:textId="77777777" w:rsidR="00B24E4B" w:rsidRDefault="00B24E4B" w:rsidP="00B24E4B">
      <w:pPr>
        <w:spacing w:line="276" w:lineRule="auto"/>
      </w:pPr>
      <w:r>
        <w:t xml:space="preserve">- En présence de </w:t>
      </w:r>
      <w:r>
        <w:rPr>
          <w:b/>
          <w:bCs/>
        </w:rPr>
        <w:t>fièvre</w:t>
      </w:r>
      <w:r>
        <w:t xml:space="preserve">, un </w:t>
      </w:r>
      <w:r>
        <w:rPr>
          <w:b/>
          <w:bCs/>
        </w:rPr>
        <w:t>traitement anti-infectieux probabiliste</w:t>
      </w:r>
      <w:r>
        <w:t xml:space="preserve"> à large spectre, couvrant :</w:t>
      </w:r>
    </w:p>
    <w:p w14:paraId="4C612135" w14:textId="77777777" w:rsidR="00B24E4B" w:rsidRDefault="00B24E4B">
      <w:pPr>
        <w:numPr>
          <w:ilvl w:val="0"/>
          <w:numId w:val="11"/>
        </w:numPr>
        <w:spacing w:line="276" w:lineRule="auto"/>
        <w:ind w:left="284" w:hanging="142"/>
      </w:pPr>
      <w:r>
        <w:t>Le pneumocoque et les agents intracellulaires (type PAC grave).</w:t>
      </w:r>
    </w:p>
    <w:p w14:paraId="4543C4A5" w14:textId="77777777" w:rsidR="00B24E4B" w:rsidRDefault="00B24E4B">
      <w:pPr>
        <w:numPr>
          <w:ilvl w:val="0"/>
          <w:numId w:val="11"/>
        </w:numPr>
        <w:spacing w:line="276" w:lineRule="auto"/>
        <w:ind w:left="284" w:hanging="142"/>
      </w:pPr>
      <w:r>
        <w:rPr>
          <w:i/>
          <w:iCs/>
        </w:rPr>
        <w:t>P. jiroveci</w:t>
      </w:r>
      <w:r>
        <w:t xml:space="preserve"> (pneumocystose) si le contexte d’immunosuppression et l’imagerie sont compatibles.</w:t>
      </w:r>
    </w:p>
    <w:p w14:paraId="53DBD857" w14:textId="77777777" w:rsidR="00B24E4B" w:rsidRDefault="00B24E4B">
      <w:pPr>
        <w:numPr>
          <w:ilvl w:val="0"/>
          <w:numId w:val="11"/>
        </w:numPr>
        <w:spacing w:line="276" w:lineRule="auto"/>
        <w:ind w:left="284" w:hanging="142"/>
      </w:pPr>
      <w:r>
        <w:rPr>
          <w:i/>
          <w:iCs/>
        </w:rPr>
        <w:t xml:space="preserve">M. </w:t>
      </w:r>
      <w:proofErr w:type="spellStart"/>
      <w:r>
        <w:rPr>
          <w:i/>
          <w:iCs/>
        </w:rPr>
        <w:t>tuberculosis</w:t>
      </w:r>
      <w:proofErr w:type="spellEnd"/>
      <w:r>
        <w:rPr>
          <w:i/>
          <w:iCs/>
        </w:rPr>
        <w:t>, en fonction de l’existence de facteurs de risque,</w:t>
      </w:r>
      <w:r>
        <w:t xml:space="preserve"> si l’imagerie est évocatrice de miliaire et si la sévérité du tableau ne permet pas d’attendre une preuve bactériologique.</w:t>
      </w:r>
    </w:p>
    <w:p w14:paraId="340758C0" w14:textId="77777777" w:rsidR="00B24E4B" w:rsidRDefault="00B24E4B" w:rsidP="00B24E4B">
      <w:pPr>
        <w:spacing w:line="276" w:lineRule="auto"/>
      </w:pPr>
      <w:r>
        <w:t>- Diurétiques si doute sur une insuffisance cardiaque.</w:t>
      </w:r>
    </w:p>
    <w:p w14:paraId="18E47ABF" w14:textId="77777777" w:rsidR="00B24E4B" w:rsidRDefault="00B24E4B" w:rsidP="00B24E4B">
      <w:pPr>
        <w:spacing w:line="276" w:lineRule="auto"/>
      </w:pPr>
      <w:r>
        <w:rPr>
          <w:b/>
          <w:bCs/>
        </w:rPr>
        <w:t xml:space="preserve">- Arrêt immédiat de tout médicament potentiellement </w:t>
      </w:r>
      <w:proofErr w:type="spellStart"/>
      <w:r>
        <w:rPr>
          <w:b/>
          <w:bCs/>
        </w:rPr>
        <w:t>pneumotoxique</w:t>
      </w:r>
      <w:proofErr w:type="spellEnd"/>
      <w:r>
        <w:t xml:space="preserve"> (cf. </w:t>
      </w:r>
      <w:hyperlink r:id="rId15">
        <w:r>
          <w:rPr>
            <w:color w:val="0000FF"/>
            <w:u w:val="single"/>
          </w:rPr>
          <w:t>www.pneumotox.com</w:t>
        </w:r>
      </w:hyperlink>
      <w:r>
        <w:t>).</w:t>
      </w:r>
    </w:p>
    <w:p w14:paraId="10459F52" w14:textId="77777777" w:rsidR="00B24E4B" w:rsidRDefault="00B24E4B" w:rsidP="00B24E4B">
      <w:pPr>
        <w:pBdr>
          <w:top w:val="nil"/>
          <w:left w:val="nil"/>
          <w:bottom w:val="nil"/>
          <w:right w:val="nil"/>
          <w:between w:val="nil"/>
        </w:pBdr>
        <w:spacing w:line="276" w:lineRule="auto"/>
        <w:rPr>
          <w:b/>
          <w:bCs/>
        </w:rPr>
      </w:pPr>
    </w:p>
    <w:p w14:paraId="59FDCD87" w14:textId="01C0ABEF" w:rsidR="00B24E4B" w:rsidRDefault="00B24E4B" w:rsidP="00D02748">
      <w:pPr>
        <w:pStyle w:val="titredepartie"/>
        <w:spacing w:after="0"/>
      </w:pPr>
      <w:r>
        <w:t>ETAPE 2.2 : STRATEGIE diagnostique devant une PID sub-aigues/</w:t>
      </w:r>
      <w:r w:rsidR="00D02748">
        <w:br/>
      </w:r>
      <w:r>
        <w:t>chroniques</w:t>
      </w:r>
    </w:p>
    <w:p w14:paraId="235C9CB8" w14:textId="77777777" w:rsidR="00D02748" w:rsidRDefault="00D02748" w:rsidP="00D02748">
      <w:pPr>
        <w:pStyle w:val="lgende"/>
      </w:pPr>
    </w:p>
    <w:p w14:paraId="78C28B7B" w14:textId="486D477F" w:rsidR="00B24E4B" w:rsidRDefault="00B24E4B" w:rsidP="00D02748">
      <w:pPr>
        <w:pStyle w:val="lgende"/>
      </w:pPr>
      <w:r>
        <w:t xml:space="preserve">Tableau 2 : Les 10 causes principales des PID subaiguës ou </w:t>
      </w:r>
      <w:sdt>
        <w:sdtPr>
          <w:tag w:val="goog_rdk_2"/>
          <w:id w:val="-1804001437"/>
        </w:sdtPr>
        <w:sdtContent/>
      </w:sdt>
      <w:r>
        <w:t>chroniques.</w:t>
      </w:r>
    </w:p>
    <w:tbl>
      <w:tblPr>
        <w:tblpPr w:leftFromText="141" w:rightFromText="141" w:vertAnchor="text" w:tblpX="72" w:tblpY="4"/>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000" w:firstRow="0" w:lastRow="0" w:firstColumn="0" w:lastColumn="0" w:noHBand="0" w:noVBand="0"/>
      </w:tblPr>
      <w:tblGrid>
        <w:gridCol w:w="4644"/>
        <w:gridCol w:w="4423"/>
      </w:tblGrid>
      <w:tr w:rsidR="00B24E4B" w14:paraId="50944A44" w14:textId="77777777" w:rsidTr="00D02748">
        <w:tc>
          <w:tcPr>
            <w:tcW w:w="4644" w:type="dxa"/>
            <w:shd w:val="clear" w:color="auto" w:fill="D1D1D1" w:themeFill="background2" w:themeFillShade="E6"/>
          </w:tcPr>
          <w:p w14:paraId="5A6DECE9" w14:textId="77777777" w:rsidR="00B24E4B" w:rsidRPr="00D02748" w:rsidRDefault="00B24E4B" w:rsidP="0094705B">
            <w:pPr>
              <w:jc w:val="center"/>
              <w:rPr>
                <w:rFonts w:ascii="Calibri" w:eastAsia="Calibri" w:hAnsi="Calibri" w:cs="Calibri"/>
                <w:b/>
                <w:bCs/>
                <w:color w:val="000000" w:themeColor="text1"/>
              </w:rPr>
            </w:pPr>
            <w:r w:rsidRPr="00D02748">
              <w:rPr>
                <w:rFonts w:ascii="Calibri" w:eastAsia="Calibri" w:hAnsi="Calibri" w:cs="Calibri"/>
                <w:b/>
                <w:bCs/>
                <w:color w:val="000000" w:themeColor="text1"/>
              </w:rPr>
              <w:t>Cause connue* (35 %)</w:t>
            </w:r>
          </w:p>
        </w:tc>
        <w:tc>
          <w:tcPr>
            <w:tcW w:w="4423" w:type="dxa"/>
            <w:shd w:val="clear" w:color="auto" w:fill="D1D1D1" w:themeFill="background2" w:themeFillShade="E6"/>
          </w:tcPr>
          <w:p w14:paraId="462690F8" w14:textId="77777777" w:rsidR="00B24E4B" w:rsidRPr="00D02748" w:rsidRDefault="00B24E4B" w:rsidP="00D02748">
            <w:pPr>
              <w:pStyle w:val="Titre5"/>
              <w:numPr>
                <w:ilvl w:val="0"/>
                <w:numId w:val="0"/>
              </w:numPr>
              <w:spacing w:after="0" w:line="240" w:lineRule="auto"/>
              <w:ind w:left="1985" w:hanging="905"/>
              <w:rPr>
                <w:rFonts w:ascii="Calibri" w:eastAsia="Calibri" w:hAnsi="Calibri" w:cs="Calibri"/>
                <w:color w:val="000000" w:themeColor="text1"/>
              </w:rPr>
            </w:pPr>
            <w:r w:rsidRPr="00D02748">
              <w:rPr>
                <w:rFonts w:ascii="Calibri" w:eastAsia="Calibri" w:hAnsi="Calibri" w:cs="Calibri"/>
                <w:color w:val="000000" w:themeColor="text1"/>
              </w:rPr>
              <w:t>Cause inconnue* (65 %)</w:t>
            </w:r>
          </w:p>
        </w:tc>
      </w:tr>
      <w:tr w:rsidR="00B24E4B" w14:paraId="0404C667" w14:textId="77777777" w:rsidTr="00D02748">
        <w:trPr>
          <w:trHeight w:val="6243"/>
        </w:trPr>
        <w:tc>
          <w:tcPr>
            <w:tcW w:w="4644" w:type="dxa"/>
            <w:vAlign w:val="center"/>
          </w:tcPr>
          <w:p w14:paraId="63F1FA2D"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lastRenderedPageBreak/>
              <w:t>PID au cours des connectivites</w:t>
            </w:r>
          </w:p>
          <w:p w14:paraId="55178AA1"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Polyarthrite rhumatoïde et maladie de Sjögren sont les deux plus fréquentes</w:t>
            </w:r>
          </w:p>
          <w:p w14:paraId="032E2D1E"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Sclérodermie</w:t>
            </w:r>
          </w:p>
          <w:p w14:paraId="1D857739"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Myosites </w:t>
            </w:r>
          </w:p>
          <w:p w14:paraId="243B7657" w14:textId="77777777" w:rsidR="00B24E4B" w:rsidRDefault="00B24E4B" w:rsidP="0094705B">
            <w:pPr>
              <w:spacing w:line="240" w:lineRule="auto"/>
              <w:jc w:val="left"/>
              <w:rPr>
                <w:rFonts w:ascii="Calibri" w:eastAsia="Calibri" w:hAnsi="Calibri" w:cs="Calibri"/>
              </w:rPr>
            </w:pPr>
          </w:p>
          <w:p w14:paraId="1837ADAB"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t>Pneumopathies d’hypersensibilité (PHS</w:t>
            </w:r>
            <w:r>
              <w:rPr>
                <w:rFonts w:ascii="Calibri" w:eastAsia="Calibri" w:hAnsi="Calibri" w:cs="Calibri"/>
              </w:rPr>
              <w:t>)</w:t>
            </w:r>
          </w:p>
          <w:p w14:paraId="2B0E263B"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Poumon d’éleveur d’oiseaux</w:t>
            </w:r>
          </w:p>
          <w:p w14:paraId="58DD663F"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Poumon de fermier</w:t>
            </w:r>
          </w:p>
          <w:p w14:paraId="40A85D4C"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PHS domestiques</w:t>
            </w:r>
          </w:p>
          <w:p w14:paraId="1610015B" w14:textId="77777777" w:rsidR="00B24E4B" w:rsidRDefault="00B24E4B" w:rsidP="0094705B">
            <w:pPr>
              <w:spacing w:line="240" w:lineRule="auto"/>
              <w:jc w:val="left"/>
              <w:rPr>
                <w:rFonts w:ascii="Calibri" w:eastAsia="Calibri" w:hAnsi="Calibri" w:cs="Calibri"/>
              </w:rPr>
            </w:pPr>
          </w:p>
          <w:p w14:paraId="7F10C43D"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t>Pneumopathies médicamenteuses</w:t>
            </w:r>
          </w:p>
          <w:p w14:paraId="4145639A" w14:textId="77777777" w:rsidR="00B24E4B" w:rsidRDefault="00B24E4B" w:rsidP="0094705B">
            <w:pPr>
              <w:spacing w:line="240" w:lineRule="auto"/>
              <w:jc w:val="left"/>
              <w:rPr>
                <w:rFonts w:ascii="Calibri" w:eastAsia="Calibri" w:hAnsi="Calibri" w:cs="Calibri"/>
                <w:u w:val="single"/>
              </w:rPr>
            </w:pPr>
          </w:p>
          <w:p w14:paraId="1E0AE623"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t>Proliférations malignes</w:t>
            </w:r>
          </w:p>
          <w:p w14:paraId="232B825E"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w:t>
            </w:r>
            <w:r>
              <w:rPr>
                <w:rFonts w:ascii="Calibri" w:eastAsia="Calibri" w:hAnsi="Calibri" w:cs="Calibri"/>
                <w:u w:val="single"/>
              </w:rPr>
              <w:t>Lymphangite carcinomateuse</w:t>
            </w:r>
          </w:p>
          <w:p w14:paraId="573505B9"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Adénocarcinomes </w:t>
            </w:r>
            <w:proofErr w:type="spellStart"/>
            <w:r>
              <w:rPr>
                <w:rFonts w:ascii="Calibri" w:eastAsia="Calibri" w:hAnsi="Calibri" w:cs="Calibri"/>
              </w:rPr>
              <w:t>lépidiques</w:t>
            </w:r>
            <w:proofErr w:type="spellEnd"/>
          </w:p>
          <w:p w14:paraId="28295F2D" w14:textId="77777777" w:rsidR="00B24E4B" w:rsidRDefault="00B24E4B" w:rsidP="0094705B">
            <w:pPr>
              <w:spacing w:line="240" w:lineRule="auto"/>
              <w:jc w:val="left"/>
              <w:rPr>
                <w:rFonts w:ascii="Calibri" w:eastAsia="Calibri" w:hAnsi="Calibri" w:cs="Calibri"/>
              </w:rPr>
            </w:pPr>
          </w:p>
          <w:p w14:paraId="56351A70"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rPr>
            </w:pPr>
            <w:r>
              <w:rPr>
                <w:rFonts w:ascii="Calibri" w:eastAsia="Calibri" w:hAnsi="Calibri" w:cs="Calibri"/>
              </w:rPr>
              <w:t>Pneumoconioses</w:t>
            </w:r>
          </w:p>
          <w:p w14:paraId="4E441367"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Silicose </w:t>
            </w:r>
          </w:p>
          <w:p w14:paraId="24A932A8"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Asbestose</w:t>
            </w:r>
          </w:p>
          <w:p w14:paraId="0A092183" w14:textId="77777777" w:rsidR="00B24E4B" w:rsidRDefault="00B24E4B" w:rsidP="0094705B">
            <w:pPr>
              <w:spacing w:line="240" w:lineRule="auto"/>
              <w:jc w:val="left"/>
              <w:rPr>
                <w:rFonts w:ascii="Calibri" w:eastAsia="Calibri" w:hAnsi="Calibri" w:cs="Calibri"/>
              </w:rPr>
            </w:pPr>
          </w:p>
          <w:p w14:paraId="1B576733"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rPr>
            </w:pPr>
            <w:r>
              <w:rPr>
                <w:rFonts w:ascii="Calibri" w:eastAsia="Calibri" w:hAnsi="Calibri" w:cs="Calibri"/>
              </w:rPr>
              <w:t>Infection</w:t>
            </w:r>
          </w:p>
          <w:p w14:paraId="031EC362"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Tuberculose</w:t>
            </w:r>
          </w:p>
          <w:p w14:paraId="4E3A2E63" w14:textId="77777777" w:rsidR="00B24E4B" w:rsidRDefault="00B24E4B" w:rsidP="0094705B">
            <w:pPr>
              <w:spacing w:line="240" w:lineRule="auto"/>
              <w:jc w:val="left"/>
              <w:rPr>
                <w:rFonts w:ascii="Calibri" w:eastAsia="Calibri" w:hAnsi="Calibri" w:cs="Calibri"/>
              </w:rPr>
            </w:pPr>
          </w:p>
          <w:p w14:paraId="2912771E"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t>Insuffisance cardiaque gauche</w:t>
            </w:r>
          </w:p>
        </w:tc>
        <w:tc>
          <w:tcPr>
            <w:tcW w:w="4423" w:type="dxa"/>
            <w:vAlign w:val="center"/>
          </w:tcPr>
          <w:p w14:paraId="44707AA3"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u w:val="single"/>
              </w:rPr>
            </w:pPr>
            <w:r>
              <w:rPr>
                <w:rFonts w:ascii="Calibri" w:eastAsia="Calibri" w:hAnsi="Calibri" w:cs="Calibri"/>
                <w:u w:val="single"/>
              </w:rPr>
              <w:t>Sarcoïdose</w:t>
            </w:r>
          </w:p>
          <w:p w14:paraId="2A1D96A8" w14:textId="77777777" w:rsidR="00B24E4B" w:rsidRDefault="00B24E4B" w:rsidP="0094705B">
            <w:pPr>
              <w:pBdr>
                <w:top w:val="nil"/>
                <w:left w:val="nil"/>
                <w:bottom w:val="nil"/>
                <w:right w:val="nil"/>
                <w:between w:val="nil"/>
              </w:pBdr>
              <w:ind w:left="720"/>
              <w:jc w:val="left"/>
              <w:rPr>
                <w:rFonts w:ascii="Calibri" w:eastAsia="Calibri" w:hAnsi="Calibri" w:cs="Calibri"/>
              </w:rPr>
            </w:pPr>
          </w:p>
          <w:p w14:paraId="4C2983E5"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rPr>
            </w:pPr>
            <w:r>
              <w:rPr>
                <w:rFonts w:ascii="Calibri" w:eastAsia="Calibri" w:hAnsi="Calibri" w:cs="Calibri"/>
              </w:rPr>
              <w:t>PID idiopathiques (PID-i)</w:t>
            </w:r>
          </w:p>
          <w:p w14:paraId="6FB5D25D"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w:t>
            </w:r>
            <w:r>
              <w:rPr>
                <w:rFonts w:ascii="Calibri" w:eastAsia="Calibri" w:hAnsi="Calibri" w:cs="Calibri"/>
                <w:u w:val="single"/>
              </w:rPr>
              <w:t>Fibrose pulmonaire idiopathique</w:t>
            </w:r>
            <w:r>
              <w:rPr>
                <w:rFonts w:ascii="Calibri" w:eastAsia="Calibri" w:hAnsi="Calibri" w:cs="Calibri"/>
              </w:rPr>
              <w:t xml:space="preserve"> (FPI) = 55 % des PID-i</w:t>
            </w:r>
          </w:p>
          <w:p w14:paraId="2D542263"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Pneumopathie interstitielle non spécifique (PINS) = 10 % des PID-i</w:t>
            </w:r>
          </w:p>
          <w:p w14:paraId="0FB7F953"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Pneumopathie organisée cryptogénique (POC)</w:t>
            </w:r>
          </w:p>
          <w:p w14:paraId="1FE491F6"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Pneumopathie à macrophages alvéolaires</w:t>
            </w:r>
          </w:p>
          <w:p w14:paraId="1EC055AC"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PID inclassables</w:t>
            </w:r>
          </w:p>
          <w:p w14:paraId="53A37004"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Autres</w:t>
            </w:r>
          </w:p>
          <w:p w14:paraId="400D1CB3" w14:textId="77777777" w:rsidR="00B24E4B" w:rsidRDefault="00B24E4B" w:rsidP="0094705B">
            <w:pPr>
              <w:jc w:val="left"/>
              <w:rPr>
                <w:rFonts w:ascii="Calibri" w:eastAsia="Calibri" w:hAnsi="Calibri" w:cs="Calibri"/>
              </w:rPr>
            </w:pPr>
          </w:p>
          <w:p w14:paraId="5212D14C" w14:textId="77777777" w:rsidR="00B24E4B" w:rsidRDefault="00B24E4B">
            <w:pPr>
              <w:numPr>
                <w:ilvl w:val="0"/>
                <w:numId w:val="18"/>
              </w:numPr>
              <w:pBdr>
                <w:top w:val="nil"/>
                <w:left w:val="nil"/>
                <w:bottom w:val="nil"/>
                <w:right w:val="nil"/>
                <w:between w:val="nil"/>
              </w:pBdr>
              <w:spacing w:line="240" w:lineRule="auto"/>
              <w:jc w:val="left"/>
              <w:rPr>
                <w:rFonts w:ascii="Calibri" w:eastAsia="Calibri" w:hAnsi="Calibri" w:cs="Calibri"/>
              </w:rPr>
            </w:pPr>
            <w:r>
              <w:rPr>
                <w:rFonts w:ascii="Calibri" w:eastAsia="Calibri" w:hAnsi="Calibri" w:cs="Calibri"/>
              </w:rPr>
              <w:t>Autres entités bien définies</w:t>
            </w:r>
          </w:p>
          <w:p w14:paraId="36F43B62"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Histiocytose </w:t>
            </w:r>
            <w:proofErr w:type="spellStart"/>
            <w:r>
              <w:rPr>
                <w:rFonts w:ascii="Calibri" w:eastAsia="Calibri" w:hAnsi="Calibri" w:cs="Calibri"/>
              </w:rPr>
              <w:t>langerhansienne</w:t>
            </w:r>
            <w:proofErr w:type="spellEnd"/>
            <w:r>
              <w:rPr>
                <w:rFonts w:ascii="Calibri" w:eastAsia="Calibri" w:hAnsi="Calibri" w:cs="Calibri"/>
              </w:rPr>
              <w:t xml:space="preserve"> pulmonaire</w:t>
            </w:r>
          </w:p>
          <w:p w14:paraId="5296F239"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Lymphangioléiomyomatose</w:t>
            </w:r>
            <w:proofErr w:type="spellEnd"/>
          </w:p>
          <w:p w14:paraId="03D74376"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xml:space="preserve">- </w:t>
            </w:r>
            <w:proofErr w:type="spellStart"/>
            <w:r>
              <w:rPr>
                <w:rFonts w:ascii="Calibri" w:eastAsia="Calibri" w:hAnsi="Calibri" w:cs="Calibri"/>
              </w:rPr>
              <w:t>Protéinoses</w:t>
            </w:r>
            <w:proofErr w:type="spellEnd"/>
            <w:r>
              <w:rPr>
                <w:rFonts w:ascii="Calibri" w:eastAsia="Calibri" w:hAnsi="Calibri" w:cs="Calibri"/>
              </w:rPr>
              <w:t xml:space="preserve"> alvéolaires pulmonaires</w:t>
            </w:r>
          </w:p>
          <w:p w14:paraId="7443B5AB" w14:textId="77777777" w:rsidR="00B24E4B" w:rsidRDefault="00B24E4B" w:rsidP="0094705B">
            <w:pPr>
              <w:spacing w:line="240" w:lineRule="auto"/>
              <w:jc w:val="left"/>
              <w:rPr>
                <w:rFonts w:ascii="Calibri" w:eastAsia="Calibri" w:hAnsi="Calibri" w:cs="Calibri"/>
              </w:rPr>
            </w:pPr>
            <w:r>
              <w:rPr>
                <w:rFonts w:ascii="Calibri" w:eastAsia="Calibri" w:hAnsi="Calibri" w:cs="Calibri"/>
              </w:rPr>
              <w:t>- Autres</w:t>
            </w:r>
          </w:p>
          <w:p w14:paraId="649D5CFA" w14:textId="77777777" w:rsidR="00B24E4B" w:rsidRDefault="00B24E4B" w:rsidP="0094705B">
            <w:pPr>
              <w:jc w:val="left"/>
              <w:rPr>
                <w:rFonts w:ascii="Calibri" w:eastAsia="Calibri" w:hAnsi="Calibri" w:cs="Calibri"/>
              </w:rPr>
            </w:pPr>
          </w:p>
        </w:tc>
      </w:tr>
    </w:tbl>
    <w:p w14:paraId="463C2041" w14:textId="77777777" w:rsidR="00B24E4B" w:rsidRDefault="00B24E4B" w:rsidP="00B24E4B">
      <w:pPr>
        <w:pBdr>
          <w:top w:val="nil"/>
          <w:left w:val="nil"/>
          <w:bottom w:val="nil"/>
          <w:right w:val="nil"/>
          <w:between w:val="nil"/>
        </w:pBdr>
        <w:spacing w:line="276" w:lineRule="auto"/>
      </w:pPr>
      <w:r>
        <w:rPr>
          <w:rFonts w:ascii="Arial" w:eastAsia="Arial" w:hAnsi="Arial" w:cs="Arial"/>
          <w:sz w:val="18"/>
          <w:szCs w:val="18"/>
        </w:rPr>
        <w:t xml:space="preserve">(*sans classement de fréquence vu la variabilité selon le contexte, mais les diagnostics les plus fréquents sont </w:t>
      </w:r>
      <w:r>
        <w:rPr>
          <w:rFonts w:ascii="Arial" w:eastAsia="Arial" w:hAnsi="Arial" w:cs="Arial"/>
          <w:sz w:val="18"/>
          <w:szCs w:val="18"/>
          <w:u w:val="single"/>
        </w:rPr>
        <w:t>soulignés)</w:t>
      </w:r>
    </w:p>
    <w:p w14:paraId="0BAE385B" w14:textId="77777777" w:rsidR="00B24E4B" w:rsidRDefault="00B24E4B" w:rsidP="00B24E4B">
      <w:pPr>
        <w:pBdr>
          <w:top w:val="nil"/>
          <w:left w:val="nil"/>
          <w:bottom w:val="nil"/>
          <w:right w:val="nil"/>
          <w:between w:val="nil"/>
        </w:pBdr>
        <w:spacing w:line="276" w:lineRule="auto"/>
        <w:rPr>
          <w:b/>
          <w:bCs/>
        </w:rPr>
      </w:pPr>
    </w:p>
    <w:p w14:paraId="35B4AD43" w14:textId="77777777" w:rsidR="00B24E4B" w:rsidRDefault="00B24E4B" w:rsidP="00D02748">
      <w:pPr>
        <w:pStyle w:val="titredesous-partie"/>
        <w:rPr>
          <w:i/>
          <w:iCs/>
        </w:rPr>
      </w:pPr>
      <w:r>
        <w:rPr>
          <w:shd w:val="clear" w:color="auto" w:fill="auto"/>
        </w:rPr>
        <w:t>MOTIF DE CONSULTATION/PRISE EN CHARGE</w:t>
      </w:r>
      <w:r>
        <w:rPr>
          <w:i/>
          <w:iCs/>
          <w:shd w:val="clear" w:color="auto" w:fill="auto"/>
        </w:rPr>
        <w:t xml:space="preserve"> </w:t>
      </w:r>
    </w:p>
    <w:p w14:paraId="6F67B1A3" w14:textId="77777777" w:rsidR="00B24E4B" w:rsidRDefault="00B24E4B" w:rsidP="00B24E4B">
      <w:pPr>
        <w:pBdr>
          <w:top w:val="nil"/>
          <w:left w:val="nil"/>
          <w:bottom w:val="nil"/>
          <w:right w:val="nil"/>
          <w:between w:val="nil"/>
        </w:pBdr>
        <w:spacing w:line="276" w:lineRule="auto"/>
        <w:rPr>
          <w:b/>
          <w:bCs/>
        </w:rPr>
      </w:pPr>
      <w:r>
        <w:rPr>
          <w:b/>
          <w:bCs/>
        </w:rPr>
        <w:t>Le plus fréquemment dyspnée d’effort, ± toux sèche, non spécifiques, d’apparition progressive</w:t>
      </w:r>
    </w:p>
    <w:p w14:paraId="7816B34C" w14:textId="77777777" w:rsidR="00B24E4B" w:rsidRDefault="00B24E4B" w:rsidP="00B24E4B">
      <w:pPr>
        <w:pBdr>
          <w:top w:val="nil"/>
          <w:left w:val="nil"/>
          <w:bottom w:val="nil"/>
          <w:right w:val="nil"/>
          <w:between w:val="nil"/>
        </w:pBdr>
        <w:spacing w:line="276" w:lineRule="auto"/>
        <w:rPr>
          <w:b/>
          <w:bCs/>
        </w:rPr>
      </w:pPr>
    </w:p>
    <w:p w14:paraId="19E958D5" w14:textId="77777777" w:rsidR="00B24E4B" w:rsidRDefault="00B24E4B" w:rsidP="00B24E4B">
      <w:pPr>
        <w:pBdr>
          <w:top w:val="nil"/>
          <w:left w:val="nil"/>
          <w:bottom w:val="nil"/>
          <w:right w:val="nil"/>
          <w:between w:val="nil"/>
        </w:pBdr>
        <w:spacing w:line="276" w:lineRule="auto"/>
        <w:rPr>
          <w:b/>
          <w:bCs/>
        </w:rPr>
      </w:pPr>
      <w:r>
        <w:rPr>
          <w:b/>
          <w:bCs/>
        </w:rPr>
        <w:t xml:space="preserve">Au cours d’un examen physique/radiologique : </w:t>
      </w:r>
    </w:p>
    <w:p w14:paraId="28019E59" w14:textId="77777777" w:rsidR="00B24E4B" w:rsidRDefault="00B24E4B" w:rsidP="00B24E4B">
      <w:pPr>
        <w:pBdr>
          <w:top w:val="nil"/>
          <w:left w:val="nil"/>
          <w:bottom w:val="nil"/>
          <w:right w:val="nil"/>
          <w:between w:val="nil"/>
        </w:pBdr>
        <w:spacing w:line="276" w:lineRule="auto"/>
        <w:rPr>
          <w:b/>
          <w:bCs/>
        </w:rPr>
      </w:pPr>
      <w:r>
        <w:rPr>
          <w:b/>
          <w:bCs/>
        </w:rPr>
        <w:t>- Râles crépitants secs, de type velcro aux bases.</w:t>
      </w:r>
    </w:p>
    <w:p w14:paraId="6124944C" w14:textId="77777777" w:rsidR="00B24E4B" w:rsidRDefault="00B24E4B" w:rsidP="00B24E4B">
      <w:pPr>
        <w:pBdr>
          <w:top w:val="nil"/>
          <w:left w:val="nil"/>
          <w:bottom w:val="nil"/>
          <w:right w:val="nil"/>
          <w:between w:val="nil"/>
        </w:pBdr>
        <w:spacing w:line="276" w:lineRule="auto"/>
        <w:rPr>
          <w:b/>
          <w:bCs/>
        </w:rPr>
      </w:pPr>
      <w:r>
        <w:rPr>
          <w:b/>
          <w:bCs/>
        </w:rPr>
        <w:t>- Hippocratisme digital : peu spécifique, mais évocateur de FPI.</w:t>
      </w:r>
    </w:p>
    <w:p w14:paraId="535A0AE3" w14:textId="77777777" w:rsidR="00B24E4B" w:rsidRDefault="00B24E4B" w:rsidP="00B24E4B">
      <w:pPr>
        <w:pBdr>
          <w:top w:val="nil"/>
          <w:left w:val="nil"/>
          <w:bottom w:val="nil"/>
          <w:right w:val="nil"/>
          <w:between w:val="nil"/>
        </w:pBdr>
        <w:spacing w:line="276" w:lineRule="auto"/>
        <w:rPr>
          <w:b/>
          <w:bCs/>
        </w:rPr>
      </w:pPr>
      <w:r>
        <w:rPr>
          <w:b/>
          <w:bCs/>
        </w:rPr>
        <w:t>- Découverte fortuite sur une imagerie thoracique.</w:t>
      </w:r>
    </w:p>
    <w:p w14:paraId="40609A28" w14:textId="77777777" w:rsidR="00B24E4B" w:rsidRDefault="00B24E4B" w:rsidP="00B24E4B">
      <w:pPr>
        <w:pBdr>
          <w:top w:val="nil"/>
          <w:left w:val="nil"/>
          <w:bottom w:val="nil"/>
          <w:right w:val="nil"/>
          <w:between w:val="nil"/>
        </w:pBdr>
        <w:spacing w:line="276" w:lineRule="auto"/>
        <w:rPr>
          <w:b/>
          <w:bCs/>
        </w:rPr>
      </w:pPr>
    </w:p>
    <w:p w14:paraId="5506B564" w14:textId="77777777" w:rsidR="00B24E4B" w:rsidRDefault="00B24E4B" w:rsidP="00B24E4B">
      <w:pPr>
        <w:pBdr>
          <w:top w:val="nil"/>
          <w:left w:val="nil"/>
          <w:bottom w:val="nil"/>
          <w:right w:val="nil"/>
          <w:between w:val="nil"/>
        </w:pBdr>
        <w:spacing w:line="276" w:lineRule="auto"/>
        <w:rPr>
          <w:b/>
          <w:bCs/>
        </w:rPr>
      </w:pPr>
      <w:r>
        <w:rPr>
          <w:b/>
          <w:bCs/>
        </w:rPr>
        <w:t>Découverte au cours du bilan d’une autre affection (connectivite en particulier).</w:t>
      </w:r>
    </w:p>
    <w:p w14:paraId="7D699464" w14:textId="77777777" w:rsidR="00B24E4B" w:rsidRDefault="00B24E4B" w:rsidP="00B24E4B">
      <w:pPr>
        <w:pBdr>
          <w:top w:val="nil"/>
          <w:left w:val="nil"/>
          <w:bottom w:val="nil"/>
          <w:right w:val="nil"/>
          <w:between w:val="nil"/>
        </w:pBdr>
        <w:spacing w:line="276" w:lineRule="auto"/>
        <w:rPr>
          <w:b/>
          <w:bCs/>
        </w:rPr>
      </w:pPr>
    </w:p>
    <w:p w14:paraId="566EC314" w14:textId="77777777" w:rsidR="00B24E4B" w:rsidRDefault="00B24E4B" w:rsidP="00B24E4B">
      <w:pPr>
        <w:pBdr>
          <w:top w:val="nil"/>
          <w:left w:val="nil"/>
          <w:bottom w:val="nil"/>
          <w:right w:val="nil"/>
          <w:between w:val="nil"/>
        </w:pBdr>
        <w:spacing w:line="276" w:lineRule="auto"/>
        <w:rPr>
          <w:b/>
          <w:bCs/>
        </w:rPr>
      </w:pPr>
      <w:r>
        <w:rPr>
          <w:b/>
          <w:bCs/>
        </w:rPr>
        <w:t>Rarement détresse respiratoire aiguë (voir tableau 1).</w:t>
      </w:r>
    </w:p>
    <w:p w14:paraId="723EAEC1" w14:textId="77777777" w:rsidR="00B24E4B" w:rsidRDefault="00B24E4B" w:rsidP="00B24E4B">
      <w:pPr>
        <w:spacing w:line="276" w:lineRule="auto"/>
        <w:rPr>
          <w:i/>
          <w:iCs/>
        </w:rPr>
      </w:pPr>
    </w:p>
    <w:p w14:paraId="69C30FCE" w14:textId="77777777" w:rsidR="00B24E4B" w:rsidRDefault="00B24E4B" w:rsidP="00D02748">
      <w:pPr>
        <w:pStyle w:val="titredesous-partie"/>
      </w:pPr>
      <w:r>
        <w:rPr>
          <w:shd w:val="clear" w:color="auto" w:fill="auto"/>
        </w:rPr>
        <w:t>TERRAIN ET ATCD</w:t>
      </w:r>
    </w:p>
    <w:p w14:paraId="7B424F0A" w14:textId="77777777" w:rsidR="00B24E4B" w:rsidRDefault="00B24E4B" w:rsidP="00B24E4B">
      <w:pPr>
        <w:spacing w:line="276" w:lineRule="auto"/>
      </w:pPr>
      <w:r>
        <w:t xml:space="preserve">La présence d’une maladie connue est à primordiale, notamment une </w:t>
      </w:r>
      <w:proofErr w:type="spellStart"/>
      <w:r>
        <w:t>connectivite</w:t>
      </w:r>
      <w:proofErr w:type="spellEnd"/>
      <w:r>
        <w:t>.</w:t>
      </w:r>
    </w:p>
    <w:p w14:paraId="39DF207A" w14:textId="2347AB7D" w:rsidR="00B24E4B" w:rsidRDefault="00B24E4B" w:rsidP="00B24E4B">
      <w:pPr>
        <w:spacing w:line="276" w:lineRule="auto"/>
      </w:pPr>
    </w:p>
    <w:p w14:paraId="3FEDCD40" w14:textId="0F8A8C9E" w:rsidR="00B24E4B" w:rsidRDefault="00D02748" w:rsidP="00B24E4B">
      <w:pPr>
        <w:spacing w:line="276" w:lineRule="auto"/>
        <w:rPr>
          <w:color w:val="0070C0"/>
        </w:rPr>
      </w:pPr>
      <w:r>
        <w:rPr>
          <w:noProof/>
        </w:rPr>
        <w:drawing>
          <wp:anchor distT="0" distB="0" distL="114300" distR="114300" simplePos="0" relativeHeight="251931648" behindDoc="0" locked="0" layoutInCell="1" hidden="0" allowOverlap="1" wp14:anchorId="2E43BB61" wp14:editId="455392BF">
            <wp:simplePos x="0" y="0"/>
            <wp:positionH relativeFrom="column">
              <wp:posOffset>-262418</wp:posOffset>
            </wp:positionH>
            <wp:positionV relativeFrom="paragraph">
              <wp:posOffset>9525</wp:posOffset>
            </wp:positionV>
            <wp:extent cx="153670" cy="137160"/>
            <wp:effectExtent l="0" t="0" r="0" b="0"/>
            <wp:wrapSquare wrapText="bothSides" distT="0" distB="0" distL="114300" distR="114300"/>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B24E4B">
        <w:rPr>
          <w:color w:val="0070C0"/>
        </w:rPr>
        <w:t>Il faudra spécifier :</w:t>
      </w:r>
    </w:p>
    <w:p w14:paraId="20E7DD6E" w14:textId="77777777" w:rsidR="00B24E4B" w:rsidRDefault="00B24E4B" w:rsidP="00B24E4B">
      <w:pPr>
        <w:spacing w:line="276" w:lineRule="auto"/>
        <w:rPr>
          <w:color w:val="0070C0"/>
        </w:rPr>
      </w:pPr>
      <w:r>
        <w:rPr>
          <w:color w:val="0070C0"/>
        </w:rPr>
        <w:t>- Terrain (âge, sexe) constitue un élément d’orientation essentiel.</w:t>
      </w:r>
    </w:p>
    <w:p w14:paraId="7A267BE1" w14:textId="77777777" w:rsidR="00B24E4B" w:rsidRDefault="00B24E4B" w:rsidP="00B24E4B">
      <w:pPr>
        <w:spacing w:line="276" w:lineRule="auto"/>
        <w:rPr>
          <w:color w:val="0070C0"/>
        </w:rPr>
      </w:pPr>
      <w:r>
        <w:rPr>
          <w:color w:val="0070C0"/>
        </w:rPr>
        <w:lastRenderedPageBreak/>
        <w:t>- Tabagisme : certaines PID s’observent presque exclusivement chez les fumeurs.</w:t>
      </w:r>
    </w:p>
    <w:p w14:paraId="316B6C69" w14:textId="77777777" w:rsidR="00B24E4B" w:rsidRDefault="00B24E4B" w:rsidP="00B24E4B">
      <w:pPr>
        <w:spacing w:line="276" w:lineRule="auto"/>
        <w:rPr>
          <w:color w:val="0070C0"/>
        </w:rPr>
      </w:pPr>
      <w:r>
        <w:rPr>
          <w:color w:val="0070C0"/>
        </w:rPr>
        <w:t>- Toxicomanie :</w:t>
      </w:r>
    </w:p>
    <w:p w14:paraId="012AD3C9" w14:textId="77777777" w:rsidR="00B24E4B" w:rsidRDefault="00B24E4B">
      <w:pPr>
        <w:numPr>
          <w:ilvl w:val="0"/>
          <w:numId w:val="12"/>
        </w:numPr>
        <w:spacing w:line="276" w:lineRule="auto"/>
        <w:ind w:left="284" w:hanging="142"/>
        <w:rPr>
          <w:color w:val="0070C0"/>
        </w:rPr>
      </w:pPr>
      <w:r>
        <w:rPr>
          <w:color w:val="0070C0"/>
        </w:rPr>
        <w:t>Quelle que soit la voie d’administration, les drogues ou leurs produits de coupe peuvent induire des PID aiguës ou chroniques</w:t>
      </w:r>
    </w:p>
    <w:p w14:paraId="630B7F1D" w14:textId="77777777" w:rsidR="00B24E4B" w:rsidRDefault="00B24E4B" w:rsidP="00B24E4B">
      <w:pPr>
        <w:spacing w:line="276" w:lineRule="auto"/>
        <w:rPr>
          <w:color w:val="0070C0"/>
        </w:rPr>
      </w:pPr>
      <w:r>
        <w:rPr>
          <w:color w:val="0070C0"/>
        </w:rPr>
        <w:t>- Médicaments/radiothérapie (l’histoire détaillée des prises médicamenteuses est indispensable) :</w:t>
      </w:r>
    </w:p>
    <w:p w14:paraId="4B18651C" w14:textId="77777777" w:rsidR="00B24E4B" w:rsidRDefault="00B24E4B">
      <w:pPr>
        <w:numPr>
          <w:ilvl w:val="0"/>
          <w:numId w:val="12"/>
        </w:numPr>
        <w:spacing w:line="276" w:lineRule="auto"/>
        <w:ind w:left="284" w:hanging="142"/>
        <w:rPr>
          <w:color w:val="0070C0"/>
        </w:rPr>
      </w:pPr>
      <w:r>
        <w:rPr>
          <w:color w:val="0070C0"/>
        </w:rPr>
        <w:t xml:space="preserve">Le site </w:t>
      </w:r>
      <w:hyperlink r:id="rId16">
        <w:r>
          <w:rPr>
            <w:color w:val="0070C0"/>
          </w:rPr>
          <w:t>www.pneumotox.com</w:t>
        </w:r>
      </w:hyperlink>
      <w:r>
        <w:rPr>
          <w:color w:val="0070C0"/>
        </w:rPr>
        <w:t xml:space="preserve"> permet d’accéder aux informations actualisées :</w:t>
      </w:r>
    </w:p>
    <w:p w14:paraId="01EBC5DB" w14:textId="77777777" w:rsidR="00B24E4B" w:rsidRDefault="00B24E4B">
      <w:pPr>
        <w:numPr>
          <w:ilvl w:val="0"/>
          <w:numId w:val="13"/>
        </w:numPr>
        <w:spacing w:line="276" w:lineRule="auto"/>
        <w:ind w:left="567" w:hanging="283"/>
        <w:rPr>
          <w:color w:val="0070C0"/>
        </w:rPr>
      </w:pPr>
      <w:r>
        <w:rPr>
          <w:color w:val="0070C0"/>
        </w:rPr>
        <w:t>Les médicaments dont la prise est ancienne peuvent aussi être incriminés.</w:t>
      </w:r>
    </w:p>
    <w:p w14:paraId="4D121E80" w14:textId="77777777" w:rsidR="00B24E4B" w:rsidRDefault="00B24E4B" w:rsidP="00B24E4B">
      <w:pPr>
        <w:spacing w:line="276" w:lineRule="auto"/>
        <w:rPr>
          <w:color w:val="0070C0"/>
        </w:rPr>
      </w:pPr>
      <w:r>
        <w:rPr>
          <w:color w:val="0070C0"/>
        </w:rPr>
        <w:t>- Expositions environnementales professionnelles et domestiques</w:t>
      </w:r>
    </w:p>
    <w:p w14:paraId="4B28FA54" w14:textId="77777777" w:rsidR="00B24E4B" w:rsidRDefault="00B24E4B">
      <w:pPr>
        <w:numPr>
          <w:ilvl w:val="0"/>
          <w:numId w:val="12"/>
        </w:numPr>
        <w:spacing w:line="276" w:lineRule="auto"/>
        <w:ind w:left="284" w:hanging="142"/>
        <w:rPr>
          <w:color w:val="0070C0"/>
        </w:rPr>
      </w:pPr>
      <w:r>
        <w:rPr>
          <w:color w:val="0070C0"/>
        </w:rPr>
        <w:t>Aux principaux agents responsables de pneumoconioses : amiante, silice, expositions professionnelles complexes (prothésistes dentaires).</w:t>
      </w:r>
    </w:p>
    <w:p w14:paraId="7E185396" w14:textId="77777777" w:rsidR="00B24E4B" w:rsidRDefault="00B24E4B">
      <w:pPr>
        <w:numPr>
          <w:ilvl w:val="0"/>
          <w:numId w:val="12"/>
        </w:numPr>
        <w:spacing w:line="276" w:lineRule="auto"/>
        <w:ind w:left="284" w:hanging="142"/>
        <w:rPr>
          <w:color w:val="0070C0"/>
        </w:rPr>
      </w:pPr>
      <w:r>
        <w:rPr>
          <w:color w:val="0070C0"/>
        </w:rPr>
        <w:t>À des antigènes organiques susceptibles d’entraîner une PHS d’origine :</w:t>
      </w:r>
    </w:p>
    <w:p w14:paraId="064B90FD" w14:textId="77777777" w:rsidR="00B24E4B" w:rsidRDefault="00B24E4B">
      <w:pPr>
        <w:numPr>
          <w:ilvl w:val="0"/>
          <w:numId w:val="13"/>
        </w:numPr>
        <w:spacing w:line="276" w:lineRule="auto"/>
        <w:ind w:left="567" w:hanging="283"/>
        <w:rPr>
          <w:color w:val="0070C0"/>
        </w:rPr>
      </w:pPr>
      <w:r>
        <w:rPr>
          <w:color w:val="0070C0"/>
        </w:rPr>
        <w:t>Animale (ex. éleveurs d’oiseaux par exemple).</w:t>
      </w:r>
    </w:p>
    <w:p w14:paraId="1C05F82E" w14:textId="77777777" w:rsidR="00B24E4B" w:rsidRDefault="00B24E4B">
      <w:pPr>
        <w:numPr>
          <w:ilvl w:val="0"/>
          <w:numId w:val="13"/>
        </w:numPr>
        <w:spacing w:line="276" w:lineRule="auto"/>
        <w:ind w:left="567" w:hanging="283"/>
        <w:rPr>
          <w:color w:val="0070C0"/>
        </w:rPr>
      </w:pPr>
      <w:r>
        <w:rPr>
          <w:color w:val="0070C0"/>
        </w:rPr>
        <w:t>Bactérienne (ex. actinomycètes du foin humide dans le poumon de fermier).</w:t>
      </w:r>
    </w:p>
    <w:p w14:paraId="2C0EAE04" w14:textId="77777777" w:rsidR="00B24E4B" w:rsidRDefault="00B24E4B">
      <w:pPr>
        <w:numPr>
          <w:ilvl w:val="0"/>
          <w:numId w:val="13"/>
        </w:numPr>
        <w:spacing w:line="276" w:lineRule="auto"/>
        <w:ind w:left="567" w:hanging="283"/>
        <w:rPr>
          <w:color w:val="0070C0"/>
        </w:rPr>
      </w:pPr>
      <w:r>
        <w:rPr>
          <w:color w:val="0070C0"/>
        </w:rPr>
        <w:t>Fungique (moisissures domestiques…).</w:t>
      </w:r>
    </w:p>
    <w:p w14:paraId="4A3696DC" w14:textId="77777777" w:rsidR="00B24E4B" w:rsidRDefault="00B24E4B" w:rsidP="00B24E4B">
      <w:pPr>
        <w:spacing w:line="276" w:lineRule="auto"/>
        <w:rPr>
          <w:i/>
          <w:iCs/>
        </w:rPr>
      </w:pPr>
    </w:p>
    <w:p w14:paraId="2B4653BC" w14:textId="77777777" w:rsidR="00B24E4B" w:rsidRDefault="00B24E4B" w:rsidP="00D02748">
      <w:pPr>
        <w:pStyle w:val="titredesous-partie"/>
        <w:rPr>
          <w:i/>
          <w:iCs/>
        </w:rPr>
      </w:pPr>
      <w:r>
        <w:rPr>
          <w:shd w:val="clear" w:color="auto" w:fill="auto"/>
        </w:rPr>
        <w:t>HISTOIRE DE LA MALADIE</w:t>
      </w:r>
    </w:p>
    <w:p w14:paraId="440716A8" w14:textId="77777777" w:rsidR="00B24E4B" w:rsidRDefault="00B24E4B" w:rsidP="00B24E4B">
      <w:pPr>
        <w:spacing w:line="276" w:lineRule="auto"/>
        <w:rPr>
          <w:color w:val="0070C0"/>
        </w:rPr>
      </w:pPr>
      <w:r>
        <w:t xml:space="preserve">La date d’installation des signes et la chronologie des facteurs favorisants cités plus haut (TERRAIN ET ATCD) sera à décrire, </w:t>
      </w:r>
    </w:p>
    <w:p w14:paraId="5EFD102F" w14:textId="16D19D19" w:rsidR="00B24E4B" w:rsidRDefault="00D02748" w:rsidP="00B24E4B">
      <w:pPr>
        <w:spacing w:line="276" w:lineRule="auto"/>
        <w:rPr>
          <w:color w:val="0070C0"/>
        </w:rPr>
      </w:pPr>
      <w:r>
        <w:rPr>
          <w:noProof/>
        </w:rPr>
        <w:drawing>
          <wp:anchor distT="0" distB="0" distL="114300" distR="114300" simplePos="0" relativeHeight="251932672" behindDoc="0" locked="0" layoutInCell="1" hidden="0" allowOverlap="1" wp14:anchorId="5BF7B1B3" wp14:editId="5B79364A">
            <wp:simplePos x="0" y="0"/>
            <wp:positionH relativeFrom="column">
              <wp:posOffset>-270038</wp:posOffset>
            </wp:positionH>
            <wp:positionV relativeFrom="paragraph">
              <wp:posOffset>17145</wp:posOffset>
            </wp:positionV>
            <wp:extent cx="153670" cy="137160"/>
            <wp:effectExtent l="0" t="0" r="0" b="0"/>
            <wp:wrapSquare wrapText="bothSides" distT="0" distB="0" distL="114300" distR="114300"/>
            <wp:docPr id="1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B24E4B">
        <w:rPr>
          <w:color w:val="0070C0"/>
        </w:rPr>
        <w:t>La recherche de signes extra-respiratoires, notamment des signes fonctionnels évocateurs de connectivite seront à rechercher (arthralgies, myalgies, sècheresse buccale ou oculaire, phénomène de Raynaud, éruption cutanée…).</w:t>
      </w:r>
    </w:p>
    <w:p w14:paraId="2D62BD28" w14:textId="77777777" w:rsidR="00B24E4B" w:rsidRDefault="00B24E4B" w:rsidP="00B24E4B">
      <w:pPr>
        <w:spacing w:line="276" w:lineRule="auto"/>
        <w:rPr>
          <w:b/>
          <w:bCs/>
          <w:i/>
          <w:iCs/>
        </w:rPr>
      </w:pPr>
    </w:p>
    <w:p w14:paraId="3FFF7874" w14:textId="77777777" w:rsidR="00B24E4B" w:rsidRDefault="00B24E4B" w:rsidP="00D02748">
      <w:pPr>
        <w:pStyle w:val="titredesous-partie"/>
      </w:pPr>
      <w:r>
        <w:rPr>
          <w:shd w:val="clear" w:color="auto" w:fill="auto"/>
        </w:rPr>
        <w:t>EXAMEN CLINIQUE</w:t>
      </w:r>
    </w:p>
    <w:p w14:paraId="46BCDA93" w14:textId="77777777" w:rsidR="00B24E4B" w:rsidRDefault="00B24E4B" w:rsidP="00B24E4B">
      <w:pPr>
        <w:spacing w:line="276" w:lineRule="auto"/>
        <w:rPr>
          <w:color w:val="0070C0"/>
        </w:rPr>
      </w:pPr>
      <w:r>
        <w:rPr>
          <w:color w:val="0070C0"/>
        </w:rPr>
        <w:t>Signes généraux, non spécifiques et observés dans de nombreuses PID.</w:t>
      </w:r>
    </w:p>
    <w:p w14:paraId="561A0A79" w14:textId="77777777" w:rsidR="00B24E4B" w:rsidRDefault="00B24E4B" w:rsidP="00B24E4B">
      <w:pPr>
        <w:spacing w:line="276" w:lineRule="auto"/>
        <w:rPr>
          <w:color w:val="0070C0"/>
        </w:rPr>
      </w:pPr>
    </w:p>
    <w:p w14:paraId="4010B254" w14:textId="77777777" w:rsidR="00B24E4B" w:rsidRDefault="00B24E4B" w:rsidP="00B24E4B">
      <w:pPr>
        <w:spacing w:line="276" w:lineRule="auto"/>
        <w:rPr>
          <w:color w:val="0070C0"/>
        </w:rPr>
      </w:pPr>
      <w:r>
        <w:rPr>
          <w:color w:val="0070C0"/>
        </w:rPr>
        <w:t xml:space="preserve">Signes respiratoires : </w:t>
      </w:r>
    </w:p>
    <w:p w14:paraId="5B960958" w14:textId="77777777" w:rsidR="00B24E4B" w:rsidRDefault="00B24E4B" w:rsidP="00B24E4B">
      <w:pPr>
        <w:spacing w:line="276" w:lineRule="auto"/>
        <w:rPr>
          <w:color w:val="0070C0"/>
        </w:rPr>
      </w:pPr>
      <w:r>
        <w:rPr>
          <w:color w:val="0070C0"/>
        </w:rPr>
        <w:t>- Signes fonctionnels : dyspnée à quantifier, toux sèche.</w:t>
      </w:r>
    </w:p>
    <w:p w14:paraId="25F16417" w14:textId="77777777" w:rsidR="00B24E4B" w:rsidRDefault="00B24E4B" w:rsidP="00B24E4B">
      <w:pPr>
        <w:spacing w:line="276" w:lineRule="auto"/>
        <w:rPr>
          <w:color w:val="0070C0"/>
        </w:rPr>
      </w:pPr>
      <w:r>
        <w:rPr>
          <w:color w:val="0070C0"/>
        </w:rPr>
        <w:t xml:space="preserve">- Signes physiques : </w:t>
      </w:r>
    </w:p>
    <w:p w14:paraId="38998825" w14:textId="77777777" w:rsidR="00B24E4B" w:rsidRDefault="00B24E4B">
      <w:pPr>
        <w:numPr>
          <w:ilvl w:val="0"/>
          <w:numId w:val="14"/>
        </w:numPr>
        <w:spacing w:line="276" w:lineRule="auto"/>
        <w:ind w:left="284" w:hanging="142"/>
        <w:rPr>
          <w:color w:val="0070C0"/>
        </w:rPr>
      </w:pPr>
      <w:r>
        <w:rPr>
          <w:color w:val="0070C0"/>
        </w:rPr>
        <w:t>Crépitants secs, de type velcro aux bases, non spécifiques et observés dans de nombreuses PID.</w:t>
      </w:r>
    </w:p>
    <w:p w14:paraId="7508B959" w14:textId="77777777" w:rsidR="00B24E4B" w:rsidRDefault="00B24E4B">
      <w:pPr>
        <w:numPr>
          <w:ilvl w:val="0"/>
          <w:numId w:val="14"/>
        </w:numPr>
        <w:spacing w:line="276" w:lineRule="auto"/>
        <w:ind w:left="284" w:hanging="142"/>
        <w:rPr>
          <w:color w:val="0070C0"/>
        </w:rPr>
      </w:pPr>
      <w:r>
        <w:rPr>
          <w:color w:val="0070C0"/>
        </w:rPr>
        <w:t>Râles de type «</w:t>
      </w:r>
      <w:r>
        <w:rPr>
          <w:rFonts w:ascii="Arial" w:eastAsia="Arial" w:hAnsi="Arial" w:cs="Arial"/>
          <w:color w:val="0070C0"/>
        </w:rPr>
        <w:t> </w:t>
      </w:r>
      <w:proofErr w:type="spellStart"/>
      <w:r>
        <w:rPr>
          <w:color w:val="0070C0"/>
        </w:rPr>
        <w:t>squawks</w:t>
      </w:r>
      <w:proofErr w:type="spellEnd"/>
      <w:r>
        <w:rPr>
          <w:rFonts w:ascii="Arial" w:eastAsia="Arial" w:hAnsi="Arial" w:cs="Arial"/>
          <w:color w:val="0070C0"/>
        </w:rPr>
        <w:t> </w:t>
      </w:r>
      <w:r>
        <w:rPr>
          <w:color w:val="0070C0"/>
        </w:rPr>
        <w:t>» en fin d’inspiration : non spécifiques, mais évocateurs de PHS.</w:t>
      </w:r>
    </w:p>
    <w:p w14:paraId="6ABB773A" w14:textId="77777777" w:rsidR="00B24E4B" w:rsidRDefault="00B24E4B">
      <w:pPr>
        <w:numPr>
          <w:ilvl w:val="0"/>
          <w:numId w:val="14"/>
        </w:numPr>
        <w:spacing w:line="276" w:lineRule="auto"/>
        <w:ind w:left="284" w:hanging="142"/>
        <w:rPr>
          <w:color w:val="0070C0"/>
        </w:rPr>
      </w:pPr>
      <w:r>
        <w:rPr>
          <w:color w:val="0070C0"/>
        </w:rPr>
        <w:t>Hippocratisme digital : peu spécifique, mais plus fréquemment retrouvé en cas de FPI notamment.</w:t>
      </w:r>
    </w:p>
    <w:p w14:paraId="34D9DB7D" w14:textId="77777777" w:rsidR="00B24E4B" w:rsidRDefault="00B24E4B">
      <w:pPr>
        <w:numPr>
          <w:ilvl w:val="0"/>
          <w:numId w:val="14"/>
        </w:numPr>
        <w:spacing w:line="276" w:lineRule="auto"/>
        <w:ind w:left="284" w:hanging="142"/>
        <w:rPr>
          <w:color w:val="0070C0"/>
        </w:rPr>
      </w:pPr>
      <w:r>
        <w:rPr>
          <w:color w:val="0070C0"/>
        </w:rPr>
        <w:t xml:space="preserve">Signes de connectivites : déformations articulaires, éruptions cutanées, </w:t>
      </w:r>
      <w:proofErr w:type="spellStart"/>
      <w:r>
        <w:rPr>
          <w:color w:val="0070C0"/>
        </w:rPr>
        <w:t>sclérodactylie</w:t>
      </w:r>
      <w:proofErr w:type="spellEnd"/>
      <w:r>
        <w:rPr>
          <w:color w:val="0070C0"/>
        </w:rPr>
        <w:t>, télangiectasies, faiblesse musculaire, mains de mécanicien, bandelette urinaire (protéinurie/hématurie notamment).</w:t>
      </w:r>
    </w:p>
    <w:p w14:paraId="24C62813" w14:textId="77777777" w:rsidR="00B24E4B" w:rsidRDefault="00B24E4B">
      <w:pPr>
        <w:numPr>
          <w:ilvl w:val="0"/>
          <w:numId w:val="14"/>
        </w:numPr>
        <w:spacing w:line="276" w:lineRule="auto"/>
        <w:ind w:left="284" w:hanging="142"/>
        <w:rPr>
          <w:color w:val="0070C0"/>
        </w:rPr>
      </w:pPr>
      <w:r>
        <w:rPr>
          <w:color w:val="0070C0"/>
        </w:rPr>
        <w:t>Signes extra-thoraciques évocateurs de sarcoïdose (cf. item 211).</w:t>
      </w:r>
    </w:p>
    <w:p w14:paraId="60FC1653" w14:textId="77777777" w:rsidR="00B24E4B" w:rsidRDefault="00B24E4B" w:rsidP="00B24E4B">
      <w:pPr>
        <w:spacing w:line="276" w:lineRule="auto"/>
        <w:rPr>
          <w:i/>
          <w:iCs/>
        </w:rPr>
      </w:pPr>
    </w:p>
    <w:p w14:paraId="41F15B8C" w14:textId="77777777" w:rsidR="00B24E4B" w:rsidRDefault="00B24E4B" w:rsidP="00D02748">
      <w:pPr>
        <w:pStyle w:val="titredesous-partie"/>
      </w:pPr>
      <w:r>
        <w:rPr>
          <w:shd w:val="clear" w:color="auto" w:fill="auto"/>
        </w:rPr>
        <w:t>EXAMENS COMPLEMENTAIRES</w:t>
      </w:r>
    </w:p>
    <w:p w14:paraId="6351EB30" w14:textId="77777777" w:rsidR="00B24E4B" w:rsidRDefault="00B24E4B" w:rsidP="00D02748">
      <w:pPr>
        <w:pStyle w:val="Titre2"/>
      </w:pPr>
      <w:r>
        <w:t>Scanner thoracique = pierre angulaire de l’orientation diagnostique</w:t>
      </w:r>
    </w:p>
    <w:p w14:paraId="58B88EC4" w14:textId="77777777" w:rsidR="00B24E4B" w:rsidRDefault="00B24E4B" w:rsidP="00B24E4B">
      <w:pPr>
        <w:spacing w:line="276" w:lineRule="auto"/>
        <w:rPr>
          <w:color w:val="0070C0"/>
        </w:rPr>
      </w:pPr>
      <w:r>
        <w:rPr>
          <w:color w:val="0070C0"/>
        </w:rPr>
        <w:t xml:space="preserve">Son analyse nécessite une technique adaptée : </w:t>
      </w:r>
    </w:p>
    <w:p w14:paraId="3B49D87C" w14:textId="77777777" w:rsidR="00B24E4B" w:rsidRDefault="00B24E4B" w:rsidP="00B24E4B">
      <w:pPr>
        <w:spacing w:line="276" w:lineRule="auto"/>
        <w:rPr>
          <w:color w:val="0070C0"/>
        </w:rPr>
      </w:pPr>
      <w:r>
        <w:rPr>
          <w:color w:val="0070C0"/>
        </w:rPr>
        <w:t>- Coupes millimétriques.</w:t>
      </w:r>
    </w:p>
    <w:p w14:paraId="1B02DA60" w14:textId="77777777" w:rsidR="00B24E4B" w:rsidRDefault="00B24E4B" w:rsidP="00B24E4B">
      <w:pPr>
        <w:spacing w:line="276" w:lineRule="auto"/>
        <w:rPr>
          <w:color w:val="0070C0"/>
        </w:rPr>
      </w:pPr>
      <w:r>
        <w:rPr>
          <w:color w:val="0070C0"/>
        </w:rPr>
        <w:t>- Inspiration profonde.</w:t>
      </w:r>
    </w:p>
    <w:p w14:paraId="578059BC" w14:textId="77777777" w:rsidR="00B24E4B" w:rsidRDefault="00B24E4B" w:rsidP="00B24E4B">
      <w:pPr>
        <w:spacing w:line="276" w:lineRule="auto"/>
        <w:rPr>
          <w:color w:val="0070C0"/>
        </w:rPr>
      </w:pPr>
      <w:r>
        <w:rPr>
          <w:color w:val="0070C0"/>
        </w:rPr>
        <w:t>- Sans injection de contraste.</w:t>
      </w:r>
    </w:p>
    <w:p w14:paraId="71FF585C" w14:textId="77777777" w:rsidR="00B24E4B" w:rsidRDefault="00B24E4B" w:rsidP="00B24E4B">
      <w:pPr>
        <w:spacing w:line="276" w:lineRule="auto"/>
        <w:rPr>
          <w:color w:val="0070C0"/>
        </w:rPr>
      </w:pPr>
      <w:r>
        <w:rPr>
          <w:color w:val="0070C0"/>
        </w:rPr>
        <w:lastRenderedPageBreak/>
        <w:t>- Parfois avec des coupes en</w:t>
      </w:r>
      <w:r>
        <w:rPr>
          <w:b/>
          <w:bCs/>
          <w:color w:val="FF0000"/>
        </w:rPr>
        <w:t xml:space="preserve"> </w:t>
      </w:r>
      <w:r>
        <w:rPr>
          <w:color w:val="0070C0"/>
        </w:rPr>
        <w:t>expiration ou en procubitus.</w:t>
      </w:r>
    </w:p>
    <w:p w14:paraId="6BEDC42B" w14:textId="77777777" w:rsidR="00B24E4B" w:rsidRDefault="00B24E4B" w:rsidP="00B24E4B">
      <w:pPr>
        <w:spacing w:line="276" w:lineRule="auto"/>
        <w:rPr>
          <w:color w:val="0070C0"/>
        </w:rPr>
      </w:pPr>
      <w:r>
        <w:rPr>
          <w:color w:val="0070C0"/>
        </w:rPr>
        <w:t>Il caractérise les lésions élémentaires directes et indirectes (tableau 3)</w:t>
      </w:r>
    </w:p>
    <w:p w14:paraId="1B8BA47A" w14:textId="77777777" w:rsidR="00B24E4B" w:rsidRDefault="00B24E4B" w:rsidP="00B24E4B">
      <w:pPr>
        <w:rPr>
          <w:i/>
          <w:iCs/>
        </w:rPr>
      </w:pPr>
    </w:p>
    <w:p w14:paraId="5731A3BA" w14:textId="6D9619EC" w:rsidR="00B24E4B" w:rsidRDefault="00B24E4B" w:rsidP="00B24E4B">
      <w:pPr>
        <w:pBdr>
          <w:top w:val="nil"/>
          <w:left w:val="nil"/>
          <w:bottom w:val="nil"/>
          <w:right w:val="nil"/>
          <w:between w:val="nil"/>
        </w:pBdr>
        <w:spacing w:line="276" w:lineRule="auto"/>
        <w:rPr>
          <w:rFonts w:ascii="Arial" w:eastAsia="Arial" w:hAnsi="Arial" w:cs="Arial"/>
          <w:b/>
          <w:bCs/>
          <w:color w:val="0070C0"/>
          <w:sz w:val="18"/>
          <w:szCs w:val="18"/>
        </w:rPr>
      </w:pPr>
      <w:r>
        <w:rPr>
          <w:rFonts w:ascii="Arial" w:eastAsia="Arial" w:hAnsi="Arial" w:cs="Arial"/>
          <w:color w:val="0070C0"/>
          <w:sz w:val="18"/>
          <w:szCs w:val="18"/>
        </w:rPr>
        <w:t>Tableau 3 : Les 5 lésions radiologiques élémentaires de pneumopathie interstitielle en scanner thoracique et les signes associés (figures 3 à 1</w:t>
      </w:r>
      <w:r w:rsidR="00462C2B">
        <w:rPr>
          <w:rFonts w:ascii="Arial" w:eastAsia="Arial" w:hAnsi="Arial" w:cs="Arial"/>
          <w:color w:val="0070C0"/>
          <w:sz w:val="18"/>
          <w:szCs w:val="18"/>
        </w:rPr>
        <w:t>0</w:t>
      </w:r>
      <w:r>
        <w:rPr>
          <w:rFonts w:ascii="Arial" w:eastAsia="Arial" w:hAnsi="Arial" w:cs="Arial"/>
          <w:color w:val="0070C0"/>
          <w:sz w:val="18"/>
          <w:szCs w:val="18"/>
        </w:rPr>
        <w:t>).</w:t>
      </w:r>
    </w:p>
    <w:tbl>
      <w:tblPr>
        <w:tblW w:w="9072"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2552"/>
        <w:gridCol w:w="6520"/>
      </w:tblGrid>
      <w:tr w:rsidR="00B24E4B" w14:paraId="44EBC085" w14:textId="77777777" w:rsidTr="00D02748">
        <w:trPr>
          <w:trHeight w:val="48"/>
        </w:trPr>
        <w:tc>
          <w:tcPr>
            <w:tcW w:w="2552" w:type="dxa"/>
            <w:shd w:val="clear" w:color="auto" w:fill="0070C0"/>
          </w:tcPr>
          <w:p w14:paraId="2662F462" w14:textId="77777777" w:rsidR="00B24E4B" w:rsidRDefault="00B24E4B" w:rsidP="0094705B">
            <w:pPr>
              <w:pBdr>
                <w:top w:val="nil"/>
                <w:left w:val="nil"/>
                <w:bottom w:val="nil"/>
                <w:right w:val="nil"/>
                <w:between w:val="nil"/>
              </w:pBdr>
              <w:spacing w:line="276" w:lineRule="auto"/>
              <w:jc w:val="center"/>
              <w:rPr>
                <w:rFonts w:ascii="Calibri" w:eastAsia="Calibri" w:hAnsi="Calibri" w:cs="Calibri"/>
                <w:b/>
                <w:bCs/>
                <w:color w:val="FFFFFF"/>
              </w:rPr>
            </w:pPr>
            <w:r>
              <w:rPr>
                <w:rFonts w:ascii="Calibri" w:eastAsia="Calibri" w:hAnsi="Calibri" w:cs="Calibri"/>
                <w:b/>
                <w:bCs/>
                <w:color w:val="FFFFFF"/>
              </w:rPr>
              <w:t>Lésion élémentaire</w:t>
            </w:r>
          </w:p>
        </w:tc>
        <w:tc>
          <w:tcPr>
            <w:tcW w:w="6520" w:type="dxa"/>
            <w:shd w:val="clear" w:color="auto" w:fill="0070C0"/>
          </w:tcPr>
          <w:p w14:paraId="3D4616F6" w14:textId="77777777" w:rsidR="00B24E4B" w:rsidRDefault="00B24E4B" w:rsidP="0094705B">
            <w:pPr>
              <w:pBdr>
                <w:top w:val="nil"/>
                <w:left w:val="nil"/>
                <w:bottom w:val="nil"/>
                <w:right w:val="nil"/>
                <w:between w:val="nil"/>
              </w:pBdr>
              <w:spacing w:line="276" w:lineRule="auto"/>
              <w:jc w:val="center"/>
              <w:rPr>
                <w:rFonts w:ascii="Calibri" w:eastAsia="Calibri" w:hAnsi="Calibri" w:cs="Calibri"/>
                <w:b/>
                <w:bCs/>
                <w:color w:val="FFFFFF"/>
              </w:rPr>
            </w:pPr>
            <w:r>
              <w:rPr>
                <w:rFonts w:ascii="Calibri" w:eastAsia="Calibri" w:hAnsi="Calibri" w:cs="Calibri"/>
                <w:b/>
                <w:bCs/>
                <w:color w:val="FFFFFF"/>
              </w:rPr>
              <w:t>Description</w:t>
            </w:r>
          </w:p>
        </w:tc>
      </w:tr>
      <w:tr w:rsidR="00B24E4B" w14:paraId="1BF06525" w14:textId="77777777" w:rsidTr="00D02748">
        <w:trPr>
          <w:trHeight w:val="48"/>
        </w:trPr>
        <w:tc>
          <w:tcPr>
            <w:tcW w:w="2552" w:type="dxa"/>
            <w:vAlign w:val="center"/>
          </w:tcPr>
          <w:p w14:paraId="23459066"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Nodules</w:t>
            </w:r>
          </w:p>
          <w:p w14:paraId="3EC169FA"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Micronodules (&lt; 3 mm)</w:t>
            </w:r>
          </w:p>
          <w:p w14:paraId="1D0B7C41"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Nodules (3 – 30 mm)</w:t>
            </w:r>
          </w:p>
        </w:tc>
        <w:tc>
          <w:tcPr>
            <w:tcW w:w="6520" w:type="dxa"/>
            <w:vAlign w:val="center"/>
          </w:tcPr>
          <w:p w14:paraId="5CAA9AAF"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xml:space="preserve">Distribution </w:t>
            </w:r>
            <w:proofErr w:type="spellStart"/>
            <w:r>
              <w:rPr>
                <w:rFonts w:ascii="Calibri" w:eastAsia="Calibri" w:hAnsi="Calibri" w:cs="Calibri"/>
                <w:b/>
                <w:bCs/>
                <w:color w:val="0070C0"/>
              </w:rPr>
              <w:t>périlymphatique</w:t>
            </w:r>
            <w:proofErr w:type="spellEnd"/>
          </w:p>
          <w:p w14:paraId="17FD19F2"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xml:space="preserve">Distribution hématogène (miliaire) </w:t>
            </w:r>
          </w:p>
          <w:p w14:paraId="63D921BE"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Distribution centro-lobulaire</w:t>
            </w:r>
          </w:p>
        </w:tc>
      </w:tr>
      <w:tr w:rsidR="00B24E4B" w14:paraId="3D9A2AA8" w14:textId="77777777" w:rsidTr="00D02748">
        <w:trPr>
          <w:trHeight w:val="48"/>
        </w:trPr>
        <w:tc>
          <w:tcPr>
            <w:tcW w:w="2552" w:type="dxa"/>
            <w:vAlign w:val="center"/>
          </w:tcPr>
          <w:p w14:paraId="7064FE3A"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Lignes et Réticulations</w:t>
            </w:r>
            <w:r>
              <w:rPr>
                <w:rFonts w:ascii="Calibri" w:eastAsia="Calibri" w:hAnsi="Calibri" w:cs="Calibri"/>
                <w:color w:val="0070C0"/>
                <w:vertAlign w:val="superscript"/>
              </w:rPr>
              <w:footnoteReference w:id="1"/>
            </w:r>
          </w:p>
          <w:p w14:paraId="6D79E357"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p>
        </w:tc>
        <w:tc>
          <w:tcPr>
            <w:tcW w:w="6520" w:type="dxa"/>
            <w:vAlign w:val="center"/>
          </w:tcPr>
          <w:p w14:paraId="78136C93"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Accentuation ou visualisation de structures anatomiques normalement non visibles (cloisons interlobulaires et intra-lobulaires) &gt;&gt;</w:t>
            </w:r>
          </w:p>
          <w:p w14:paraId="1C3939DE" w14:textId="1BBCC9B1" w:rsidR="00B24E4B" w:rsidRDefault="00D02748"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w:t>
            </w:r>
            <w:r w:rsidR="00B24E4B">
              <w:rPr>
                <w:rFonts w:ascii="Calibri" w:eastAsia="Calibri" w:hAnsi="Calibri" w:cs="Calibri"/>
                <w:b/>
                <w:bCs/>
                <w:color w:val="0070C0"/>
              </w:rPr>
              <w:t xml:space="preserve">Réticulations </w:t>
            </w:r>
            <w:proofErr w:type="spellStart"/>
            <w:r w:rsidR="00B24E4B">
              <w:rPr>
                <w:rFonts w:ascii="Calibri" w:eastAsia="Calibri" w:hAnsi="Calibri" w:cs="Calibri"/>
                <w:b/>
                <w:bCs/>
                <w:color w:val="0070C0"/>
              </w:rPr>
              <w:t>inter-lobulaires</w:t>
            </w:r>
            <w:proofErr w:type="spellEnd"/>
            <w:r w:rsidR="00B24E4B">
              <w:rPr>
                <w:rFonts w:ascii="Calibri" w:eastAsia="Calibri" w:hAnsi="Calibri" w:cs="Calibri"/>
                <w:b/>
                <w:bCs/>
                <w:color w:val="0070C0"/>
              </w:rPr>
              <w:t xml:space="preserve"> à larges mailles polyédriques</w:t>
            </w:r>
            <w:r>
              <w:rPr>
                <w:rFonts w:ascii="Calibri" w:eastAsia="Calibri" w:hAnsi="Calibri" w:cs="Calibri"/>
                <w:b/>
                <w:bCs/>
                <w:color w:val="0070C0"/>
              </w:rPr>
              <w:t> »</w:t>
            </w:r>
          </w:p>
          <w:p w14:paraId="5A6DB3DE" w14:textId="7D4F7765" w:rsidR="00B24E4B" w:rsidRDefault="00D02748"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w:t>
            </w:r>
            <w:r w:rsidR="00B24E4B">
              <w:rPr>
                <w:rFonts w:ascii="Calibri" w:eastAsia="Calibri" w:hAnsi="Calibri" w:cs="Calibri"/>
                <w:b/>
                <w:bCs/>
                <w:color w:val="0070C0"/>
              </w:rPr>
              <w:t>Réticulations intra-lobulaires à petites mailles</w:t>
            </w:r>
            <w:r>
              <w:rPr>
                <w:rFonts w:ascii="Calibri" w:eastAsia="Calibri" w:hAnsi="Calibri" w:cs="Calibri"/>
                <w:b/>
                <w:bCs/>
                <w:color w:val="0070C0"/>
              </w:rPr>
              <w:t> »</w:t>
            </w:r>
          </w:p>
        </w:tc>
      </w:tr>
      <w:tr w:rsidR="00B24E4B" w14:paraId="1D123D09" w14:textId="77777777" w:rsidTr="00D02748">
        <w:trPr>
          <w:trHeight w:val="521"/>
        </w:trPr>
        <w:tc>
          <w:tcPr>
            <w:tcW w:w="2552" w:type="dxa"/>
            <w:vAlign w:val="center"/>
          </w:tcPr>
          <w:p w14:paraId="5E635528"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 xml:space="preserve">Épaississements péri-bronchovasculaires </w:t>
            </w:r>
          </w:p>
        </w:tc>
        <w:tc>
          <w:tcPr>
            <w:tcW w:w="6520" w:type="dxa"/>
            <w:vAlign w:val="center"/>
          </w:tcPr>
          <w:p w14:paraId="23C6CF7A"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p>
        </w:tc>
      </w:tr>
      <w:tr w:rsidR="00B24E4B" w14:paraId="20814F9B" w14:textId="77777777" w:rsidTr="00D02748">
        <w:trPr>
          <w:trHeight w:val="1065"/>
        </w:trPr>
        <w:tc>
          <w:tcPr>
            <w:tcW w:w="2552" w:type="dxa"/>
            <w:vAlign w:val="center"/>
          </w:tcPr>
          <w:p w14:paraId="5FBC4135"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Hyperdensités</w:t>
            </w:r>
          </w:p>
          <w:p w14:paraId="541E7E45"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bronchogramme aérique</w:t>
            </w:r>
          </w:p>
        </w:tc>
        <w:tc>
          <w:tcPr>
            <w:tcW w:w="6520" w:type="dxa"/>
            <w:vAlign w:val="center"/>
          </w:tcPr>
          <w:p w14:paraId="30DF0C1D"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Condensations alvéolaires</w:t>
            </w:r>
          </w:p>
          <w:p w14:paraId="77E06F5A"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xml:space="preserve">- Hyperdensité effaçant les contours des vaisseaux et les parois bronchiques </w:t>
            </w:r>
          </w:p>
          <w:p w14:paraId="781CC016"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Verre dépoli</w:t>
            </w:r>
          </w:p>
          <w:p w14:paraId="0201F785"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Hyperdensité n’effaçant pas les contours des vaisseaux et des parois bronchiques</w:t>
            </w:r>
          </w:p>
        </w:tc>
      </w:tr>
      <w:tr w:rsidR="00B24E4B" w14:paraId="477EF82D" w14:textId="77777777" w:rsidTr="00D02748">
        <w:trPr>
          <w:trHeight w:val="722"/>
        </w:trPr>
        <w:tc>
          <w:tcPr>
            <w:tcW w:w="2552" w:type="dxa"/>
            <w:vAlign w:val="center"/>
          </w:tcPr>
          <w:p w14:paraId="1BD7C02F"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xml:space="preserve">Kystes </w:t>
            </w:r>
          </w:p>
        </w:tc>
        <w:tc>
          <w:tcPr>
            <w:tcW w:w="6520" w:type="dxa"/>
            <w:vAlign w:val="center"/>
          </w:tcPr>
          <w:p w14:paraId="3EF49182"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Lésion associant une composante aérique ou liquidienne entourée d’une paroi régulière, bien définie, égale ou inférieure à 2 mm, en contact avec du parenchyme normal ou pas.</w:t>
            </w:r>
          </w:p>
        </w:tc>
      </w:tr>
      <w:tr w:rsidR="00B24E4B" w14:paraId="045647B9" w14:textId="77777777" w:rsidTr="00D02748">
        <w:trPr>
          <w:trHeight w:val="264"/>
        </w:trPr>
        <w:tc>
          <w:tcPr>
            <w:tcW w:w="2552" w:type="dxa"/>
            <w:vAlign w:val="center"/>
          </w:tcPr>
          <w:p w14:paraId="6D03A8EB"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Signes associés de fibrose</w:t>
            </w:r>
          </w:p>
        </w:tc>
        <w:tc>
          <w:tcPr>
            <w:tcW w:w="6520" w:type="dxa"/>
            <w:vAlign w:val="center"/>
          </w:tcPr>
          <w:p w14:paraId="40741FA7"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 xml:space="preserve">Rayon de miel : espaces kystiques aériques limités par des parois épaissies, jointifs, en couches successives à disposition sous-pleurale </w:t>
            </w:r>
          </w:p>
          <w:p w14:paraId="41EF333E"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Bronchectasies de traction</w:t>
            </w:r>
            <w:r>
              <w:rPr>
                <w:rFonts w:ascii="Calibri" w:eastAsia="Calibri" w:hAnsi="Calibri" w:cs="Calibri"/>
                <w:color w:val="0070C0"/>
                <w:vertAlign w:val="superscript"/>
              </w:rPr>
              <w:footnoteReference w:id="2"/>
            </w:r>
          </w:p>
          <w:p w14:paraId="108DA8BE"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Distorsion architecturale</w:t>
            </w:r>
          </w:p>
          <w:p w14:paraId="258F44FC"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Perte de volume</w:t>
            </w:r>
          </w:p>
        </w:tc>
      </w:tr>
      <w:tr w:rsidR="00B24E4B" w14:paraId="3DCC4ABA" w14:textId="77777777" w:rsidTr="00D02748">
        <w:trPr>
          <w:trHeight w:val="264"/>
        </w:trPr>
        <w:tc>
          <w:tcPr>
            <w:tcW w:w="2552" w:type="dxa"/>
            <w:vAlign w:val="center"/>
          </w:tcPr>
          <w:p w14:paraId="7D0A4551" w14:textId="77777777" w:rsidR="00B24E4B" w:rsidRDefault="00B24E4B" w:rsidP="0094705B">
            <w:pPr>
              <w:pBdr>
                <w:top w:val="nil"/>
                <w:left w:val="nil"/>
                <w:bottom w:val="nil"/>
                <w:right w:val="nil"/>
                <w:between w:val="nil"/>
              </w:pBdr>
              <w:spacing w:line="276" w:lineRule="auto"/>
              <w:jc w:val="left"/>
              <w:rPr>
                <w:rFonts w:ascii="Calibri" w:eastAsia="Calibri" w:hAnsi="Calibri" w:cs="Calibri"/>
                <w:b/>
                <w:bCs/>
                <w:color w:val="0070C0"/>
              </w:rPr>
            </w:pPr>
            <w:r>
              <w:rPr>
                <w:rFonts w:ascii="Calibri" w:eastAsia="Calibri" w:hAnsi="Calibri" w:cs="Calibri"/>
                <w:b/>
                <w:bCs/>
                <w:color w:val="0070C0"/>
              </w:rPr>
              <w:t>Autres signes associés</w:t>
            </w:r>
          </w:p>
        </w:tc>
        <w:tc>
          <w:tcPr>
            <w:tcW w:w="6520" w:type="dxa"/>
            <w:vAlign w:val="center"/>
          </w:tcPr>
          <w:p w14:paraId="0E122EB6"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Adénopathies hilaires bilatérales</w:t>
            </w:r>
          </w:p>
          <w:p w14:paraId="6A96C060"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Épanchements pleuraux</w:t>
            </w:r>
          </w:p>
          <w:p w14:paraId="345F0EEC" w14:textId="77777777" w:rsidR="00B24E4B" w:rsidRDefault="00B24E4B" w:rsidP="0094705B">
            <w:pPr>
              <w:spacing w:line="276" w:lineRule="auto"/>
              <w:jc w:val="left"/>
              <w:rPr>
                <w:rFonts w:ascii="Calibri" w:eastAsia="Calibri" w:hAnsi="Calibri" w:cs="Calibri"/>
                <w:color w:val="0070C0"/>
              </w:rPr>
            </w:pPr>
            <w:r>
              <w:rPr>
                <w:rFonts w:ascii="Calibri" w:eastAsia="Calibri" w:hAnsi="Calibri" w:cs="Calibri"/>
                <w:color w:val="0070C0"/>
              </w:rPr>
              <w:t>Atteinte(s) sous diaphragmatique (adénopathies, foie, rein, rate, etc.)</w:t>
            </w:r>
          </w:p>
        </w:tc>
      </w:tr>
    </w:tbl>
    <w:p w14:paraId="615B96FD" w14:textId="77777777" w:rsidR="00B24E4B" w:rsidRDefault="00B24E4B" w:rsidP="00B24E4B">
      <w:pPr>
        <w:pBdr>
          <w:top w:val="nil"/>
          <w:left w:val="nil"/>
          <w:bottom w:val="nil"/>
          <w:right w:val="nil"/>
          <w:between w:val="nil"/>
        </w:pBdr>
        <w:spacing w:line="276" w:lineRule="auto"/>
        <w:rPr>
          <w:i/>
          <w:iCs/>
        </w:rPr>
      </w:pPr>
    </w:p>
    <w:p w14:paraId="11BC4473" w14:textId="77777777" w:rsidR="00B24E4B" w:rsidRDefault="00B24E4B" w:rsidP="00B24E4B">
      <w:pPr>
        <w:pBdr>
          <w:top w:val="nil"/>
          <w:left w:val="nil"/>
          <w:bottom w:val="nil"/>
          <w:right w:val="nil"/>
          <w:between w:val="nil"/>
        </w:pBdr>
        <w:spacing w:after="240"/>
        <w:ind w:left="993" w:hanging="709"/>
        <w:jc w:val="left"/>
        <w:rPr>
          <w:b/>
          <w:bCs/>
          <w:color w:val="0070C0"/>
          <w:u w:val="single"/>
        </w:rPr>
      </w:pPr>
      <w:r>
        <w:rPr>
          <w:b/>
          <w:bCs/>
          <w:color w:val="0070C0"/>
          <w:u w:val="single"/>
        </w:rPr>
        <w:t>Imagerie des PID - exemples</w:t>
      </w: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2410"/>
        <w:gridCol w:w="6662"/>
      </w:tblGrid>
      <w:tr w:rsidR="00B24E4B" w14:paraId="1615A648" w14:textId="77777777" w:rsidTr="00D02748">
        <w:tc>
          <w:tcPr>
            <w:tcW w:w="2410" w:type="dxa"/>
          </w:tcPr>
          <w:p w14:paraId="7E9AAFC3" w14:textId="77777777" w:rsidR="00B24E4B" w:rsidRPr="00D02748" w:rsidRDefault="00B24E4B" w:rsidP="00D02748">
            <w:pPr>
              <w:pStyle w:val="lgende"/>
              <w:jc w:val="left"/>
              <w:rPr>
                <w:color w:val="0070C0"/>
              </w:rPr>
            </w:pPr>
            <w:r w:rsidRPr="00D02748">
              <w:rPr>
                <w:color w:val="0070C0"/>
              </w:rPr>
              <w:lastRenderedPageBreak/>
              <w:t>Figure 3 : MICRONODULES : (&lt; 3 mm).</w:t>
            </w:r>
          </w:p>
          <w:p w14:paraId="0F55D0B1" w14:textId="77777777" w:rsidR="00B24E4B" w:rsidRPr="00D02748" w:rsidRDefault="00B24E4B" w:rsidP="00D02748">
            <w:pPr>
              <w:pStyle w:val="lgende"/>
              <w:jc w:val="left"/>
              <w:rPr>
                <w:color w:val="0070C0"/>
              </w:rPr>
            </w:pPr>
            <w:r w:rsidRPr="00D02748">
              <w:rPr>
                <w:color w:val="0070C0"/>
              </w:rPr>
              <w:t>Miliaire tuberculeuse : micronodules de distribution diffuse et aléatoire dans le parenchyme pulmonaire. De gauche à droite et de haut en bas : radiographie de thorax, même cliché, zoom sur le lobe inférieur droit, scanner thoracique.</w:t>
            </w:r>
          </w:p>
        </w:tc>
        <w:tc>
          <w:tcPr>
            <w:tcW w:w="6662" w:type="dxa"/>
          </w:tcPr>
          <w:p w14:paraId="6A33CBB9" w14:textId="77777777" w:rsidR="00B24E4B" w:rsidRDefault="00B24E4B" w:rsidP="0094705B">
            <w:pPr>
              <w:pBdr>
                <w:top w:val="nil"/>
                <w:left w:val="nil"/>
                <w:bottom w:val="nil"/>
                <w:right w:val="nil"/>
                <w:between w:val="nil"/>
              </w:pBdr>
              <w:spacing w:line="276" w:lineRule="auto"/>
              <w:rPr>
                <w:rFonts w:ascii="Arial" w:eastAsia="Arial" w:hAnsi="Arial" w:cs="Arial"/>
                <w:color w:val="0070C0"/>
                <w:sz w:val="18"/>
                <w:szCs w:val="18"/>
              </w:rPr>
            </w:pPr>
            <w:r>
              <w:rPr>
                <w:b/>
                <w:bCs/>
                <w:i/>
                <w:iCs/>
                <w:noProof/>
              </w:rPr>
              <w:drawing>
                <wp:inline distT="0" distB="0" distL="0" distR="0" wp14:anchorId="7DB1120B" wp14:editId="20ABB545">
                  <wp:extent cx="1980000" cy="2160000"/>
                  <wp:effectExtent l="0" t="0" r="1270" b="0"/>
                  <wp:docPr id="30" name="image26.png" descr="AA"/>
                  <wp:cNvGraphicFramePr/>
                  <a:graphic xmlns:a="http://schemas.openxmlformats.org/drawingml/2006/main">
                    <a:graphicData uri="http://schemas.openxmlformats.org/drawingml/2006/picture">
                      <pic:pic xmlns:pic="http://schemas.openxmlformats.org/drawingml/2006/picture">
                        <pic:nvPicPr>
                          <pic:cNvPr id="0" name="image26.png" descr="AA"/>
                          <pic:cNvPicPr preferRelativeResize="0"/>
                        </pic:nvPicPr>
                        <pic:blipFill>
                          <a:blip r:embed="rId17"/>
                          <a:srcRect/>
                          <a:stretch>
                            <a:fillRect/>
                          </a:stretch>
                        </pic:blipFill>
                        <pic:spPr>
                          <a:xfrm>
                            <a:off x="0" y="0"/>
                            <a:ext cx="1980000" cy="2160000"/>
                          </a:xfrm>
                          <a:prstGeom prst="rect">
                            <a:avLst/>
                          </a:prstGeom>
                          <a:ln/>
                        </pic:spPr>
                      </pic:pic>
                    </a:graphicData>
                  </a:graphic>
                </wp:inline>
              </w:drawing>
            </w:r>
            <w:r>
              <w:rPr>
                <w:b/>
                <w:bCs/>
                <w:i/>
                <w:iCs/>
                <w:noProof/>
              </w:rPr>
              <w:drawing>
                <wp:inline distT="0" distB="0" distL="0" distR="0" wp14:anchorId="71E94277" wp14:editId="0F317CB5">
                  <wp:extent cx="1980000" cy="2160000"/>
                  <wp:effectExtent l="0" t="0" r="1270" b="0"/>
                  <wp:docPr id="27" name="image19.jpg" descr="BB"/>
                  <wp:cNvGraphicFramePr/>
                  <a:graphic xmlns:a="http://schemas.openxmlformats.org/drawingml/2006/main">
                    <a:graphicData uri="http://schemas.openxmlformats.org/drawingml/2006/picture">
                      <pic:pic xmlns:pic="http://schemas.openxmlformats.org/drawingml/2006/picture">
                        <pic:nvPicPr>
                          <pic:cNvPr id="0" name="image19.jpg" descr="BB"/>
                          <pic:cNvPicPr preferRelativeResize="0"/>
                        </pic:nvPicPr>
                        <pic:blipFill>
                          <a:blip r:embed="rId18"/>
                          <a:srcRect/>
                          <a:stretch>
                            <a:fillRect/>
                          </a:stretch>
                        </pic:blipFill>
                        <pic:spPr>
                          <a:xfrm>
                            <a:off x="0" y="0"/>
                            <a:ext cx="1980000" cy="2160000"/>
                          </a:xfrm>
                          <a:prstGeom prst="rect">
                            <a:avLst/>
                          </a:prstGeom>
                          <a:ln/>
                        </pic:spPr>
                      </pic:pic>
                    </a:graphicData>
                  </a:graphic>
                </wp:inline>
              </w:drawing>
            </w:r>
          </w:p>
          <w:p w14:paraId="601B659A" w14:textId="77777777" w:rsidR="00B24E4B" w:rsidRDefault="00B24E4B" w:rsidP="0094705B">
            <w:pPr>
              <w:pBdr>
                <w:top w:val="nil"/>
                <w:left w:val="nil"/>
                <w:bottom w:val="nil"/>
                <w:right w:val="nil"/>
                <w:between w:val="nil"/>
              </w:pBdr>
              <w:spacing w:line="276" w:lineRule="auto"/>
              <w:jc w:val="center"/>
              <w:rPr>
                <w:rFonts w:ascii="Arial" w:eastAsia="Arial" w:hAnsi="Arial" w:cs="Arial"/>
                <w:color w:val="0070C0"/>
                <w:sz w:val="18"/>
                <w:szCs w:val="18"/>
              </w:rPr>
            </w:pPr>
            <w:r>
              <w:rPr>
                <w:b/>
                <w:bCs/>
                <w:i/>
                <w:iCs/>
                <w:noProof/>
              </w:rPr>
              <w:drawing>
                <wp:inline distT="0" distB="0" distL="0" distR="0" wp14:anchorId="6A6F2248" wp14:editId="44831719">
                  <wp:extent cx="2639695" cy="2043430"/>
                  <wp:effectExtent l="0" t="0" r="0" b="0"/>
                  <wp:docPr id="29" name="image23.png" descr="CC"/>
                  <wp:cNvGraphicFramePr/>
                  <a:graphic xmlns:a="http://schemas.openxmlformats.org/drawingml/2006/main">
                    <a:graphicData uri="http://schemas.openxmlformats.org/drawingml/2006/picture">
                      <pic:pic xmlns:pic="http://schemas.openxmlformats.org/drawingml/2006/picture">
                        <pic:nvPicPr>
                          <pic:cNvPr id="0" name="image23.png" descr="CC"/>
                          <pic:cNvPicPr preferRelativeResize="0"/>
                        </pic:nvPicPr>
                        <pic:blipFill>
                          <a:blip r:embed="rId19"/>
                          <a:srcRect/>
                          <a:stretch>
                            <a:fillRect/>
                          </a:stretch>
                        </pic:blipFill>
                        <pic:spPr>
                          <a:xfrm>
                            <a:off x="0" y="0"/>
                            <a:ext cx="2639695" cy="2043430"/>
                          </a:xfrm>
                          <a:prstGeom prst="rect">
                            <a:avLst/>
                          </a:prstGeom>
                          <a:ln/>
                        </pic:spPr>
                      </pic:pic>
                    </a:graphicData>
                  </a:graphic>
                </wp:inline>
              </w:drawing>
            </w:r>
          </w:p>
        </w:tc>
      </w:tr>
    </w:tbl>
    <w:p w14:paraId="5798C9C2" w14:textId="77777777" w:rsidR="00B24E4B" w:rsidRDefault="00B24E4B" w:rsidP="00B24E4B">
      <w:pPr>
        <w:ind w:left="1134" w:hanging="1134"/>
        <w:rPr>
          <w:b/>
          <w:bCs/>
        </w:rPr>
      </w:pPr>
    </w:p>
    <w:tbl>
      <w:tblPr>
        <w:tblW w:w="9077" w:type="dxa"/>
        <w:tblInd w:w="-5" w:type="dxa"/>
        <w:tblBorders>
          <w:top w:val="nil"/>
          <w:left w:val="nil"/>
          <w:bottom w:val="nil"/>
          <w:right w:val="nil"/>
          <w:insideH w:val="nil"/>
          <w:insideV w:val="nil"/>
        </w:tblBorders>
        <w:tblLayout w:type="fixed"/>
        <w:tblLook w:val="0400" w:firstRow="0" w:lastRow="0" w:firstColumn="0" w:lastColumn="0" w:noHBand="0" w:noVBand="1"/>
      </w:tblPr>
      <w:tblGrid>
        <w:gridCol w:w="2079"/>
        <w:gridCol w:w="474"/>
        <w:gridCol w:w="6524"/>
      </w:tblGrid>
      <w:tr w:rsidR="00B24E4B" w14:paraId="6D8BB3BA" w14:textId="77777777" w:rsidTr="00D02748">
        <w:trPr>
          <w:trHeight w:val="2178"/>
        </w:trPr>
        <w:tc>
          <w:tcPr>
            <w:tcW w:w="2079" w:type="dxa"/>
            <w:vAlign w:val="center"/>
          </w:tcPr>
          <w:p w14:paraId="1B80FAC2" w14:textId="77777777" w:rsidR="00B24E4B" w:rsidRPr="00D02748" w:rsidRDefault="00B24E4B" w:rsidP="00D02748">
            <w:pPr>
              <w:pStyle w:val="lgende"/>
              <w:rPr>
                <w:color w:val="0070C0"/>
              </w:rPr>
            </w:pPr>
            <w:r w:rsidRPr="00D02748">
              <w:rPr>
                <w:color w:val="0070C0"/>
              </w:rPr>
              <w:t xml:space="preserve">Figure 4 : Micronodules </w:t>
            </w:r>
            <w:proofErr w:type="spellStart"/>
            <w:r w:rsidRPr="00D02748">
              <w:rPr>
                <w:color w:val="0070C0"/>
              </w:rPr>
              <w:t>périlymphatiques</w:t>
            </w:r>
            <w:proofErr w:type="spellEnd"/>
            <w:r w:rsidRPr="00D02748">
              <w:rPr>
                <w:color w:val="0070C0"/>
              </w:rPr>
              <w:t>.</w:t>
            </w:r>
          </w:p>
          <w:p w14:paraId="3E20B1CE" w14:textId="77777777" w:rsidR="00B24E4B" w:rsidRPr="00D02748" w:rsidRDefault="00B24E4B" w:rsidP="00D02748">
            <w:pPr>
              <w:pStyle w:val="lgende"/>
              <w:rPr>
                <w:color w:val="0070C0"/>
              </w:rPr>
            </w:pPr>
            <w:r w:rsidRPr="00D02748">
              <w:rPr>
                <w:color w:val="0070C0"/>
              </w:rPr>
              <w:t xml:space="preserve">À gauche, scanner normal. À droite, micronodules à distribution </w:t>
            </w:r>
            <w:proofErr w:type="spellStart"/>
            <w:r w:rsidRPr="00D02748">
              <w:rPr>
                <w:color w:val="0070C0"/>
              </w:rPr>
              <w:t>périlymphatique</w:t>
            </w:r>
            <w:proofErr w:type="spellEnd"/>
            <w:r w:rsidRPr="00D02748">
              <w:rPr>
                <w:color w:val="0070C0"/>
              </w:rPr>
              <w:t xml:space="preserve"> (plèvre et le long des scissures, irrégularité et épaississement des parois bronchiques) dans le cadre d’une sarcoïdose. La grande scissure est marquée par les flèches. On parle ici de scissure « perlée ».</w:t>
            </w:r>
          </w:p>
        </w:tc>
        <w:tc>
          <w:tcPr>
            <w:tcW w:w="6998" w:type="dxa"/>
            <w:gridSpan w:val="2"/>
          </w:tcPr>
          <w:p w14:paraId="0751F0B3" w14:textId="77777777" w:rsidR="00B24E4B" w:rsidRDefault="00B24E4B" w:rsidP="0094705B">
            <w:pPr>
              <w:ind w:left="1200" w:hanging="1200"/>
              <w:jc w:val="center"/>
              <w:rPr>
                <w:i/>
                <w:iCs/>
              </w:rPr>
            </w:pPr>
            <w:r>
              <w:rPr>
                <w:i/>
                <w:iCs/>
                <w:noProof/>
              </w:rPr>
              <w:drawing>
                <wp:inline distT="0" distB="0" distL="0" distR="0" wp14:anchorId="7419E5FB" wp14:editId="2098CE77">
                  <wp:extent cx="2043430" cy="2655570"/>
                  <wp:effectExtent l="0" t="0" r="0" b="0"/>
                  <wp:docPr id="31" name="image24.jpg" descr="C:\Users\6001807\Pictures\item_210_figure 4A (2).JPG"/>
                  <wp:cNvGraphicFramePr/>
                  <a:graphic xmlns:a="http://schemas.openxmlformats.org/drawingml/2006/main">
                    <a:graphicData uri="http://schemas.openxmlformats.org/drawingml/2006/picture">
                      <pic:pic xmlns:pic="http://schemas.openxmlformats.org/drawingml/2006/picture">
                        <pic:nvPicPr>
                          <pic:cNvPr id="0" name="image24.jpg" descr="C:\Users\6001807\Pictures\item_210_figure 4A (2).JPG"/>
                          <pic:cNvPicPr preferRelativeResize="0"/>
                        </pic:nvPicPr>
                        <pic:blipFill>
                          <a:blip r:embed="rId20"/>
                          <a:srcRect/>
                          <a:stretch>
                            <a:fillRect/>
                          </a:stretch>
                        </pic:blipFill>
                        <pic:spPr>
                          <a:xfrm>
                            <a:off x="0" y="0"/>
                            <a:ext cx="2043430" cy="2655570"/>
                          </a:xfrm>
                          <a:prstGeom prst="rect">
                            <a:avLst/>
                          </a:prstGeom>
                          <a:ln/>
                        </pic:spPr>
                      </pic:pic>
                    </a:graphicData>
                  </a:graphic>
                </wp:inline>
              </w:drawing>
            </w:r>
            <w:r>
              <w:rPr>
                <w:i/>
                <w:iCs/>
                <w:noProof/>
              </w:rPr>
              <w:drawing>
                <wp:inline distT="0" distB="0" distL="0" distR="0" wp14:anchorId="21355D82" wp14:editId="1751197F">
                  <wp:extent cx="1797050" cy="2639695"/>
                  <wp:effectExtent l="0" t="0" r="0" b="0"/>
                  <wp:docPr id="32" name="image34.jpg" descr="FF"/>
                  <wp:cNvGraphicFramePr/>
                  <a:graphic xmlns:a="http://schemas.openxmlformats.org/drawingml/2006/main">
                    <a:graphicData uri="http://schemas.openxmlformats.org/drawingml/2006/picture">
                      <pic:pic xmlns:pic="http://schemas.openxmlformats.org/drawingml/2006/picture">
                        <pic:nvPicPr>
                          <pic:cNvPr id="0" name="image34.jpg" descr="FF"/>
                          <pic:cNvPicPr preferRelativeResize="0"/>
                        </pic:nvPicPr>
                        <pic:blipFill>
                          <a:blip r:embed="rId21"/>
                          <a:srcRect/>
                          <a:stretch>
                            <a:fillRect/>
                          </a:stretch>
                        </pic:blipFill>
                        <pic:spPr>
                          <a:xfrm>
                            <a:off x="0" y="0"/>
                            <a:ext cx="1797050" cy="2639695"/>
                          </a:xfrm>
                          <a:prstGeom prst="rect">
                            <a:avLst/>
                          </a:prstGeom>
                          <a:ln/>
                        </pic:spPr>
                      </pic:pic>
                    </a:graphicData>
                  </a:graphic>
                </wp:inline>
              </w:drawing>
            </w:r>
          </w:p>
        </w:tc>
      </w:tr>
      <w:tr w:rsidR="00B24E4B" w14:paraId="1ECADC7E" w14:textId="77777777" w:rsidTr="00D02748">
        <w:trPr>
          <w:trHeight w:val="1401"/>
        </w:trPr>
        <w:tc>
          <w:tcPr>
            <w:tcW w:w="2079" w:type="dxa"/>
            <w:vAlign w:val="center"/>
          </w:tcPr>
          <w:p w14:paraId="237AE952" w14:textId="77777777" w:rsidR="00B24E4B" w:rsidRPr="00D02748" w:rsidRDefault="00B24E4B" w:rsidP="00D02748">
            <w:pPr>
              <w:pStyle w:val="lgende"/>
              <w:jc w:val="left"/>
              <w:rPr>
                <w:color w:val="0070C0"/>
              </w:rPr>
            </w:pPr>
            <w:r w:rsidRPr="00D02748">
              <w:rPr>
                <w:color w:val="0070C0"/>
              </w:rPr>
              <w:lastRenderedPageBreak/>
              <w:t xml:space="preserve">Figure 5 : Épaississements péri-broncho vasculaires (à droite). Aspect normal à peu près au même niveau de coupe (à gauche). </w:t>
            </w:r>
          </w:p>
        </w:tc>
        <w:tc>
          <w:tcPr>
            <w:tcW w:w="6998" w:type="dxa"/>
            <w:gridSpan w:val="2"/>
          </w:tcPr>
          <w:p w14:paraId="3D55C748" w14:textId="77777777" w:rsidR="00B24E4B" w:rsidRDefault="00B24E4B" w:rsidP="0094705B">
            <w:pPr>
              <w:ind w:left="1200" w:hanging="1200"/>
              <w:jc w:val="left"/>
              <w:rPr>
                <w:i/>
                <w:iCs/>
              </w:rPr>
            </w:pPr>
            <w:r>
              <w:rPr>
                <w:i/>
                <w:iCs/>
                <w:noProof/>
              </w:rPr>
              <w:drawing>
                <wp:inline distT="0" distB="0" distL="0" distR="0" wp14:anchorId="1D4BEBBD" wp14:editId="3F10E157">
                  <wp:extent cx="2088000" cy="2880000"/>
                  <wp:effectExtent l="0" t="0" r="7620" b="0"/>
                  <wp:docPr id="33" name="image32.png" descr="E:\IMAGERIE 20 aout 2011\LECONS DE RADIOLOGIE\LECON 5\épaisssement demi.jpg"/>
                  <wp:cNvGraphicFramePr/>
                  <a:graphic xmlns:a="http://schemas.openxmlformats.org/drawingml/2006/main">
                    <a:graphicData uri="http://schemas.openxmlformats.org/drawingml/2006/picture">
                      <pic:pic xmlns:pic="http://schemas.openxmlformats.org/drawingml/2006/picture">
                        <pic:nvPicPr>
                          <pic:cNvPr id="0" name="image32.png" descr="E:\IMAGERIE 20 aout 2011\LECONS DE RADIOLOGIE\LECON 5\épaisssement demi.jpg"/>
                          <pic:cNvPicPr preferRelativeResize="0"/>
                        </pic:nvPicPr>
                        <pic:blipFill>
                          <a:blip r:embed="rId22"/>
                          <a:srcRect/>
                          <a:stretch>
                            <a:fillRect/>
                          </a:stretch>
                        </pic:blipFill>
                        <pic:spPr>
                          <a:xfrm>
                            <a:off x="0" y="0"/>
                            <a:ext cx="2088000" cy="2880000"/>
                          </a:xfrm>
                          <a:prstGeom prst="rect">
                            <a:avLst/>
                          </a:prstGeom>
                          <a:ln/>
                        </pic:spPr>
                      </pic:pic>
                    </a:graphicData>
                  </a:graphic>
                </wp:inline>
              </w:drawing>
            </w:r>
            <w:r>
              <w:rPr>
                <w:i/>
                <w:iCs/>
              </w:rPr>
              <w:t xml:space="preserve"> </w:t>
            </w:r>
            <w:r>
              <w:rPr>
                <w:i/>
                <w:iCs/>
                <w:noProof/>
              </w:rPr>
              <w:drawing>
                <wp:inline distT="0" distB="0" distL="0" distR="0" wp14:anchorId="7513FD8F" wp14:editId="1ACBDDEE">
                  <wp:extent cx="2160000" cy="2880000"/>
                  <wp:effectExtent l="0" t="0" r="0" b="0"/>
                  <wp:docPr id="3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3"/>
                          <a:srcRect/>
                          <a:stretch>
                            <a:fillRect/>
                          </a:stretch>
                        </pic:blipFill>
                        <pic:spPr>
                          <a:xfrm>
                            <a:off x="0" y="0"/>
                            <a:ext cx="2160000" cy="2880000"/>
                          </a:xfrm>
                          <a:prstGeom prst="rect">
                            <a:avLst/>
                          </a:prstGeom>
                          <a:ln/>
                        </pic:spPr>
                      </pic:pic>
                    </a:graphicData>
                  </a:graphic>
                </wp:inline>
              </w:drawing>
            </w:r>
          </w:p>
        </w:tc>
      </w:tr>
      <w:tr w:rsidR="00B24E4B" w14:paraId="3C66BC7F" w14:textId="77777777" w:rsidTr="00D02748">
        <w:tc>
          <w:tcPr>
            <w:tcW w:w="2079" w:type="dxa"/>
            <w:vAlign w:val="center"/>
          </w:tcPr>
          <w:p w14:paraId="67797E40" w14:textId="77777777" w:rsidR="00B24E4B" w:rsidRPr="00D02748" w:rsidRDefault="00B24E4B" w:rsidP="00D02748">
            <w:pPr>
              <w:pStyle w:val="lgende"/>
              <w:jc w:val="left"/>
              <w:rPr>
                <w:color w:val="0070C0"/>
              </w:rPr>
            </w:pPr>
            <w:r w:rsidRPr="00D02748">
              <w:rPr>
                <w:color w:val="0070C0"/>
              </w:rPr>
              <w:t>Figure 6 : Plages de verre dépoli (hyperdensité n’effaçant pas les contours des vaisseaux ou scissures).</w:t>
            </w:r>
          </w:p>
        </w:tc>
        <w:tc>
          <w:tcPr>
            <w:tcW w:w="6998" w:type="dxa"/>
            <w:gridSpan w:val="2"/>
          </w:tcPr>
          <w:p w14:paraId="3AED4B18" w14:textId="77777777" w:rsidR="00B24E4B" w:rsidRDefault="00B24E4B" w:rsidP="0094705B">
            <w:pPr>
              <w:ind w:left="1200" w:hanging="1200"/>
              <w:jc w:val="center"/>
              <w:rPr>
                <w:i/>
                <w:iCs/>
              </w:rPr>
            </w:pPr>
            <w:r>
              <w:rPr>
                <w:i/>
                <w:iCs/>
                <w:noProof/>
              </w:rPr>
              <w:drawing>
                <wp:inline distT="0" distB="0" distL="0" distR="0" wp14:anchorId="05B9559B" wp14:editId="3215BE3A">
                  <wp:extent cx="4008618" cy="2880000"/>
                  <wp:effectExtent l="0" t="0" r="0" b="0"/>
                  <wp:docPr id="3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4"/>
                          <a:srcRect/>
                          <a:stretch>
                            <a:fillRect/>
                          </a:stretch>
                        </pic:blipFill>
                        <pic:spPr>
                          <a:xfrm>
                            <a:off x="0" y="0"/>
                            <a:ext cx="4008618" cy="2880000"/>
                          </a:xfrm>
                          <a:prstGeom prst="rect">
                            <a:avLst/>
                          </a:prstGeom>
                          <a:ln/>
                        </pic:spPr>
                      </pic:pic>
                    </a:graphicData>
                  </a:graphic>
                </wp:inline>
              </w:drawing>
            </w:r>
          </w:p>
        </w:tc>
      </w:tr>
      <w:tr w:rsidR="00B24E4B" w14:paraId="673F25C2" w14:textId="77777777" w:rsidTr="00D02748">
        <w:tc>
          <w:tcPr>
            <w:tcW w:w="2079" w:type="dxa"/>
            <w:vAlign w:val="center"/>
          </w:tcPr>
          <w:p w14:paraId="4C5A39BD" w14:textId="2C0D30DE" w:rsidR="00B24E4B" w:rsidRPr="00D02748" w:rsidRDefault="00B24E4B" w:rsidP="00D02748">
            <w:pPr>
              <w:pStyle w:val="lgende"/>
              <w:rPr>
                <w:color w:val="0070C0"/>
              </w:rPr>
            </w:pPr>
            <w:r w:rsidRPr="00D02748">
              <w:rPr>
                <w:color w:val="0070C0"/>
              </w:rPr>
              <w:lastRenderedPageBreak/>
              <w:t xml:space="preserve">Figure </w:t>
            </w:r>
            <w:r w:rsidR="00462C2B">
              <w:rPr>
                <w:color w:val="0070C0"/>
              </w:rPr>
              <w:t>7</w:t>
            </w:r>
            <w:r w:rsidRPr="00D02748">
              <w:rPr>
                <w:color w:val="0070C0"/>
              </w:rPr>
              <w:t> : Réticulations à larges mailles.</w:t>
            </w:r>
          </w:p>
          <w:p w14:paraId="3C65ED30" w14:textId="77777777" w:rsidR="00B24E4B" w:rsidRPr="00D02748" w:rsidRDefault="00B24E4B" w:rsidP="00D02748">
            <w:pPr>
              <w:pStyle w:val="lgende"/>
              <w:rPr>
                <w:color w:val="0070C0"/>
              </w:rPr>
            </w:pPr>
            <w:r w:rsidRPr="00D02748">
              <w:rPr>
                <w:color w:val="0070C0"/>
              </w:rPr>
              <w:t>On parle d’opacités réticulaires quand les opacités linéaires s’entrecroisent et donnent un aspect en filet (réseau).</w:t>
            </w:r>
          </w:p>
          <w:p w14:paraId="2D492900" w14:textId="77777777" w:rsidR="00B24E4B" w:rsidRPr="00D02748" w:rsidRDefault="00B24E4B" w:rsidP="00D02748">
            <w:pPr>
              <w:pStyle w:val="lgende"/>
              <w:rPr>
                <w:color w:val="0070C0"/>
              </w:rPr>
            </w:pPr>
            <w:r w:rsidRPr="00D02748">
              <w:rPr>
                <w:color w:val="0070C0"/>
              </w:rPr>
              <w:t>Schématisation de réticulations à larges mailles correspondant à un épaississement des cloisons interlobulaires et exemple avec épaississement des cloisons interlobulaires au cours d’une lymphangite carcinomateuse (les flèches désignent des artères centro-lobulaires).</w:t>
            </w:r>
          </w:p>
        </w:tc>
        <w:tc>
          <w:tcPr>
            <w:tcW w:w="6998" w:type="dxa"/>
            <w:gridSpan w:val="2"/>
          </w:tcPr>
          <w:p w14:paraId="6AB6A151" w14:textId="77777777" w:rsidR="00B24E4B" w:rsidRDefault="00B24E4B" w:rsidP="0094705B">
            <w:pPr>
              <w:ind w:left="1134" w:hanging="1134"/>
              <w:jc w:val="center"/>
              <w:rPr>
                <w:i/>
                <w:iCs/>
              </w:rPr>
            </w:pPr>
            <w:r>
              <w:rPr>
                <w:i/>
                <w:iCs/>
                <w:noProof/>
              </w:rPr>
              <w:drawing>
                <wp:inline distT="0" distB="0" distL="0" distR="0" wp14:anchorId="072F8347" wp14:editId="44CBE3DB">
                  <wp:extent cx="3528000" cy="2594425"/>
                  <wp:effectExtent l="0" t="0" r="0" b="0"/>
                  <wp:docPr id="36" name="image27.png" descr="schéma 1"/>
                  <wp:cNvGraphicFramePr/>
                  <a:graphic xmlns:a="http://schemas.openxmlformats.org/drawingml/2006/main">
                    <a:graphicData uri="http://schemas.openxmlformats.org/drawingml/2006/picture">
                      <pic:pic xmlns:pic="http://schemas.openxmlformats.org/drawingml/2006/picture">
                        <pic:nvPicPr>
                          <pic:cNvPr id="0" name="image27.png" descr="schéma 1"/>
                          <pic:cNvPicPr preferRelativeResize="0"/>
                        </pic:nvPicPr>
                        <pic:blipFill>
                          <a:blip r:embed="rId25"/>
                          <a:srcRect/>
                          <a:stretch>
                            <a:fillRect/>
                          </a:stretch>
                        </pic:blipFill>
                        <pic:spPr>
                          <a:xfrm>
                            <a:off x="0" y="0"/>
                            <a:ext cx="3528000" cy="2594425"/>
                          </a:xfrm>
                          <a:prstGeom prst="rect">
                            <a:avLst/>
                          </a:prstGeom>
                          <a:ln/>
                        </pic:spPr>
                      </pic:pic>
                    </a:graphicData>
                  </a:graphic>
                </wp:inline>
              </w:drawing>
            </w:r>
          </w:p>
          <w:p w14:paraId="7B5782BA" w14:textId="77777777" w:rsidR="00B24E4B" w:rsidRDefault="00B24E4B" w:rsidP="0094705B">
            <w:pPr>
              <w:ind w:left="1134" w:hanging="1134"/>
              <w:jc w:val="center"/>
              <w:rPr>
                <w:i/>
                <w:iCs/>
              </w:rPr>
            </w:pPr>
            <w:r>
              <w:rPr>
                <w:i/>
                <w:iCs/>
                <w:noProof/>
              </w:rPr>
              <w:drawing>
                <wp:inline distT="0" distB="0" distL="0" distR="0" wp14:anchorId="5CF110B7" wp14:editId="271B1340">
                  <wp:extent cx="3528000" cy="2288462"/>
                  <wp:effectExtent l="0" t="0" r="0" b="0"/>
                  <wp:docPr id="37" name="image31.jpg" descr="LK"/>
                  <wp:cNvGraphicFramePr/>
                  <a:graphic xmlns:a="http://schemas.openxmlformats.org/drawingml/2006/main">
                    <a:graphicData uri="http://schemas.openxmlformats.org/drawingml/2006/picture">
                      <pic:pic xmlns:pic="http://schemas.openxmlformats.org/drawingml/2006/picture">
                        <pic:nvPicPr>
                          <pic:cNvPr id="0" name="image31.jpg" descr="LK"/>
                          <pic:cNvPicPr preferRelativeResize="0"/>
                        </pic:nvPicPr>
                        <pic:blipFill>
                          <a:blip r:embed="rId26"/>
                          <a:srcRect/>
                          <a:stretch>
                            <a:fillRect/>
                          </a:stretch>
                        </pic:blipFill>
                        <pic:spPr>
                          <a:xfrm>
                            <a:off x="0" y="0"/>
                            <a:ext cx="3528000" cy="2288462"/>
                          </a:xfrm>
                          <a:prstGeom prst="rect">
                            <a:avLst/>
                          </a:prstGeom>
                          <a:ln/>
                        </pic:spPr>
                      </pic:pic>
                    </a:graphicData>
                  </a:graphic>
                </wp:inline>
              </w:drawing>
            </w:r>
          </w:p>
        </w:tc>
      </w:tr>
      <w:tr w:rsidR="00B24E4B" w14:paraId="2AB5F6F4" w14:textId="77777777" w:rsidTr="00D02748">
        <w:trPr>
          <w:trHeight w:val="428"/>
        </w:trPr>
        <w:tc>
          <w:tcPr>
            <w:tcW w:w="2079" w:type="dxa"/>
            <w:vAlign w:val="center"/>
          </w:tcPr>
          <w:p w14:paraId="7C987DFB" w14:textId="72F7676B" w:rsidR="00B24E4B" w:rsidRPr="00D02748" w:rsidRDefault="00B24E4B" w:rsidP="00D02748">
            <w:pPr>
              <w:pStyle w:val="lgende"/>
              <w:rPr>
                <w:color w:val="0070C0"/>
              </w:rPr>
            </w:pPr>
            <w:r w:rsidRPr="00D02748">
              <w:rPr>
                <w:color w:val="0070C0"/>
              </w:rPr>
              <w:t xml:space="preserve">Figure </w:t>
            </w:r>
            <w:r w:rsidR="00462C2B">
              <w:rPr>
                <w:color w:val="0070C0"/>
              </w:rPr>
              <w:t>8</w:t>
            </w:r>
            <w:r w:rsidRPr="00D02748">
              <w:rPr>
                <w:color w:val="0070C0"/>
              </w:rPr>
              <w:t> : Réticulations intra-lobulaires à fines mailles dans le cadre d’une PINS. On note également quelques bronchectasies de traction (voir infra).</w:t>
            </w:r>
          </w:p>
        </w:tc>
        <w:tc>
          <w:tcPr>
            <w:tcW w:w="6998" w:type="dxa"/>
            <w:gridSpan w:val="2"/>
          </w:tcPr>
          <w:p w14:paraId="012605B7" w14:textId="77777777" w:rsidR="00B24E4B" w:rsidRDefault="00B24E4B" w:rsidP="0094705B">
            <w:pPr>
              <w:ind w:left="960" w:hanging="960"/>
              <w:jc w:val="center"/>
              <w:rPr>
                <w:i/>
                <w:iCs/>
              </w:rPr>
            </w:pPr>
            <w:r>
              <w:rPr>
                <w:i/>
                <w:iCs/>
                <w:noProof/>
              </w:rPr>
              <w:drawing>
                <wp:inline distT="0" distB="0" distL="0" distR="0" wp14:anchorId="54BE3EC3" wp14:editId="42D8822E">
                  <wp:extent cx="3528000" cy="2226287"/>
                  <wp:effectExtent l="0" t="0" r="0" b="3175"/>
                  <wp:docPr id="38" name="image36.jpg" descr="G:\NICE ENSEIGNEMENT\COLLEGE NATIONAL DES PU-PH\ECN - REFERENTIEL\EDITION 2019\ITEM_206_PID\FIGURES\FIGURES RETENUES\figure 8.jpg"/>
                  <wp:cNvGraphicFramePr/>
                  <a:graphic xmlns:a="http://schemas.openxmlformats.org/drawingml/2006/main">
                    <a:graphicData uri="http://schemas.openxmlformats.org/drawingml/2006/picture">
                      <pic:pic xmlns:pic="http://schemas.openxmlformats.org/drawingml/2006/picture">
                        <pic:nvPicPr>
                          <pic:cNvPr id="0" name="image36.jpg" descr="G:\NICE ENSEIGNEMENT\COLLEGE NATIONAL DES PU-PH\ECN - REFERENTIEL\EDITION 2019\ITEM_206_PID\FIGURES\FIGURES RETENUES\figure 8.jpg"/>
                          <pic:cNvPicPr preferRelativeResize="0"/>
                        </pic:nvPicPr>
                        <pic:blipFill>
                          <a:blip r:embed="rId27"/>
                          <a:srcRect/>
                          <a:stretch>
                            <a:fillRect/>
                          </a:stretch>
                        </pic:blipFill>
                        <pic:spPr>
                          <a:xfrm>
                            <a:off x="0" y="0"/>
                            <a:ext cx="3528000" cy="2226287"/>
                          </a:xfrm>
                          <a:prstGeom prst="rect">
                            <a:avLst/>
                          </a:prstGeom>
                          <a:ln/>
                        </pic:spPr>
                      </pic:pic>
                    </a:graphicData>
                  </a:graphic>
                </wp:inline>
              </w:drawing>
            </w:r>
          </w:p>
        </w:tc>
      </w:tr>
      <w:tr w:rsidR="00B24E4B" w14:paraId="756C656A" w14:textId="77777777" w:rsidTr="00D02748">
        <w:tc>
          <w:tcPr>
            <w:tcW w:w="2079" w:type="dxa"/>
            <w:vAlign w:val="center"/>
          </w:tcPr>
          <w:p w14:paraId="21CFAE55" w14:textId="7648870F" w:rsidR="00B24E4B" w:rsidRDefault="00B24E4B" w:rsidP="0094705B">
            <w:pPr>
              <w:pBdr>
                <w:top w:val="nil"/>
                <w:left w:val="nil"/>
                <w:bottom w:val="nil"/>
                <w:right w:val="nil"/>
                <w:between w:val="nil"/>
              </w:pBdr>
              <w:spacing w:line="276" w:lineRule="auto"/>
              <w:jc w:val="left"/>
              <w:rPr>
                <w:rFonts w:ascii="Arial" w:eastAsia="Arial" w:hAnsi="Arial" w:cs="Arial"/>
                <w:color w:val="0070C0"/>
                <w:sz w:val="18"/>
                <w:szCs w:val="18"/>
              </w:rPr>
            </w:pPr>
            <w:r>
              <w:rPr>
                <w:rFonts w:ascii="Arial" w:eastAsia="Arial" w:hAnsi="Arial" w:cs="Arial"/>
                <w:color w:val="0070C0"/>
                <w:sz w:val="18"/>
                <w:szCs w:val="18"/>
              </w:rPr>
              <w:lastRenderedPageBreak/>
              <w:t xml:space="preserve">Figure </w:t>
            </w:r>
            <w:r w:rsidR="00462C2B">
              <w:rPr>
                <w:rFonts w:ascii="Arial" w:eastAsia="Arial" w:hAnsi="Arial" w:cs="Arial"/>
                <w:color w:val="0070C0"/>
                <w:sz w:val="18"/>
                <w:szCs w:val="18"/>
              </w:rPr>
              <w:t>9</w:t>
            </w:r>
            <w:r>
              <w:rPr>
                <w:rFonts w:ascii="Arial" w:eastAsia="Arial" w:hAnsi="Arial" w:cs="Arial"/>
                <w:color w:val="0070C0"/>
                <w:sz w:val="18"/>
                <w:szCs w:val="18"/>
              </w:rPr>
              <w:t> : Kystes en rayon de miel correspondant à des espaces kystiques aériques limités par des parois épaissies, jointifs, disposés en couches dans les territoires périphériques sous-pleuraux et exemple de lésions en « rayon de miel » au cours d’une fibrose pulmonaire idiopathique.</w:t>
            </w:r>
          </w:p>
        </w:tc>
        <w:tc>
          <w:tcPr>
            <w:tcW w:w="6998" w:type="dxa"/>
            <w:gridSpan w:val="2"/>
          </w:tcPr>
          <w:p w14:paraId="375FC0FE" w14:textId="77777777" w:rsidR="00B24E4B" w:rsidRDefault="00B24E4B" w:rsidP="0094705B">
            <w:pPr>
              <w:pBdr>
                <w:top w:val="nil"/>
                <w:left w:val="nil"/>
                <w:bottom w:val="nil"/>
                <w:right w:val="nil"/>
                <w:between w:val="nil"/>
              </w:pBdr>
              <w:spacing w:line="276" w:lineRule="auto"/>
              <w:jc w:val="center"/>
              <w:rPr>
                <w:rFonts w:ascii="Arial" w:eastAsia="Arial" w:hAnsi="Arial" w:cs="Arial"/>
                <w:color w:val="0070C0"/>
                <w:sz w:val="18"/>
                <w:szCs w:val="18"/>
              </w:rPr>
            </w:pPr>
            <w:r>
              <w:rPr>
                <w:rFonts w:ascii="Arial" w:eastAsia="Arial" w:hAnsi="Arial" w:cs="Arial"/>
                <w:i/>
                <w:iCs/>
                <w:noProof/>
                <w:sz w:val="18"/>
                <w:szCs w:val="18"/>
              </w:rPr>
              <w:drawing>
                <wp:inline distT="0" distB="0" distL="0" distR="0" wp14:anchorId="7981E2E3" wp14:editId="6D4F5D5D">
                  <wp:extent cx="3600000" cy="2595547"/>
                  <wp:effectExtent l="0" t="0" r="635" b="0"/>
                  <wp:docPr id="17" name="image8.jpg" descr="schéma 2"/>
                  <wp:cNvGraphicFramePr/>
                  <a:graphic xmlns:a="http://schemas.openxmlformats.org/drawingml/2006/main">
                    <a:graphicData uri="http://schemas.openxmlformats.org/drawingml/2006/picture">
                      <pic:pic xmlns:pic="http://schemas.openxmlformats.org/drawingml/2006/picture">
                        <pic:nvPicPr>
                          <pic:cNvPr id="0" name="image8.jpg" descr="schéma 2"/>
                          <pic:cNvPicPr preferRelativeResize="0"/>
                        </pic:nvPicPr>
                        <pic:blipFill>
                          <a:blip r:embed="rId28"/>
                          <a:srcRect/>
                          <a:stretch>
                            <a:fillRect/>
                          </a:stretch>
                        </pic:blipFill>
                        <pic:spPr>
                          <a:xfrm>
                            <a:off x="0" y="0"/>
                            <a:ext cx="3600000" cy="2595547"/>
                          </a:xfrm>
                          <a:prstGeom prst="rect">
                            <a:avLst/>
                          </a:prstGeom>
                          <a:ln/>
                        </pic:spPr>
                      </pic:pic>
                    </a:graphicData>
                  </a:graphic>
                </wp:inline>
              </w:drawing>
            </w:r>
          </w:p>
          <w:p w14:paraId="6F7BA4C1" w14:textId="77777777" w:rsidR="00B24E4B" w:rsidRDefault="00B24E4B" w:rsidP="0094705B">
            <w:pPr>
              <w:pBdr>
                <w:top w:val="nil"/>
                <w:left w:val="nil"/>
                <w:bottom w:val="nil"/>
                <w:right w:val="nil"/>
                <w:between w:val="nil"/>
              </w:pBdr>
              <w:spacing w:line="276" w:lineRule="auto"/>
              <w:jc w:val="center"/>
              <w:rPr>
                <w:rFonts w:ascii="Arial" w:eastAsia="Arial" w:hAnsi="Arial" w:cs="Arial"/>
                <w:color w:val="0070C0"/>
                <w:sz w:val="18"/>
                <w:szCs w:val="18"/>
              </w:rPr>
            </w:pPr>
            <w:r>
              <w:rPr>
                <w:rFonts w:ascii="Arial" w:eastAsia="Arial" w:hAnsi="Arial" w:cs="Arial"/>
                <w:noProof/>
                <w:sz w:val="18"/>
                <w:szCs w:val="18"/>
              </w:rPr>
              <w:drawing>
                <wp:inline distT="0" distB="0" distL="0" distR="0" wp14:anchorId="5B2F1FE7" wp14:editId="39E7CFAA">
                  <wp:extent cx="3600000" cy="2880000"/>
                  <wp:effectExtent l="0" t="0" r="0" b="0"/>
                  <wp:docPr id="1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9"/>
                          <a:srcRect/>
                          <a:stretch>
                            <a:fillRect/>
                          </a:stretch>
                        </pic:blipFill>
                        <pic:spPr>
                          <a:xfrm>
                            <a:off x="0" y="0"/>
                            <a:ext cx="3600000" cy="2880000"/>
                          </a:xfrm>
                          <a:prstGeom prst="rect">
                            <a:avLst/>
                          </a:prstGeom>
                          <a:ln/>
                        </pic:spPr>
                      </pic:pic>
                    </a:graphicData>
                  </a:graphic>
                </wp:inline>
              </w:drawing>
            </w:r>
          </w:p>
        </w:tc>
      </w:tr>
      <w:tr w:rsidR="00B24E4B" w14:paraId="6E49C012" w14:textId="77777777" w:rsidTr="00D02748">
        <w:tc>
          <w:tcPr>
            <w:tcW w:w="2553" w:type="dxa"/>
            <w:gridSpan w:val="2"/>
            <w:vAlign w:val="center"/>
          </w:tcPr>
          <w:p w14:paraId="5A7B8386" w14:textId="54289720" w:rsidR="00B24E4B" w:rsidRDefault="00B24E4B" w:rsidP="0094705B">
            <w:pPr>
              <w:pBdr>
                <w:top w:val="nil"/>
                <w:left w:val="nil"/>
                <w:bottom w:val="nil"/>
                <w:right w:val="nil"/>
                <w:between w:val="nil"/>
              </w:pBdr>
              <w:spacing w:line="276" w:lineRule="auto"/>
              <w:jc w:val="left"/>
              <w:rPr>
                <w:rFonts w:ascii="Arial" w:eastAsia="Arial" w:hAnsi="Arial" w:cs="Arial"/>
                <w:color w:val="0070C0"/>
                <w:sz w:val="18"/>
                <w:szCs w:val="18"/>
              </w:rPr>
            </w:pPr>
            <w:r>
              <w:rPr>
                <w:rFonts w:ascii="Arial" w:eastAsia="Arial" w:hAnsi="Arial" w:cs="Arial"/>
                <w:color w:val="0070C0"/>
                <w:sz w:val="18"/>
                <w:szCs w:val="18"/>
              </w:rPr>
              <w:lastRenderedPageBreak/>
              <w:t>Figure 1</w:t>
            </w:r>
            <w:r w:rsidR="00462C2B">
              <w:rPr>
                <w:rFonts w:ascii="Arial" w:eastAsia="Arial" w:hAnsi="Arial" w:cs="Arial"/>
                <w:color w:val="0070C0"/>
                <w:sz w:val="18"/>
                <w:szCs w:val="18"/>
              </w:rPr>
              <w:t>0</w:t>
            </w:r>
            <w:r>
              <w:rPr>
                <w:rFonts w:ascii="Arial" w:eastAsia="Arial" w:hAnsi="Arial" w:cs="Arial"/>
                <w:color w:val="0070C0"/>
                <w:sz w:val="18"/>
                <w:szCs w:val="18"/>
              </w:rPr>
              <w:t> : Bronchectasies « par traction » distales au cours d’une fibrose pulmonaire idiopathique</w:t>
            </w:r>
          </w:p>
          <w:p w14:paraId="4F719ACC" w14:textId="77777777" w:rsidR="00B24E4B" w:rsidRDefault="00B24E4B" w:rsidP="0094705B">
            <w:pPr>
              <w:pBdr>
                <w:top w:val="nil"/>
                <w:left w:val="nil"/>
                <w:bottom w:val="nil"/>
                <w:right w:val="nil"/>
                <w:between w:val="nil"/>
              </w:pBdr>
              <w:spacing w:line="276" w:lineRule="auto"/>
              <w:jc w:val="left"/>
              <w:rPr>
                <w:rFonts w:ascii="Arial" w:eastAsia="Arial" w:hAnsi="Arial" w:cs="Arial"/>
                <w:color w:val="0070C0"/>
                <w:sz w:val="18"/>
                <w:szCs w:val="18"/>
              </w:rPr>
            </w:pPr>
            <w:r>
              <w:rPr>
                <w:rFonts w:ascii="Arial" w:eastAsia="Arial" w:hAnsi="Arial" w:cs="Arial"/>
                <w:color w:val="0070C0"/>
                <w:sz w:val="18"/>
                <w:szCs w:val="18"/>
              </w:rPr>
              <w:t>Il ne s’agit pas à proprement de bronchectasies car la paroi bronchique est normale ; elles résultent de la traction exercée sur les parois bronchiques quand la rétraction élastique du parenchyme augmente (fibrose).</w:t>
            </w:r>
          </w:p>
          <w:p w14:paraId="544C6C42" w14:textId="77777777" w:rsidR="00B24E4B" w:rsidRDefault="00B24E4B" w:rsidP="0094705B">
            <w:pPr>
              <w:ind w:left="1276" w:hanging="1276"/>
              <w:jc w:val="left"/>
              <w:rPr>
                <w:i/>
                <w:iCs/>
              </w:rPr>
            </w:pPr>
          </w:p>
        </w:tc>
        <w:tc>
          <w:tcPr>
            <w:tcW w:w="6524" w:type="dxa"/>
          </w:tcPr>
          <w:p w14:paraId="12E20C40" w14:textId="77777777" w:rsidR="00B24E4B" w:rsidRDefault="00B24E4B" w:rsidP="0094705B">
            <w:pPr>
              <w:spacing w:line="276" w:lineRule="auto"/>
              <w:ind w:left="1200" w:hanging="1200"/>
              <w:jc w:val="center"/>
              <w:rPr>
                <w:b/>
                <w:bCs/>
                <w:i/>
                <w:iCs/>
              </w:rPr>
            </w:pPr>
            <w:r>
              <w:rPr>
                <w:i/>
                <w:iCs/>
                <w:highlight w:val="black"/>
              </w:rPr>
              <w:t xml:space="preserve"> </w:t>
            </w:r>
            <w:r>
              <w:rPr>
                <w:b/>
                <w:bCs/>
                <w:i/>
                <w:iCs/>
                <w:noProof/>
              </w:rPr>
              <w:drawing>
                <wp:inline distT="0" distB="0" distL="0" distR="0" wp14:anchorId="0D167212" wp14:editId="3122D0B1">
                  <wp:extent cx="3600000" cy="2722864"/>
                  <wp:effectExtent l="0" t="0" r="0" b="0"/>
                  <wp:docPr id="19" name="image16.jpg" descr="II"/>
                  <wp:cNvGraphicFramePr/>
                  <a:graphic xmlns:a="http://schemas.openxmlformats.org/drawingml/2006/main">
                    <a:graphicData uri="http://schemas.openxmlformats.org/drawingml/2006/picture">
                      <pic:pic xmlns:pic="http://schemas.openxmlformats.org/drawingml/2006/picture">
                        <pic:nvPicPr>
                          <pic:cNvPr id="0" name="image16.jpg" descr="II"/>
                          <pic:cNvPicPr preferRelativeResize="0"/>
                        </pic:nvPicPr>
                        <pic:blipFill>
                          <a:blip r:embed="rId30"/>
                          <a:srcRect/>
                          <a:stretch>
                            <a:fillRect/>
                          </a:stretch>
                        </pic:blipFill>
                        <pic:spPr>
                          <a:xfrm>
                            <a:off x="0" y="0"/>
                            <a:ext cx="3600000" cy="2722864"/>
                          </a:xfrm>
                          <a:prstGeom prst="rect">
                            <a:avLst/>
                          </a:prstGeom>
                          <a:ln/>
                        </pic:spPr>
                      </pic:pic>
                    </a:graphicData>
                  </a:graphic>
                </wp:inline>
              </w:drawing>
            </w:r>
          </w:p>
          <w:p w14:paraId="04FCB8CA" w14:textId="77777777" w:rsidR="00B24E4B" w:rsidRDefault="00B24E4B" w:rsidP="0094705B">
            <w:pPr>
              <w:pBdr>
                <w:top w:val="nil"/>
                <w:left w:val="nil"/>
                <w:bottom w:val="nil"/>
                <w:right w:val="nil"/>
                <w:between w:val="nil"/>
              </w:pBdr>
              <w:spacing w:line="276" w:lineRule="auto"/>
              <w:rPr>
                <w:rFonts w:ascii="Arial" w:eastAsia="Arial" w:hAnsi="Arial" w:cs="Arial"/>
                <w:color w:val="0070C0"/>
                <w:sz w:val="18"/>
                <w:szCs w:val="18"/>
              </w:rPr>
            </w:pPr>
          </w:p>
        </w:tc>
      </w:tr>
    </w:tbl>
    <w:p w14:paraId="1E5A7691" w14:textId="77777777" w:rsidR="00B24E4B" w:rsidRDefault="00B24E4B" w:rsidP="00B24E4B">
      <w:pPr>
        <w:ind w:left="1134" w:hanging="1134"/>
        <w:rPr>
          <w:b/>
          <w:bCs/>
        </w:rPr>
      </w:pPr>
    </w:p>
    <w:p w14:paraId="0F834E41" w14:textId="77777777" w:rsidR="00B24E4B" w:rsidRDefault="00B24E4B" w:rsidP="00B24E4B">
      <w:pPr>
        <w:spacing w:line="276" w:lineRule="auto"/>
        <w:rPr>
          <w:i/>
          <w:iCs/>
        </w:rPr>
      </w:pPr>
      <w:r>
        <w:rPr>
          <w:color w:val="0070C0"/>
        </w:rPr>
        <w:t>Regroupements syndromiques = définition de profils scanographiques.</w:t>
      </w:r>
    </w:p>
    <w:p w14:paraId="3B5DC238" w14:textId="77777777" w:rsidR="00B24E4B" w:rsidRDefault="00B24E4B" w:rsidP="00B24E4B">
      <w:pPr>
        <w:pBdr>
          <w:top w:val="nil"/>
          <w:left w:val="nil"/>
          <w:bottom w:val="nil"/>
          <w:right w:val="nil"/>
          <w:between w:val="nil"/>
        </w:pBdr>
        <w:spacing w:line="276" w:lineRule="auto"/>
        <w:rPr>
          <w:color w:val="0070C0"/>
        </w:rPr>
      </w:pPr>
    </w:p>
    <w:p w14:paraId="16F0B770" w14:textId="77777777" w:rsidR="00B24E4B" w:rsidRDefault="00B24E4B" w:rsidP="00B24E4B">
      <w:pPr>
        <w:rPr>
          <w:color w:val="0070C0"/>
        </w:rPr>
      </w:pPr>
      <w:r>
        <w:rPr>
          <w:color w:val="0070C0"/>
        </w:rPr>
        <w:t>C’est la pierre angulaire de l’orientation étiologique.</w:t>
      </w:r>
    </w:p>
    <w:p w14:paraId="2BB9F60A" w14:textId="77777777" w:rsidR="00B24E4B" w:rsidRDefault="00B24E4B" w:rsidP="00B24E4B">
      <w:pPr>
        <w:rPr>
          <w:color w:val="0070C0"/>
        </w:rPr>
      </w:pPr>
    </w:p>
    <w:p w14:paraId="1820B9DF" w14:textId="77777777" w:rsidR="00B24E4B" w:rsidRDefault="00B24E4B" w:rsidP="00B24E4B">
      <w:pPr>
        <w:rPr>
          <w:color w:val="0070C0"/>
        </w:rPr>
      </w:pPr>
      <w:r>
        <w:rPr>
          <w:color w:val="0070C0"/>
        </w:rPr>
        <w:t>L’analyse des lésions présentes au scanner, la caractérisation des lésions élémentaires prédominantes, la topographie des lésions et la présence de lésions associées permettent de décrire des profils radiologiques (aspects) qui ont une valeur d’orientation étiologique essentielle.</w:t>
      </w:r>
    </w:p>
    <w:p w14:paraId="3A876A7E" w14:textId="77777777" w:rsidR="00B24E4B" w:rsidRDefault="00B24E4B" w:rsidP="00B24E4B">
      <w:pPr>
        <w:rPr>
          <w:color w:val="0070C0"/>
        </w:rPr>
      </w:pPr>
    </w:p>
    <w:p w14:paraId="780D2C60" w14:textId="77777777" w:rsidR="00B24E4B" w:rsidRDefault="00B24E4B" w:rsidP="00B24E4B">
      <w:pPr>
        <w:rPr>
          <w:color w:val="0070C0"/>
        </w:rPr>
      </w:pPr>
      <w:r>
        <w:rPr>
          <w:color w:val="0070C0"/>
        </w:rPr>
        <w:t>La présence d’anomalies extra-parenchymateuses peut orienter le diagnostic (ex. : adénopathies hilaires bilatérales, pleurésie).</w:t>
      </w:r>
    </w:p>
    <w:p w14:paraId="2C6C5F74" w14:textId="77777777" w:rsidR="00B24E4B" w:rsidRDefault="00B24E4B" w:rsidP="00B24E4B">
      <w:pPr>
        <w:rPr>
          <w:color w:val="0070C0"/>
        </w:rPr>
      </w:pPr>
    </w:p>
    <w:p w14:paraId="5496B34A" w14:textId="77777777" w:rsidR="00B24E4B" w:rsidRDefault="00B24E4B" w:rsidP="001C2618">
      <w:pPr>
        <w:pStyle w:val="Titre2"/>
      </w:pPr>
      <w:r>
        <w:t>Explorations fonctionnelles respiratoires (EFR)</w:t>
      </w:r>
    </w:p>
    <w:p w14:paraId="34690908" w14:textId="77777777" w:rsidR="00B24E4B" w:rsidRDefault="00B24E4B" w:rsidP="00B24E4B">
      <w:pPr>
        <w:spacing w:line="276" w:lineRule="auto"/>
        <w:rPr>
          <w:color w:val="0070C0"/>
        </w:rPr>
      </w:pPr>
      <w:r>
        <w:rPr>
          <w:color w:val="0070C0"/>
        </w:rPr>
        <w:t>Un trouble ventilatoire restrictif (TVR) pur caractérisé par :</w:t>
      </w:r>
    </w:p>
    <w:p w14:paraId="3C8C4801" w14:textId="77777777" w:rsidR="00B24E4B" w:rsidRDefault="00B24E4B" w:rsidP="00B24E4B">
      <w:pPr>
        <w:spacing w:line="276" w:lineRule="auto"/>
        <w:rPr>
          <w:color w:val="0070C0"/>
        </w:rPr>
      </w:pPr>
      <w:r>
        <w:rPr>
          <w:color w:val="0070C0"/>
        </w:rPr>
        <w:t>- Une diminution de la capacité pulmonaire totale (CPT &lt; 80 % de la valeur théorique (</w:t>
      </w:r>
      <w:proofErr w:type="spellStart"/>
      <w:r>
        <w:rPr>
          <w:color w:val="0070C0"/>
        </w:rPr>
        <w:t>théo</w:t>
      </w:r>
      <w:proofErr w:type="spellEnd"/>
      <w:r>
        <w:rPr>
          <w:color w:val="0070C0"/>
        </w:rPr>
        <w:t>).</w:t>
      </w:r>
    </w:p>
    <w:p w14:paraId="6CB32EDE" w14:textId="77777777" w:rsidR="00B24E4B" w:rsidRDefault="00B24E4B" w:rsidP="00B24E4B">
      <w:pPr>
        <w:spacing w:line="276" w:lineRule="auto"/>
        <w:rPr>
          <w:color w:val="0070C0"/>
        </w:rPr>
      </w:pPr>
      <w:r>
        <w:rPr>
          <w:color w:val="0070C0"/>
        </w:rPr>
        <w:t>- Une diminution homogène des volumes (capacité vitale) et des débits (VEMS) avec un rapport VEMS/CV &gt; 0,7.</w:t>
      </w:r>
    </w:p>
    <w:p w14:paraId="3119F90E" w14:textId="77777777" w:rsidR="00B24E4B" w:rsidRDefault="00B24E4B" w:rsidP="00B24E4B">
      <w:pPr>
        <w:spacing w:line="276" w:lineRule="auto"/>
        <w:rPr>
          <w:color w:val="0070C0"/>
        </w:rPr>
      </w:pPr>
      <w:r>
        <w:rPr>
          <w:color w:val="0070C0"/>
        </w:rPr>
        <w:t xml:space="preserve">- En cas de tabagisme, ou dans certaines connectivites (comme la polyarthrite rhumatoïde ou la maladie de Sjögren) un trouble ventilatoire obstructif peut être associé par atteinte des petites voies aériennes et/ou emphysème. </w:t>
      </w:r>
    </w:p>
    <w:p w14:paraId="4C74520C" w14:textId="77777777" w:rsidR="00B24E4B" w:rsidRDefault="00B24E4B" w:rsidP="00B24E4B">
      <w:pPr>
        <w:spacing w:line="276" w:lineRule="auto"/>
        <w:ind w:left="708"/>
        <w:rPr>
          <w:color w:val="0070C0"/>
        </w:rPr>
      </w:pPr>
    </w:p>
    <w:p w14:paraId="257C6689" w14:textId="77777777" w:rsidR="00B24E4B" w:rsidRDefault="00B24E4B" w:rsidP="00B24E4B">
      <w:pPr>
        <w:spacing w:line="276" w:lineRule="auto"/>
        <w:rPr>
          <w:color w:val="0070C0"/>
        </w:rPr>
      </w:pPr>
      <w:r>
        <w:rPr>
          <w:color w:val="0070C0"/>
        </w:rPr>
        <w:t>Une altération de la fonction «</w:t>
      </w:r>
      <w:r>
        <w:rPr>
          <w:rFonts w:ascii="Arial" w:eastAsia="Arial" w:hAnsi="Arial" w:cs="Arial"/>
          <w:color w:val="0070C0"/>
        </w:rPr>
        <w:t> </w:t>
      </w:r>
      <w:r>
        <w:rPr>
          <w:color w:val="0070C0"/>
        </w:rPr>
        <w:t>échangeur</w:t>
      </w:r>
      <w:r>
        <w:rPr>
          <w:rFonts w:ascii="Arial" w:eastAsia="Arial" w:hAnsi="Arial" w:cs="Arial"/>
          <w:color w:val="0070C0"/>
        </w:rPr>
        <w:t> </w:t>
      </w:r>
      <w:r>
        <w:rPr>
          <w:color w:val="0070C0"/>
        </w:rPr>
        <w:t xml:space="preserve">» </w:t>
      </w:r>
      <w:proofErr w:type="gramStart"/>
      <w:r>
        <w:rPr>
          <w:color w:val="0070C0"/>
        </w:rPr>
        <w:t>du poumon caractérisée</w:t>
      </w:r>
      <w:proofErr w:type="gramEnd"/>
      <w:r>
        <w:rPr>
          <w:color w:val="0070C0"/>
        </w:rPr>
        <w:t xml:space="preserve"> par :</w:t>
      </w:r>
    </w:p>
    <w:p w14:paraId="307656E2" w14:textId="77777777" w:rsidR="00B24E4B" w:rsidRDefault="00B24E4B" w:rsidP="00B24E4B">
      <w:pPr>
        <w:spacing w:line="276" w:lineRule="auto"/>
        <w:rPr>
          <w:color w:val="0070C0"/>
        </w:rPr>
      </w:pPr>
      <w:r>
        <w:rPr>
          <w:color w:val="0070C0"/>
        </w:rPr>
        <w:t xml:space="preserve">- Une diminution de la diffusion du monoxyde de carbone (DLCO &lt; 70 % </w:t>
      </w:r>
      <w:proofErr w:type="spellStart"/>
      <w:r>
        <w:rPr>
          <w:color w:val="0070C0"/>
        </w:rPr>
        <w:t>théo</w:t>
      </w:r>
      <w:proofErr w:type="spellEnd"/>
      <w:r>
        <w:rPr>
          <w:color w:val="0070C0"/>
        </w:rPr>
        <w:t>, témoin d’un trouble de la diffusion alvéolo- capillaire).</w:t>
      </w:r>
    </w:p>
    <w:p w14:paraId="46EFF005" w14:textId="77777777" w:rsidR="00B24E4B" w:rsidRDefault="00B24E4B" w:rsidP="00B24E4B">
      <w:pPr>
        <w:spacing w:line="276" w:lineRule="auto"/>
        <w:rPr>
          <w:color w:val="0070C0"/>
        </w:rPr>
      </w:pPr>
      <w:r>
        <w:rPr>
          <w:color w:val="0070C0"/>
        </w:rPr>
        <w:t>- Hypoxémie, souvent absente au repos : désaturation (🡾 SpO</w:t>
      </w:r>
      <w:r>
        <w:rPr>
          <w:color w:val="0070C0"/>
          <w:vertAlign w:val="subscript"/>
        </w:rPr>
        <w:t>2</w:t>
      </w:r>
      <w:r>
        <w:rPr>
          <w:color w:val="0070C0"/>
        </w:rPr>
        <w:t>) au test de marche de 6 minutes.</w:t>
      </w:r>
    </w:p>
    <w:p w14:paraId="7DD7DA70" w14:textId="77777777" w:rsidR="00B24E4B" w:rsidRDefault="00B24E4B" w:rsidP="00B24E4B">
      <w:pPr>
        <w:spacing w:line="276" w:lineRule="auto"/>
        <w:rPr>
          <w:color w:val="0070C0"/>
        </w:rPr>
      </w:pPr>
    </w:p>
    <w:p w14:paraId="5CE3E6BC" w14:textId="77777777" w:rsidR="00B24E4B" w:rsidRDefault="00B24E4B" w:rsidP="001C2618">
      <w:pPr>
        <w:pStyle w:val="Titre2"/>
        <w:rPr>
          <w:color w:val="0070C0"/>
        </w:rPr>
      </w:pPr>
      <w:r>
        <w:t>Biologie</w:t>
      </w:r>
    </w:p>
    <w:p w14:paraId="2E179171" w14:textId="77777777" w:rsidR="00B24E4B" w:rsidRDefault="00B24E4B" w:rsidP="00B24E4B">
      <w:pPr>
        <w:spacing w:line="276" w:lineRule="auto"/>
        <w:rPr>
          <w:color w:val="0070C0"/>
        </w:rPr>
      </w:pPr>
      <w:r>
        <w:rPr>
          <w:color w:val="0070C0"/>
        </w:rPr>
        <w:lastRenderedPageBreak/>
        <w:t>Biologie sanguine</w:t>
      </w:r>
    </w:p>
    <w:tbl>
      <w:tblPr>
        <w:tblW w:w="9072"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000" w:firstRow="0" w:lastRow="0" w:firstColumn="0" w:lastColumn="0" w:noHBand="0" w:noVBand="0"/>
      </w:tblPr>
      <w:tblGrid>
        <w:gridCol w:w="5812"/>
        <w:gridCol w:w="3260"/>
      </w:tblGrid>
      <w:tr w:rsidR="00B24E4B" w14:paraId="6E7C30FB" w14:textId="77777777" w:rsidTr="001C2618">
        <w:tc>
          <w:tcPr>
            <w:tcW w:w="5812" w:type="dxa"/>
            <w:shd w:val="clear" w:color="auto" w:fill="0070C0"/>
          </w:tcPr>
          <w:p w14:paraId="5933590B" w14:textId="77777777" w:rsidR="00B24E4B" w:rsidRDefault="00B24E4B" w:rsidP="0094705B">
            <w:pPr>
              <w:jc w:val="center"/>
              <w:rPr>
                <w:b/>
                <w:bCs/>
                <w:color w:val="FFFFFF"/>
              </w:rPr>
            </w:pPr>
            <w:r>
              <w:rPr>
                <w:b/>
                <w:bCs/>
                <w:color w:val="FFFFFF"/>
              </w:rPr>
              <w:t>Examens biologiques</w:t>
            </w:r>
          </w:p>
        </w:tc>
        <w:tc>
          <w:tcPr>
            <w:tcW w:w="3260" w:type="dxa"/>
            <w:shd w:val="clear" w:color="auto" w:fill="0070C0"/>
          </w:tcPr>
          <w:p w14:paraId="21EBCF4B" w14:textId="77777777" w:rsidR="00B24E4B" w:rsidRDefault="00B24E4B" w:rsidP="0094705B">
            <w:pPr>
              <w:jc w:val="center"/>
              <w:rPr>
                <w:b/>
                <w:bCs/>
                <w:color w:val="FFFFFF"/>
              </w:rPr>
            </w:pPr>
            <w:r>
              <w:rPr>
                <w:b/>
                <w:bCs/>
                <w:color w:val="FFFFFF"/>
              </w:rPr>
              <w:t>Signes ou maladies recherchés</w:t>
            </w:r>
          </w:p>
        </w:tc>
      </w:tr>
      <w:tr w:rsidR="00B24E4B" w14:paraId="5FC3C9F9" w14:textId="77777777" w:rsidTr="001C2618">
        <w:tc>
          <w:tcPr>
            <w:tcW w:w="5812" w:type="dxa"/>
            <w:vMerge w:val="restart"/>
            <w:vAlign w:val="center"/>
          </w:tcPr>
          <w:p w14:paraId="2D700AFD" w14:textId="77777777" w:rsidR="00B24E4B" w:rsidRDefault="00B24E4B" w:rsidP="0094705B">
            <w:pPr>
              <w:jc w:val="left"/>
              <w:rPr>
                <w:b/>
                <w:bCs/>
                <w:color w:val="0070C0"/>
              </w:rPr>
            </w:pPr>
            <w:r>
              <w:rPr>
                <w:color w:val="0070C0"/>
              </w:rPr>
              <w:t>NFS, CRP</w:t>
            </w:r>
          </w:p>
        </w:tc>
        <w:tc>
          <w:tcPr>
            <w:tcW w:w="3260" w:type="dxa"/>
          </w:tcPr>
          <w:p w14:paraId="3E6264DA" w14:textId="77777777" w:rsidR="00B24E4B" w:rsidRDefault="00B24E4B" w:rsidP="0094705B">
            <w:pPr>
              <w:rPr>
                <w:color w:val="0070C0"/>
              </w:rPr>
            </w:pPr>
            <w:r>
              <w:rPr>
                <w:color w:val="0070C0"/>
              </w:rPr>
              <w:t>Syndrome inflammatoire biologique</w:t>
            </w:r>
          </w:p>
        </w:tc>
      </w:tr>
      <w:tr w:rsidR="00B24E4B" w14:paraId="6E0F8804" w14:textId="77777777" w:rsidTr="001C2618">
        <w:tc>
          <w:tcPr>
            <w:tcW w:w="5812" w:type="dxa"/>
            <w:vMerge/>
            <w:vAlign w:val="center"/>
          </w:tcPr>
          <w:p w14:paraId="752839EF" w14:textId="77777777" w:rsidR="00B24E4B" w:rsidRDefault="00B24E4B" w:rsidP="0094705B">
            <w:pPr>
              <w:widowControl w:val="0"/>
              <w:pBdr>
                <w:top w:val="nil"/>
                <w:left w:val="nil"/>
                <w:bottom w:val="nil"/>
                <w:right w:val="nil"/>
                <w:between w:val="nil"/>
              </w:pBdr>
              <w:spacing w:line="276" w:lineRule="auto"/>
              <w:jc w:val="left"/>
              <w:rPr>
                <w:color w:val="0070C0"/>
              </w:rPr>
            </w:pPr>
          </w:p>
        </w:tc>
        <w:tc>
          <w:tcPr>
            <w:tcW w:w="3260" w:type="dxa"/>
          </w:tcPr>
          <w:p w14:paraId="234375EB" w14:textId="77777777" w:rsidR="00B24E4B" w:rsidRDefault="00B24E4B" w:rsidP="0094705B">
            <w:pPr>
              <w:rPr>
                <w:color w:val="0070C0"/>
              </w:rPr>
            </w:pPr>
            <w:r>
              <w:rPr>
                <w:color w:val="0070C0"/>
              </w:rPr>
              <w:t>Hyperéosinophilie, lymphopénie</w:t>
            </w:r>
          </w:p>
        </w:tc>
      </w:tr>
      <w:tr w:rsidR="00B24E4B" w14:paraId="70B26AD1" w14:textId="77777777" w:rsidTr="001C2618">
        <w:tc>
          <w:tcPr>
            <w:tcW w:w="5812" w:type="dxa"/>
            <w:vAlign w:val="center"/>
          </w:tcPr>
          <w:p w14:paraId="64E204E0" w14:textId="77777777" w:rsidR="00B24E4B" w:rsidRDefault="00B24E4B" w:rsidP="0094705B">
            <w:pPr>
              <w:jc w:val="left"/>
              <w:rPr>
                <w:b/>
                <w:bCs/>
                <w:color w:val="0070C0"/>
              </w:rPr>
            </w:pPr>
            <w:r>
              <w:rPr>
                <w:color w:val="0070C0"/>
              </w:rPr>
              <w:t>BNP</w:t>
            </w:r>
          </w:p>
        </w:tc>
        <w:tc>
          <w:tcPr>
            <w:tcW w:w="3260" w:type="dxa"/>
          </w:tcPr>
          <w:p w14:paraId="4DE1F64B" w14:textId="77777777" w:rsidR="00B24E4B" w:rsidRDefault="00B24E4B" w:rsidP="0094705B">
            <w:pPr>
              <w:rPr>
                <w:color w:val="0070C0"/>
              </w:rPr>
            </w:pPr>
            <w:r>
              <w:rPr>
                <w:color w:val="0070C0"/>
              </w:rPr>
              <w:t xml:space="preserve">Insuffisance cardiaque </w:t>
            </w:r>
          </w:p>
        </w:tc>
      </w:tr>
      <w:tr w:rsidR="00B24E4B" w14:paraId="3A70A91F" w14:textId="77777777" w:rsidTr="001C2618">
        <w:tc>
          <w:tcPr>
            <w:tcW w:w="5812" w:type="dxa"/>
            <w:vAlign w:val="center"/>
          </w:tcPr>
          <w:p w14:paraId="07B8D063" w14:textId="77777777" w:rsidR="00B24E4B" w:rsidRDefault="00B24E4B" w:rsidP="0094705B">
            <w:pPr>
              <w:jc w:val="left"/>
              <w:rPr>
                <w:b/>
                <w:bCs/>
                <w:color w:val="0070C0"/>
              </w:rPr>
            </w:pPr>
            <w:r>
              <w:rPr>
                <w:color w:val="0070C0"/>
              </w:rPr>
              <w:t>Créatininémie, bandelette urinaire</w:t>
            </w:r>
          </w:p>
        </w:tc>
        <w:tc>
          <w:tcPr>
            <w:tcW w:w="3260" w:type="dxa"/>
          </w:tcPr>
          <w:p w14:paraId="581F0E33" w14:textId="77777777" w:rsidR="00B24E4B" w:rsidRDefault="00B24E4B" w:rsidP="0094705B">
            <w:pPr>
              <w:rPr>
                <w:color w:val="0070C0"/>
              </w:rPr>
            </w:pPr>
            <w:r>
              <w:rPr>
                <w:color w:val="0070C0"/>
              </w:rPr>
              <w:t>Insuffisance rénale</w:t>
            </w:r>
          </w:p>
        </w:tc>
      </w:tr>
      <w:tr w:rsidR="00B24E4B" w14:paraId="3156599B" w14:textId="77777777" w:rsidTr="001C2618">
        <w:tc>
          <w:tcPr>
            <w:tcW w:w="5812" w:type="dxa"/>
            <w:vAlign w:val="center"/>
          </w:tcPr>
          <w:p w14:paraId="0F14E800" w14:textId="77777777" w:rsidR="00B24E4B" w:rsidRDefault="00B24E4B" w:rsidP="0094705B">
            <w:pPr>
              <w:jc w:val="left"/>
              <w:rPr>
                <w:b/>
                <w:bCs/>
                <w:color w:val="0070C0"/>
              </w:rPr>
            </w:pPr>
            <w:r>
              <w:rPr>
                <w:color w:val="0070C0"/>
              </w:rPr>
              <w:t xml:space="preserve">Dosage des </w:t>
            </w:r>
            <w:proofErr w:type="spellStart"/>
            <w:r>
              <w:rPr>
                <w:color w:val="0070C0"/>
              </w:rPr>
              <w:t>précipitines</w:t>
            </w:r>
            <w:proofErr w:type="spellEnd"/>
            <w:r>
              <w:rPr>
                <w:color w:val="0070C0"/>
              </w:rPr>
              <w:t xml:space="preserve"> sériques</w:t>
            </w:r>
            <w:r>
              <w:rPr>
                <w:color w:val="0070C0"/>
                <w:vertAlign w:val="superscript"/>
              </w:rPr>
              <w:footnoteReference w:id="3"/>
            </w:r>
          </w:p>
        </w:tc>
        <w:tc>
          <w:tcPr>
            <w:tcW w:w="3260" w:type="dxa"/>
          </w:tcPr>
          <w:p w14:paraId="30150465" w14:textId="77777777" w:rsidR="00B24E4B" w:rsidRDefault="00B24E4B" w:rsidP="0094705B">
            <w:pPr>
              <w:rPr>
                <w:color w:val="0070C0"/>
              </w:rPr>
            </w:pPr>
            <w:r>
              <w:rPr>
                <w:color w:val="0070C0"/>
              </w:rPr>
              <w:t>Pneumopathies d’hypersensibilité</w:t>
            </w:r>
          </w:p>
        </w:tc>
      </w:tr>
      <w:tr w:rsidR="00B24E4B" w14:paraId="03A7D037" w14:textId="77777777" w:rsidTr="001C2618">
        <w:tc>
          <w:tcPr>
            <w:tcW w:w="5812" w:type="dxa"/>
          </w:tcPr>
          <w:p w14:paraId="58B84AA7" w14:textId="77777777" w:rsidR="00B24E4B" w:rsidRDefault="00B24E4B" w:rsidP="0094705B">
            <w:pPr>
              <w:rPr>
                <w:b/>
                <w:bCs/>
                <w:color w:val="0070C0"/>
              </w:rPr>
            </w:pPr>
            <w:r>
              <w:rPr>
                <w:color w:val="0070C0"/>
              </w:rPr>
              <w:t>Calcémie, calciurie</w:t>
            </w:r>
          </w:p>
        </w:tc>
        <w:tc>
          <w:tcPr>
            <w:tcW w:w="3260" w:type="dxa"/>
            <w:vAlign w:val="center"/>
          </w:tcPr>
          <w:p w14:paraId="3114BD1D" w14:textId="77777777" w:rsidR="00B24E4B" w:rsidRDefault="00B24E4B" w:rsidP="0094705B">
            <w:pPr>
              <w:jc w:val="left"/>
              <w:rPr>
                <w:b/>
                <w:bCs/>
                <w:color w:val="0070C0"/>
              </w:rPr>
            </w:pPr>
            <w:r>
              <w:rPr>
                <w:color w:val="0070C0"/>
              </w:rPr>
              <w:t>Sarcoïdose</w:t>
            </w:r>
          </w:p>
        </w:tc>
      </w:tr>
      <w:tr w:rsidR="00B24E4B" w14:paraId="708CD643" w14:textId="77777777" w:rsidTr="001C2618">
        <w:tc>
          <w:tcPr>
            <w:tcW w:w="5812" w:type="dxa"/>
          </w:tcPr>
          <w:p w14:paraId="57EB76D1" w14:textId="77777777" w:rsidR="00B24E4B" w:rsidRDefault="00B24E4B" w:rsidP="0094705B">
            <w:pPr>
              <w:rPr>
                <w:color w:val="0070C0"/>
              </w:rPr>
            </w:pPr>
            <w:r>
              <w:rPr>
                <w:color w:val="0070C0"/>
              </w:rPr>
              <w:t xml:space="preserve">Facteur rhumatoïde, </w:t>
            </w:r>
            <w:proofErr w:type="spellStart"/>
            <w:r>
              <w:rPr>
                <w:color w:val="0070C0"/>
              </w:rPr>
              <w:t>Ac</w:t>
            </w:r>
            <w:proofErr w:type="spellEnd"/>
            <w:r>
              <w:rPr>
                <w:color w:val="0070C0"/>
              </w:rPr>
              <w:t xml:space="preserve"> anti-CCP, </w:t>
            </w:r>
            <w:proofErr w:type="spellStart"/>
            <w:r>
              <w:rPr>
                <w:color w:val="0070C0"/>
              </w:rPr>
              <w:t>Ac</w:t>
            </w:r>
            <w:proofErr w:type="spellEnd"/>
            <w:r>
              <w:rPr>
                <w:color w:val="0070C0"/>
              </w:rPr>
              <w:t xml:space="preserve"> anti-nucléaires, </w:t>
            </w:r>
            <w:proofErr w:type="spellStart"/>
            <w:r>
              <w:rPr>
                <w:color w:val="0070C0"/>
              </w:rPr>
              <w:t>Ac</w:t>
            </w:r>
            <w:proofErr w:type="spellEnd"/>
            <w:r>
              <w:rPr>
                <w:color w:val="0070C0"/>
              </w:rPr>
              <w:t xml:space="preserve"> anti-ECT, (</w:t>
            </w:r>
            <w:proofErr w:type="spellStart"/>
            <w:r>
              <w:rPr>
                <w:color w:val="0070C0"/>
              </w:rPr>
              <w:t>Ac</w:t>
            </w:r>
            <w:proofErr w:type="spellEnd"/>
            <w:r>
              <w:rPr>
                <w:color w:val="0070C0"/>
              </w:rPr>
              <w:t xml:space="preserve"> dirigés contre des antigènes spécifiques de certaines connectivites), </w:t>
            </w:r>
            <w:proofErr w:type="spellStart"/>
            <w:r>
              <w:rPr>
                <w:color w:val="0070C0"/>
              </w:rPr>
              <w:t>Ac</w:t>
            </w:r>
            <w:proofErr w:type="spellEnd"/>
            <w:r>
              <w:rPr>
                <w:color w:val="0070C0"/>
              </w:rPr>
              <w:t xml:space="preserve"> anti-ADN natif, selon l’orientation </w:t>
            </w:r>
            <w:proofErr w:type="spellStart"/>
            <w:r>
              <w:rPr>
                <w:color w:val="0070C0"/>
              </w:rPr>
              <w:t>Ac</w:t>
            </w:r>
            <w:proofErr w:type="spellEnd"/>
            <w:r>
              <w:rPr>
                <w:color w:val="0070C0"/>
              </w:rPr>
              <w:t xml:space="preserve"> myosites ou </w:t>
            </w:r>
            <w:proofErr w:type="spellStart"/>
            <w:r>
              <w:rPr>
                <w:color w:val="0070C0"/>
              </w:rPr>
              <w:t>Ac</w:t>
            </w:r>
            <w:proofErr w:type="spellEnd"/>
            <w:r>
              <w:rPr>
                <w:color w:val="0070C0"/>
              </w:rPr>
              <w:t xml:space="preserve"> sclérodermie</w:t>
            </w:r>
          </w:p>
        </w:tc>
        <w:tc>
          <w:tcPr>
            <w:tcW w:w="3260" w:type="dxa"/>
            <w:vAlign w:val="center"/>
          </w:tcPr>
          <w:p w14:paraId="7F3A0989" w14:textId="77777777" w:rsidR="00B24E4B" w:rsidRDefault="00B24E4B" w:rsidP="0094705B">
            <w:pPr>
              <w:jc w:val="left"/>
              <w:rPr>
                <w:color w:val="0070C0"/>
              </w:rPr>
            </w:pPr>
            <w:r>
              <w:rPr>
                <w:color w:val="0070C0"/>
              </w:rPr>
              <w:t>Connectivites</w:t>
            </w:r>
          </w:p>
        </w:tc>
      </w:tr>
      <w:tr w:rsidR="00B24E4B" w14:paraId="2D8AE75F" w14:textId="77777777" w:rsidTr="001C2618">
        <w:tc>
          <w:tcPr>
            <w:tcW w:w="5812" w:type="dxa"/>
          </w:tcPr>
          <w:p w14:paraId="6604AE2A" w14:textId="77777777" w:rsidR="00B24E4B" w:rsidRDefault="00B24E4B" w:rsidP="0094705B">
            <w:pPr>
              <w:rPr>
                <w:color w:val="0070C0"/>
              </w:rPr>
            </w:pPr>
            <w:r>
              <w:rPr>
                <w:color w:val="0070C0"/>
              </w:rPr>
              <w:t>ANCA +/- anticorps anti-MBG (membrane basale glomérulaire)</w:t>
            </w:r>
          </w:p>
        </w:tc>
        <w:tc>
          <w:tcPr>
            <w:tcW w:w="3260" w:type="dxa"/>
            <w:vAlign w:val="center"/>
          </w:tcPr>
          <w:p w14:paraId="5C9A7BC4" w14:textId="77777777" w:rsidR="00B24E4B" w:rsidRDefault="00B24E4B" w:rsidP="0094705B">
            <w:pPr>
              <w:jc w:val="left"/>
              <w:rPr>
                <w:color w:val="0070C0"/>
              </w:rPr>
            </w:pPr>
            <w:r>
              <w:rPr>
                <w:color w:val="0070C0"/>
              </w:rPr>
              <w:t>Vascularites</w:t>
            </w:r>
          </w:p>
        </w:tc>
      </w:tr>
    </w:tbl>
    <w:p w14:paraId="44DAE0D5" w14:textId="77777777" w:rsidR="00B24E4B" w:rsidRDefault="00B24E4B" w:rsidP="00B24E4B">
      <w:pPr>
        <w:spacing w:line="276" w:lineRule="auto"/>
        <w:jc w:val="left"/>
        <w:rPr>
          <w:color w:val="0070C0"/>
        </w:rPr>
      </w:pPr>
    </w:p>
    <w:p w14:paraId="1BF0237F" w14:textId="77777777" w:rsidR="00B24E4B" w:rsidRDefault="00B24E4B" w:rsidP="001C2618">
      <w:pPr>
        <w:pStyle w:val="Titre2"/>
      </w:pPr>
      <w:r>
        <w:t>Fibroscopie bronchique avec lavage broncho-alvéolaire</w:t>
      </w:r>
    </w:p>
    <w:p w14:paraId="668E89FD" w14:textId="77777777" w:rsidR="00B24E4B" w:rsidRDefault="00B24E4B" w:rsidP="00B24E4B">
      <w:pPr>
        <w:spacing w:line="276" w:lineRule="auto"/>
        <w:rPr>
          <w:color w:val="0070C0"/>
        </w:rPr>
      </w:pPr>
      <w:r>
        <w:rPr>
          <w:color w:val="0070C0"/>
        </w:rPr>
        <w:t>- Non systématique.</w:t>
      </w:r>
    </w:p>
    <w:p w14:paraId="05509A5C" w14:textId="77777777" w:rsidR="00B24E4B" w:rsidRDefault="00B24E4B" w:rsidP="00B24E4B">
      <w:pPr>
        <w:spacing w:line="276" w:lineRule="auto"/>
        <w:rPr>
          <w:color w:val="0070C0"/>
        </w:rPr>
      </w:pPr>
      <w:r>
        <w:rPr>
          <w:color w:val="0070C0"/>
        </w:rPr>
        <w:t>- Réalisé au cours d’une bronchoscopie souple.</w:t>
      </w:r>
    </w:p>
    <w:p w14:paraId="003E8109" w14:textId="77777777" w:rsidR="00B24E4B" w:rsidRDefault="00B24E4B" w:rsidP="00B24E4B">
      <w:pPr>
        <w:spacing w:line="276" w:lineRule="auto"/>
        <w:rPr>
          <w:color w:val="0070C0"/>
        </w:rPr>
      </w:pPr>
      <w:r>
        <w:rPr>
          <w:color w:val="0070C0"/>
        </w:rPr>
        <w:t>- Fournit des éléments d’</w:t>
      </w:r>
      <w:r>
        <w:rPr>
          <w:b/>
          <w:bCs/>
          <w:color w:val="0070C0"/>
        </w:rPr>
        <w:t>orientation étiologique</w:t>
      </w:r>
      <w:r>
        <w:rPr>
          <w:color w:val="0070C0"/>
        </w:rPr>
        <w:t xml:space="preserve"> en fonction de la formule cytologique.</w:t>
      </w:r>
    </w:p>
    <w:p w14:paraId="78E8DFED" w14:textId="77777777" w:rsidR="00B24E4B" w:rsidRDefault="00B24E4B" w:rsidP="00B24E4B">
      <w:pPr>
        <w:spacing w:line="276" w:lineRule="auto"/>
        <w:rPr>
          <w:color w:val="0070C0"/>
        </w:rPr>
      </w:pPr>
      <w:r>
        <w:rPr>
          <w:color w:val="0070C0"/>
        </w:rPr>
        <w:t>- Le LBA du sujet normal est composé principalement de macrophages alvéolaires (85-95 %) et de lymphocytes (5-15 %). Quand le nombre de cellules/</w:t>
      </w:r>
      <w:proofErr w:type="spellStart"/>
      <w:r>
        <w:rPr>
          <w:color w:val="0070C0"/>
        </w:rPr>
        <w:t>mL</w:t>
      </w:r>
      <w:proofErr w:type="spellEnd"/>
      <w:r>
        <w:rPr>
          <w:color w:val="0070C0"/>
        </w:rPr>
        <w:t xml:space="preserve"> augmente, on parle d’alvéolite. En cas de tabagisme, le nombre et le pourcentage de macrophages augmentent (alvéolite macrophagique).</w:t>
      </w:r>
    </w:p>
    <w:p w14:paraId="18E38701" w14:textId="77777777" w:rsidR="00B24E4B" w:rsidRDefault="00B24E4B" w:rsidP="00B24E4B">
      <w:pPr>
        <w:spacing w:line="276" w:lineRule="auto"/>
        <w:rPr>
          <w:color w:val="0070C0"/>
        </w:rPr>
      </w:pPr>
      <w:r>
        <w:rPr>
          <w:color w:val="0070C0"/>
        </w:rPr>
        <w:t xml:space="preserve">- Peut donner une </w:t>
      </w:r>
      <w:r>
        <w:rPr>
          <w:b/>
          <w:bCs/>
          <w:color w:val="0070C0"/>
        </w:rPr>
        <w:t>certitude diagnostique</w:t>
      </w:r>
      <w:r>
        <w:rPr>
          <w:color w:val="0070C0"/>
        </w:rPr>
        <w:t xml:space="preserve"> si : </w:t>
      </w:r>
    </w:p>
    <w:p w14:paraId="6BBEF59F" w14:textId="77777777" w:rsidR="00B24E4B" w:rsidRDefault="00B24E4B">
      <w:pPr>
        <w:numPr>
          <w:ilvl w:val="0"/>
          <w:numId w:val="15"/>
        </w:numPr>
        <w:spacing w:line="276" w:lineRule="auto"/>
        <w:ind w:left="284" w:hanging="142"/>
        <w:rPr>
          <w:color w:val="0070C0"/>
        </w:rPr>
      </w:pPr>
      <w:r>
        <w:rPr>
          <w:color w:val="0070C0"/>
        </w:rPr>
        <w:t>Cellules malignes.</w:t>
      </w:r>
    </w:p>
    <w:p w14:paraId="17E1C0D0" w14:textId="77777777" w:rsidR="00B24E4B" w:rsidRDefault="00B24E4B">
      <w:pPr>
        <w:numPr>
          <w:ilvl w:val="0"/>
          <w:numId w:val="15"/>
        </w:numPr>
        <w:spacing w:line="276" w:lineRule="auto"/>
        <w:ind w:left="284" w:hanging="142"/>
        <w:rPr>
          <w:color w:val="0070C0"/>
        </w:rPr>
      </w:pPr>
      <w:r>
        <w:rPr>
          <w:color w:val="0070C0"/>
        </w:rPr>
        <w:t>Agents infectieux pathogènes.</w:t>
      </w:r>
    </w:p>
    <w:p w14:paraId="4AAE9C57" w14:textId="77777777" w:rsidR="00B24E4B" w:rsidRDefault="00B24E4B">
      <w:pPr>
        <w:numPr>
          <w:ilvl w:val="0"/>
          <w:numId w:val="15"/>
        </w:numPr>
        <w:spacing w:line="276" w:lineRule="auto"/>
        <w:ind w:left="284" w:hanging="142"/>
        <w:rPr>
          <w:color w:val="0070C0"/>
        </w:rPr>
      </w:pPr>
      <w:r>
        <w:rPr>
          <w:color w:val="0070C0"/>
        </w:rPr>
        <w:t xml:space="preserve">Présence de </w:t>
      </w:r>
      <w:proofErr w:type="spellStart"/>
      <w:r>
        <w:rPr>
          <w:color w:val="0070C0"/>
        </w:rPr>
        <w:t>sidérophages</w:t>
      </w:r>
      <w:proofErr w:type="spellEnd"/>
      <w:r>
        <w:rPr>
          <w:color w:val="0070C0"/>
        </w:rPr>
        <w:t xml:space="preserve"> (en faveur d’une hémorragie alvéolaire).</w:t>
      </w:r>
    </w:p>
    <w:p w14:paraId="27B098F6" w14:textId="77777777" w:rsidR="00B24E4B" w:rsidRDefault="00B24E4B" w:rsidP="00B24E4B">
      <w:pPr>
        <w:spacing w:line="276" w:lineRule="auto"/>
        <w:rPr>
          <w:b/>
          <w:bCs/>
          <w:i/>
          <w:iCs/>
        </w:rPr>
      </w:pPr>
    </w:p>
    <w:p w14:paraId="3CE8E9A9" w14:textId="77777777" w:rsidR="00B24E4B" w:rsidRDefault="00B24E4B" w:rsidP="001C2618">
      <w:pPr>
        <w:pStyle w:val="Titre2"/>
      </w:pPr>
      <w:r>
        <w:t>Apport de l’histologie</w:t>
      </w:r>
    </w:p>
    <w:p w14:paraId="4E58DF7F" w14:textId="77777777" w:rsidR="00B24E4B" w:rsidRDefault="00B24E4B" w:rsidP="00B24E4B">
      <w:pPr>
        <w:spacing w:line="276" w:lineRule="auto"/>
        <w:rPr>
          <w:color w:val="0070C0"/>
        </w:rPr>
      </w:pPr>
      <w:r>
        <w:rPr>
          <w:color w:val="0070C0"/>
        </w:rPr>
        <w:t>La démarche diagnostique fait appel à l’histologie dans moins de 15 % des PID.</w:t>
      </w:r>
    </w:p>
    <w:p w14:paraId="4282E294" w14:textId="77777777" w:rsidR="00B24E4B" w:rsidRDefault="00B24E4B" w:rsidP="00B24E4B">
      <w:pPr>
        <w:spacing w:line="276" w:lineRule="auto"/>
        <w:rPr>
          <w:color w:val="0070C0"/>
        </w:rPr>
      </w:pPr>
    </w:p>
    <w:p w14:paraId="5D111905" w14:textId="77777777" w:rsidR="001C2618" w:rsidRPr="001C2618" w:rsidRDefault="001C2618" w:rsidP="001C2618">
      <w:pPr>
        <w:pStyle w:val="Paragraphedeliste"/>
        <w:numPr>
          <w:ilvl w:val="0"/>
          <w:numId w:val="1"/>
        </w:numPr>
        <w:spacing w:after="240"/>
        <w:outlineLvl w:val="2"/>
        <w:rPr>
          <w:b/>
          <w:bCs/>
          <w:vanish/>
        </w:rPr>
      </w:pPr>
    </w:p>
    <w:p w14:paraId="4C5AD874" w14:textId="77777777" w:rsidR="001C2618" w:rsidRPr="001C2618" w:rsidRDefault="001C2618" w:rsidP="001C2618">
      <w:pPr>
        <w:pStyle w:val="Paragraphedeliste"/>
        <w:numPr>
          <w:ilvl w:val="0"/>
          <w:numId w:val="1"/>
        </w:numPr>
        <w:spacing w:after="240"/>
        <w:outlineLvl w:val="2"/>
        <w:rPr>
          <w:b/>
          <w:bCs/>
          <w:vanish/>
        </w:rPr>
      </w:pPr>
    </w:p>
    <w:p w14:paraId="1F56AEE0" w14:textId="77777777" w:rsidR="001C2618" w:rsidRPr="001C2618" w:rsidRDefault="001C2618" w:rsidP="001C2618">
      <w:pPr>
        <w:pStyle w:val="Paragraphedeliste"/>
        <w:numPr>
          <w:ilvl w:val="0"/>
          <w:numId w:val="1"/>
        </w:numPr>
        <w:spacing w:after="240"/>
        <w:outlineLvl w:val="2"/>
        <w:rPr>
          <w:b/>
          <w:bCs/>
          <w:vanish/>
        </w:rPr>
      </w:pPr>
    </w:p>
    <w:p w14:paraId="45ACC274" w14:textId="77777777" w:rsidR="001C2618" w:rsidRPr="001C2618" w:rsidRDefault="001C2618" w:rsidP="001C2618">
      <w:pPr>
        <w:pStyle w:val="Paragraphedeliste"/>
        <w:numPr>
          <w:ilvl w:val="0"/>
          <w:numId w:val="1"/>
        </w:numPr>
        <w:spacing w:after="240"/>
        <w:outlineLvl w:val="2"/>
        <w:rPr>
          <w:b/>
          <w:bCs/>
          <w:vanish/>
        </w:rPr>
      </w:pPr>
    </w:p>
    <w:p w14:paraId="6DF10552" w14:textId="77777777" w:rsidR="001C2618" w:rsidRPr="001C2618" w:rsidRDefault="001C2618" w:rsidP="001C2618">
      <w:pPr>
        <w:pStyle w:val="Paragraphedeliste"/>
        <w:numPr>
          <w:ilvl w:val="0"/>
          <w:numId w:val="1"/>
        </w:numPr>
        <w:spacing w:after="240"/>
        <w:outlineLvl w:val="2"/>
        <w:rPr>
          <w:b/>
          <w:bCs/>
          <w:vanish/>
        </w:rPr>
      </w:pPr>
    </w:p>
    <w:p w14:paraId="323B20A2" w14:textId="0FACA98B" w:rsidR="00B24E4B" w:rsidRDefault="00B24E4B" w:rsidP="001C2618">
      <w:pPr>
        <w:pStyle w:val="Titre3"/>
      </w:pPr>
      <w:r>
        <w:t xml:space="preserve"> «</w:t>
      </w:r>
      <w:r>
        <w:rPr>
          <w:rFonts w:ascii="Arial" w:eastAsia="Arial" w:hAnsi="Arial" w:cs="Arial"/>
        </w:rPr>
        <w:t> </w:t>
      </w:r>
      <w:r>
        <w:t>Biopsies d’éperons</w:t>
      </w:r>
      <w:r>
        <w:rPr>
          <w:rFonts w:ascii="Arial" w:eastAsia="Arial" w:hAnsi="Arial" w:cs="Arial"/>
        </w:rPr>
        <w:t> </w:t>
      </w:r>
      <w:r>
        <w:t>» de divisions bronchiques, en endoscopie</w:t>
      </w:r>
    </w:p>
    <w:p w14:paraId="215FAAAA" w14:textId="77777777" w:rsidR="00B24E4B" w:rsidRDefault="00B24E4B" w:rsidP="00B24E4B">
      <w:pPr>
        <w:spacing w:line="276" w:lineRule="auto"/>
        <w:rPr>
          <w:color w:val="0070C0"/>
        </w:rPr>
      </w:pPr>
      <w:r>
        <w:rPr>
          <w:color w:val="0070C0"/>
        </w:rPr>
        <w:t xml:space="preserve">Diagnostic des processus </w:t>
      </w:r>
      <w:proofErr w:type="spellStart"/>
      <w:r>
        <w:rPr>
          <w:color w:val="0070C0"/>
        </w:rPr>
        <w:t>lymphophiles</w:t>
      </w:r>
      <w:proofErr w:type="spellEnd"/>
      <w:r>
        <w:rPr>
          <w:color w:val="0070C0"/>
        </w:rPr>
        <w:t xml:space="preserve"> diffus atteignant la muqueuse bronchique :</w:t>
      </w:r>
    </w:p>
    <w:p w14:paraId="6E22FDFE" w14:textId="77777777" w:rsidR="00B24E4B" w:rsidRDefault="00B24E4B" w:rsidP="00B24E4B">
      <w:pPr>
        <w:spacing w:line="276" w:lineRule="auto"/>
        <w:rPr>
          <w:color w:val="0070C0"/>
        </w:rPr>
      </w:pPr>
      <w:r>
        <w:rPr>
          <w:color w:val="0070C0"/>
        </w:rPr>
        <w:t>- Sarcoïdose.</w:t>
      </w:r>
    </w:p>
    <w:p w14:paraId="4F76E8FE" w14:textId="77777777" w:rsidR="00B24E4B" w:rsidRDefault="00B24E4B" w:rsidP="00B24E4B">
      <w:pPr>
        <w:spacing w:line="276" w:lineRule="auto"/>
        <w:rPr>
          <w:color w:val="0070C0"/>
        </w:rPr>
      </w:pPr>
      <w:r>
        <w:rPr>
          <w:color w:val="0070C0"/>
        </w:rPr>
        <w:t>- Lymphangite carcinomateuse.</w:t>
      </w:r>
    </w:p>
    <w:p w14:paraId="1FD52B85" w14:textId="77777777" w:rsidR="00B24E4B" w:rsidRDefault="00B24E4B" w:rsidP="00B24E4B">
      <w:pPr>
        <w:spacing w:line="276" w:lineRule="auto"/>
        <w:rPr>
          <w:color w:val="0070C0"/>
        </w:rPr>
      </w:pPr>
    </w:p>
    <w:p w14:paraId="4FF35F96" w14:textId="4156A155" w:rsidR="00B24E4B" w:rsidRPr="001C2618" w:rsidRDefault="00B24E4B" w:rsidP="001C2618">
      <w:pPr>
        <w:pStyle w:val="lgende"/>
        <w:rPr>
          <w:color w:val="0070C0"/>
        </w:rPr>
      </w:pPr>
      <w:r w:rsidRPr="001C2618">
        <w:rPr>
          <w:color w:val="0070C0"/>
        </w:rPr>
        <w:t>Figure 1</w:t>
      </w:r>
      <w:r w:rsidR="00462C2B">
        <w:rPr>
          <w:color w:val="0070C0"/>
        </w:rPr>
        <w:t>1</w:t>
      </w:r>
      <w:r w:rsidRPr="001C2618">
        <w:rPr>
          <w:color w:val="0070C0"/>
        </w:rPr>
        <w:t> : Biopsies d’éperons (muqueuse bronchique).</w:t>
      </w:r>
    </w:p>
    <w:p w14:paraId="46A6E844" w14:textId="77777777" w:rsidR="00B24E4B" w:rsidRDefault="00B24E4B" w:rsidP="00B24E4B">
      <w:pPr>
        <w:spacing w:line="276" w:lineRule="auto"/>
        <w:jc w:val="center"/>
        <w:rPr>
          <w:i/>
          <w:iCs/>
        </w:rPr>
      </w:pPr>
      <w:r>
        <w:rPr>
          <w:i/>
          <w:iCs/>
          <w:noProof/>
        </w:rPr>
        <w:lastRenderedPageBreak/>
        <w:drawing>
          <wp:inline distT="0" distB="0" distL="0" distR="0" wp14:anchorId="1FACD9F7" wp14:editId="45328D08">
            <wp:extent cx="4469841" cy="2509460"/>
            <wp:effectExtent l="0" t="0" r="0" b="0"/>
            <wp:docPr id="20" name="image9.jpg" descr="figure 3"/>
            <wp:cNvGraphicFramePr/>
            <a:graphic xmlns:a="http://schemas.openxmlformats.org/drawingml/2006/main">
              <a:graphicData uri="http://schemas.openxmlformats.org/drawingml/2006/picture">
                <pic:pic xmlns:pic="http://schemas.openxmlformats.org/drawingml/2006/picture">
                  <pic:nvPicPr>
                    <pic:cNvPr id="0" name="image9.jpg" descr="figure 3"/>
                    <pic:cNvPicPr preferRelativeResize="0"/>
                  </pic:nvPicPr>
                  <pic:blipFill>
                    <a:blip r:embed="rId31"/>
                    <a:srcRect t="4950"/>
                    <a:stretch>
                      <a:fillRect/>
                    </a:stretch>
                  </pic:blipFill>
                  <pic:spPr>
                    <a:xfrm>
                      <a:off x="0" y="0"/>
                      <a:ext cx="4469841" cy="2509460"/>
                    </a:xfrm>
                    <a:prstGeom prst="rect">
                      <a:avLst/>
                    </a:prstGeom>
                    <a:ln/>
                  </pic:spPr>
                </pic:pic>
              </a:graphicData>
            </a:graphic>
          </wp:inline>
        </w:drawing>
      </w:r>
    </w:p>
    <w:p w14:paraId="0C294C54" w14:textId="77777777" w:rsidR="00B24E4B" w:rsidRDefault="00B24E4B" w:rsidP="00B24E4B">
      <w:pPr>
        <w:spacing w:line="276" w:lineRule="auto"/>
        <w:rPr>
          <w:i/>
          <w:iCs/>
        </w:rPr>
      </w:pPr>
    </w:p>
    <w:p w14:paraId="2761DAE7" w14:textId="77777777" w:rsidR="00B24E4B" w:rsidRDefault="00B24E4B" w:rsidP="001C2618">
      <w:pPr>
        <w:pStyle w:val="Titre3"/>
      </w:pPr>
      <w:r>
        <w:t>«</w:t>
      </w:r>
      <w:r>
        <w:rPr>
          <w:rFonts w:ascii="Arial" w:eastAsia="Arial" w:hAnsi="Arial" w:cs="Arial"/>
        </w:rPr>
        <w:t> </w:t>
      </w:r>
      <w:r>
        <w:t xml:space="preserve">Biopsies </w:t>
      </w:r>
      <w:proofErr w:type="spellStart"/>
      <w:r>
        <w:t>transbronchiques</w:t>
      </w:r>
      <w:proofErr w:type="spellEnd"/>
      <w:r>
        <w:t xml:space="preserve"> (BTB</w:t>
      </w:r>
      <w:r>
        <w:rPr>
          <w:rFonts w:ascii="Arial" w:eastAsia="Arial" w:hAnsi="Arial" w:cs="Arial"/>
        </w:rPr>
        <w:t> </w:t>
      </w:r>
      <w:r>
        <w:t>») à la pince en endoscopie</w:t>
      </w:r>
    </w:p>
    <w:p w14:paraId="7017A615" w14:textId="77777777" w:rsidR="00B24E4B" w:rsidRDefault="00B24E4B" w:rsidP="00B24E4B">
      <w:pPr>
        <w:spacing w:line="276" w:lineRule="auto"/>
        <w:rPr>
          <w:color w:val="0070C0"/>
        </w:rPr>
      </w:pPr>
      <w:r>
        <w:rPr>
          <w:color w:val="0070C0"/>
        </w:rPr>
        <w:t>- Diagnostic de certitude de certains processus infiltrants diffus :</w:t>
      </w:r>
    </w:p>
    <w:p w14:paraId="564B6F7C" w14:textId="77777777" w:rsidR="00B24E4B" w:rsidRDefault="00B24E4B">
      <w:pPr>
        <w:numPr>
          <w:ilvl w:val="0"/>
          <w:numId w:val="16"/>
        </w:numPr>
        <w:spacing w:line="276" w:lineRule="auto"/>
        <w:ind w:left="284" w:hanging="142"/>
        <w:rPr>
          <w:color w:val="0070C0"/>
        </w:rPr>
      </w:pPr>
      <w:r>
        <w:rPr>
          <w:color w:val="0070C0"/>
        </w:rPr>
        <w:t>Sarcoïdose (stades 2, 3 et 4)</w:t>
      </w:r>
    </w:p>
    <w:p w14:paraId="2700CBA1" w14:textId="77777777" w:rsidR="00B24E4B" w:rsidRDefault="00B24E4B">
      <w:pPr>
        <w:numPr>
          <w:ilvl w:val="0"/>
          <w:numId w:val="16"/>
        </w:numPr>
        <w:spacing w:line="276" w:lineRule="auto"/>
        <w:ind w:left="284" w:hanging="142"/>
        <w:rPr>
          <w:color w:val="0070C0"/>
        </w:rPr>
      </w:pPr>
      <w:r>
        <w:rPr>
          <w:color w:val="0070C0"/>
        </w:rPr>
        <w:t>Pneumopathie organisée.</w:t>
      </w:r>
    </w:p>
    <w:p w14:paraId="6490A253" w14:textId="77777777" w:rsidR="00B24E4B" w:rsidRDefault="00B24E4B">
      <w:pPr>
        <w:numPr>
          <w:ilvl w:val="0"/>
          <w:numId w:val="16"/>
        </w:numPr>
        <w:spacing w:line="276" w:lineRule="auto"/>
        <w:ind w:left="284" w:hanging="142"/>
        <w:rPr>
          <w:color w:val="0070C0"/>
        </w:rPr>
      </w:pPr>
      <w:r>
        <w:rPr>
          <w:color w:val="0070C0"/>
        </w:rPr>
        <w:t>Lymphangite carcinomateuse.</w:t>
      </w:r>
    </w:p>
    <w:p w14:paraId="1BB024E5" w14:textId="77777777" w:rsidR="00B24E4B" w:rsidRDefault="00B24E4B">
      <w:pPr>
        <w:numPr>
          <w:ilvl w:val="0"/>
          <w:numId w:val="16"/>
        </w:numPr>
        <w:spacing w:line="276" w:lineRule="auto"/>
        <w:ind w:left="284" w:hanging="142"/>
        <w:rPr>
          <w:color w:val="0070C0"/>
        </w:rPr>
      </w:pPr>
      <w:r>
        <w:rPr>
          <w:color w:val="0070C0"/>
        </w:rPr>
        <w:t>Miliaire tuberculeuse.</w:t>
      </w:r>
    </w:p>
    <w:p w14:paraId="4F841765" w14:textId="77777777" w:rsidR="00B24E4B" w:rsidRDefault="00B24E4B" w:rsidP="00B24E4B">
      <w:pPr>
        <w:spacing w:line="276" w:lineRule="auto"/>
        <w:rPr>
          <w:color w:val="0070C0"/>
        </w:rPr>
      </w:pPr>
      <w:r>
        <w:rPr>
          <w:color w:val="0070C0"/>
        </w:rPr>
        <w:t>- Permettent l’étude d’un faible volume de parenchyme pulmonaire.</w:t>
      </w:r>
    </w:p>
    <w:p w14:paraId="19824BFF" w14:textId="77777777" w:rsidR="00B24E4B" w:rsidRDefault="00B24E4B" w:rsidP="00B24E4B">
      <w:pPr>
        <w:spacing w:line="276" w:lineRule="auto"/>
        <w:rPr>
          <w:color w:val="0070C0"/>
        </w:rPr>
      </w:pPr>
      <w:r>
        <w:rPr>
          <w:color w:val="0070C0"/>
        </w:rPr>
        <w:t xml:space="preserve">- Non contributives et potentiellement </w:t>
      </w:r>
      <w:r>
        <w:rPr>
          <w:color w:val="0070C0"/>
          <w:u w:val="single"/>
        </w:rPr>
        <w:t>dangereuses</w:t>
      </w:r>
      <w:r>
        <w:rPr>
          <w:color w:val="0070C0"/>
        </w:rPr>
        <w:t xml:space="preserve"> dans les autres PID (complication à type de pneumothorax ou d’hémoptysie notamment).</w:t>
      </w:r>
    </w:p>
    <w:p w14:paraId="36AA21FF" w14:textId="77777777" w:rsidR="00B24E4B" w:rsidRDefault="00B24E4B" w:rsidP="00B24E4B">
      <w:pPr>
        <w:spacing w:line="276" w:lineRule="auto"/>
        <w:ind w:left="357"/>
        <w:rPr>
          <w:color w:val="0070C0"/>
        </w:rPr>
      </w:pPr>
    </w:p>
    <w:p w14:paraId="37E6FB7E" w14:textId="1E716459" w:rsidR="00B24E4B" w:rsidRPr="001C2618" w:rsidRDefault="00B24E4B" w:rsidP="001C2618">
      <w:pPr>
        <w:pStyle w:val="lgende"/>
        <w:rPr>
          <w:color w:val="0070C0"/>
        </w:rPr>
      </w:pPr>
      <w:r w:rsidRPr="001C2618">
        <w:rPr>
          <w:color w:val="0070C0"/>
        </w:rPr>
        <w:t>Figure 1</w:t>
      </w:r>
      <w:r w:rsidR="00462C2B">
        <w:rPr>
          <w:color w:val="0070C0"/>
        </w:rPr>
        <w:t>2</w:t>
      </w:r>
      <w:r w:rsidRPr="001C2618">
        <w:rPr>
          <w:color w:val="0070C0"/>
        </w:rPr>
        <w:t xml:space="preserve"> : Biopsies </w:t>
      </w:r>
      <w:proofErr w:type="spellStart"/>
      <w:r w:rsidRPr="001C2618">
        <w:rPr>
          <w:color w:val="0070C0"/>
        </w:rPr>
        <w:t>transbronchiques</w:t>
      </w:r>
      <w:proofErr w:type="spellEnd"/>
      <w:r w:rsidRPr="001C2618">
        <w:rPr>
          <w:color w:val="0070C0"/>
        </w:rPr>
        <w:t xml:space="preserve"> (parenchyme).</w:t>
      </w:r>
    </w:p>
    <w:p w14:paraId="334AF208" w14:textId="77777777" w:rsidR="00B24E4B" w:rsidRDefault="00B24E4B" w:rsidP="00B24E4B">
      <w:pPr>
        <w:spacing w:line="276" w:lineRule="auto"/>
        <w:jc w:val="center"/>
        <w:rPr>
          <w:i/>
          <w:iCs/>
        </w:rPr>
      </w:pPr>
      <w:r>
        <w:rPr>
          <w:i/>
          <w:iCs/>
          <w:noProof/>
        </w:rPr>
        <w:drawing>
          <wp:inline distT="0" distB="0" distL="0" distR="0" wp14:anchorId="3F593D81" wp14:editId="5D995048">
            <wp:extent cx="3039123" cy="2624909"/>
            <wp:effectExtent l="0" t="0" r="0" b="0"/>
            <wp:docPr id="21" name="image15.jpg" descr="figure 4"/>
            <wp:cNvGraphicFramePr/>
            <a:graphic xmlns:a="http://schemas.openxmlformats.org/drawingml/2006/main">
              <a:graphicData uri="http://schemas.openxmlformats.org/drawingml/2006/picture">
                <pic:pic xmlns:pic="http://schemas.openxmlformats.org/drawingml/2006/picture">
                  <pic:nvPicPr>
                    <pic:cNvPr id="0" name="image15.jpg" descr="figure 4"/>
                    <pic:cNvPicPr preferRelativeResize="0"/>
                  </pic:nvPicPr>
                  <pic:blipFill>
                    <a:blip r:embed="rId32"/>
                    <a:srcRect t="5689"/>
                    <a:stretch>
                      <a:fillRect/>
                    </a:stretch>
                  </pic:blipFill>
                  <pic:spPr>
                    <a:xfrm>
                      <a:off x="0" y="0"/>
                      <a:ext cx="3039123" cy="2624909"/>
                    </a:xfrm>
                    <a:prstGeom prst="rect">
                      <a:avLst/>
                    </a:prstGeom>
                    <a:ln/>
                  </pic:spPr>
                </pic:pic>
              </a:graphicData>
            </a:graphic>
          </wp:inline>
        </w:drawing>
      </w:r>
    </w:p>
    <w:p w14:paraId="5D33EDE7" w14:textId="77777777" w:rsidR="00B24E4B" w:rsidRDefault="00B24E4B" w:rsidP="00B24E4B">
      <w:pPr>
        <w:spacing w:line="276" w:lineRule="auto"/>
        <w:rPr>
          <w:i/>
          <w:iCs/>
        </w:rPr>
      </w:pPr>
    </w:p>
    <w:p w14:paraId="2C3A9E52" w14:textId="77777777" w:rsidR="00B24E4B" w:rsidRDefault="00B24E4B" w:rsidP="001C2618">
      <w:pPr>
        <w:pStyle w:val="Titre3"/>
      </w:pPr>
      <w:r>
        <w:t xml:space="preserve">Ponction </w:t>
      </w:r>
      <w:proofErr w:type="spellStart"/>
      <w:r>
        <w:t>écho-guidée</w:t>
      </w:r>
      <w:proofErr w:type="spellEnd"/>
      <w:r>
        <w:t xml:space="preserve"> par voie endoscopique des adénopathies médiastinales</w:t>
      </w:r>
    </w:p>
    <w:p w14:paraId="5FD87CBD" w14:textId="77777777" w:rsidR="00B24E4B" w:rsidRDefault="00B24E4B" w:rsidP="00B24E4B">
      <w:pPr>
        <w:spacing w:line="276" w:lineRule="auto"/>
        <w:rPr>
          <w:color w:val="0070C0"/>
        </w:rPr>
      </w:pPr>
      <w:r>
        <w:rPr>
          <w:color w:val="0070C0"/>
        </w:rPr>
        <w:lastRenderedPageBreak/>
        <w:t>- Sarcoïdose.</w:t>
      </w:r>
    </w:p>
    <w:p w14:paraId="0F364D68" w14:textId="77777777" w:rsidR="00B24E4B" w:rsidRDefault="00B24E4B" w:rsidP="00B24E4B">
      <w:pPr>
        <w:spacing w:line="276" w:lineRule="auto"/>
        <w:rPr>
          <w:color w:val="0070C0"/>
        </w:rPr>
      </w:pPr>
      <w:r>
        <w:rPr>
          <w:color w:val="0070C0"/>
        </w:rPr>
        <w:t>- Lymphangite carcinomateuse.</w:t>
      </w:r>
    </w:p>
    <w:p w14:paraId="31445417" w14:textId="77777777" w:rsidR="00B24E4B" w:rsidRDefault="00B24E4B" w:rsidP="00B24E4B">
      <w:pPr>
        <w:spacing w:line="276" w:lineRule="auto"/>
        <w:rPr>
          <w:color w:val="0070C0"/>
        </w:rPr>
      </w:pPr>
      <w:r>
        <w:rPr>
          <w:color w:val="0070C0"/>
        </w:rPr>
        <w:t>- Tuberculose ganglionnaire.</w:t>
      </w:r>
    </w:p>
    <w:p w14:paraId="255AD0DF" w14:textId="77777777" w:rsidR="00B24E4B" w:rsidRDefault="00B24E4B" w:rsidP="00B24E4B">
      <w:pPr>
        <w:spacing w:line="276" w:lineRule="auto"/>
        <w:rPr>
          <w:i/>
          <w:iCs/>
        </w:rPr>
      </w:pPr>
      <w:r>
        <w:rPr>
          <w:color w:val="0070C0"/>
        </w:rPr>
        <w:t>- Lymphome.</w:t>
      </w:r>
    </w:p>
    <w:p w14:paraId="280BBEAC" w14:textId="77777777" w:rsidR="00B24E4B" w:rsidRPr="001C2618" w:rsidRDefault="00B24E4B" w:rsidP="001C2618">
      <w:pPr>
        <w:pStyle w:val="lgende"/>
        <w:rPr>
          <w:color w:val="0070C0"/>
        </w:rPr>
      </w:pPr>
    </w:p>
    <w:p w14:paraId="659EA725" w14:textId="0E593744" w:rsidR="00B24E4B" w:rsidRPr="001C2618" w:rsidRDefault="00B24E4B" w:rsidP="001C2618">
      <w:pPr>
        <w:pStyle w:val="lgende"/>
        <w:rPr>
          <w:color w:val="0070C0"/>
        </w:rPr>
      </w:pPr>
      <w:r w:rsidRPr="001C2618">
        <w:rPr>
          <w:color w:val="0070C0"/>
        </w:rPr>
        <w:t>Figure 1</w:t>
      </w:r>
      <w:r w:rsidR="00462C2B">
        <w:rPr>
          <w:color w:val="0070C0"/>
        </w:rPr>
        <w:t>3</w:t>
      </w:r>
      <w:r w:rsidRPr="001C2618">
        <w:rPr>
          <w:color w:val="0070C0"/>
        </w:rPr>
        <w:t> : Ponction d’adénopathies médiastinales transmurales à l’aiguille échoguidée sous bronchoscopie.</w:t>
      </w:r>
    </w:p>
    <w:p w14:paraId="127F2E68" w14:textId="77777777" w:rsidR="00B24E4B" w:rsidRDefault="00B24E4B" w:rsidP="00B24E4B">
      <w:pPr>
        <w:spacing w:line="276" w:lineRule="auto"/>
        <w:ind w:left="348"/>
        <w:jc w:val="center"/>
        <w:rPr>
          <w:i/>
          <w:iCs/>
        </w:rPr>
      </w:pPr>
      <w:r>
        <w:rPr>
          <w:i/>
          <w:iCs/>
          <w:noProof/>
        </w:rPr>
        <w:drawing>
          <wp:inline distT="0" distB="0" distL="0" distR="0" wp14:anchorId="5DA9D2DD" wp14:editId="570B5A06">
            <wp:extent cx="3776980" cy="3260034"/>
            <wp:effectExtent l="0" t="0" r="0" b="0"/>
            <wp:docPr id="22" name="image18.jpg" descr="figure 5"/>
            <wp:cNvGraphicFramePr/>
            <a:graphic xmlns:a="http://schemas.openxmlformats.org/drawingml/2006/main">
              <a:graphicData uri="http://schemas.openxmlformats.org/drawingml/2006/picture">
                <pic:pic xmlns:pic="http://schemas.openxmlformats.org/drawingml/2006/picture">
                  <pic:nvPicPr>
                    <pic:cNvPr id="0" name="image18.jpg" descr="figure 5"/>
                    <pic:cNvPicPr preferRelativeResize="0"/>
                  </pic:nvPicPr>
                  <pic:blipFill>
                    <a:blip r:embed="rId33"/>
                    <a:srcRect t="10870"/>
                    <a:stretch>
                      <a:fillRect/>
                    </a:stretch>
                  </pic:blipFill>
                  <pic:spPr>
                    <a:xfrm>
                      <a:off x="0" y="0"/>
                      <a:ext cx="3776980" cy="3260034"/>
                    </a:xfrm>
                    <a:prstGeom prst="rect">
                      <a:avLst/>
                    </a:prstGeom>
                    <a:ln/>
                  </pic:spPr>
                </pic:pic>
              </a:graphicData>
            </a:graphic>
          </wp:inline>
        </w:drawing>
      </w:r>
    </w:p>
    <w:p w14:paraId="3423F7D7" w14:textId="77777777" w:rsidR="00B24E4B" w:rsidRDefault="00B24E4B" w:rsidP="00B24E4B">
      <w:pPr>
        <w:spacing w:line="276" w:lineRule="auto"/>
        <w:rPr>
          <w:i/>
          <w:iCs/>
        </w:rPr>
      </w:pPr>
    </w:p>
    <w:p w14:paraId="62E7C573" w14:textId="77777777" w:rsidR="00B24E4B" w:rsidRDefault="00B24E4B" w:rsidP="001C2618">
      <w:pPr>
        <w:pStyle w:val="Titre3"/>
      </w:pPr>
      <w:r>
        <w:t xml:space="preserve">Biopsies pulmonaires (par vidéo-thoracoscopie ou par </w:t>
      </w:r>
      <w:proofErr w:type="spellStart"/>
      <w:r>
        <w:t>cryobiopsie</w:t>
      </w:r>
      <w:proofErr w:type="spellEnd"/>
      <w:r>
        <w:t xml:space="preserve"> </w:t>
      </w:r>
      <w:proofErr w:type="spellStart"/>
      <w:r>
        <w:t>transbronchique</w:t>
      </w:r>
      <w:proofErr w:type="spellEnd"/>
      <w:r>
        <w:t>)</w:t>
      </w:r>
    </w:p>
    <w:p w14:paraId="708EBE84" w14:textId="77777777" w:rsidR="00B24E4B" w:rsidRDefault="00B24E4B" w:rsidP="00B24E4B">
      <w:pPr>
        <w:spacing w:line="276" w:lineRule="auto"/>
        <w:rPr>
          <w:color w:val="0070C0"/>
        </w:rPr>
      </w:pPr>
      <w:r>
        <w:rPr>
          <w:color w:val="0070C0"/>
        </w:rPr>
        <w:t>- Après discussion multidisciplinaire +++.</w:t>
      </w:r>
    </w:p>
    <w:p w14:paraId="2F2FC3D1" w14:textId="77777777" w:rsidR="00B24E4B" w:rsidRDefault="00B24E4B" w:rsidP="00B24E4B">
      <w:pPr>
        <w:spacing w:line="276" w:lineRule="auto"/>
        <w:rPr>
          <w:color w:val="0070C0"/>
        </w:rPr>
      </w:pPr>
      <w:r>
        <w:rPr>
          <w:color w:val="0070C0"/>
        </w:rPr>
        <w:t>- Pour la caractérisation des lésions histopathologiques au cours de PID non typiques.</w:t>
      </w:r>
    </w:p>
    <w:p w14:paraId="5677F820" w14:textId="77777777" w:rsidR="00B24E4B" w:rsidRDefault="00B24E4B" w:rsidP="00B24E4B">
      <w:pPr>
        <w:spacing w:line="276" w:lineRule="auto"/>
        <w:rPr>
          <w:color w:val="0070C0"/>
        </w:rPr>
      </w:pPr>
      <w:r>
        <w:rPr>
          <w:color w:val="0070C0"/>
        </w:rPr>
        <w:t>- Si impact attendu sur la prise en charge, et en l’absence de contre-indication.</w:t>
      </w:r>
    </w:p>
    <w:p w14:paraId="5376BD3D" w14:textId="77777777" w:rsidR="00B24E4B" w:rsidRDefault="00B24E4B" w:rsidP="00B24E4B">
      <w:pPr>
        <w:spacing w:line="276" w:lineRule="auto"/>
        <w:rPr>
          <w:color w:val="0070C0"/>
        </w:rPr>
      </w:pPr>
      <w:r>
        <w:rPr>
          <w:color w:val="0070C0"/>
        </w:rPr>
        <w:t>- Comme pour l’imagerie il existe des profils histologiques qui ont valeur d’orientation.</w:t>
      </w:r>
    </w:p>
    <w:p w14:paraId="0D46B04B" w14:textId="77777777" w:rsidR="00B24E4B" w:rsidRDefault="00B24E4B" w:rsidP="00B24E4B">
      <w:pPr>
        <w:spacing w:line="276" w:lineRule="auto"/>
        <w:rPr>
          <w:color w:val="0070C0"/>
        </w:rPr>
      </w:pPr>
    </w:p>
    <w:p w14:paraId="6BE5ECA2" w14:textId="77777777" w:rsidR="00B24E4B" w:rsidRDefault="00B24E4B" w:rsidP="001C2618">
      <w:pPr>
        <w:pStyle w:val="Titre3"/>
      </w:pPr>
      <w:r>
        <w:t>Prélèvements histologiques extra-thoraciques</w:t>
      </w:r>
    </w:p>
    <w:p w14:paraId="6EB3F650" w14:textId="77777777" w:rsidR="00B24E4B" w:rsidRDefault="00B24E4B" w:rsidP="00B24E4B">
      <w:pPr>
        <w:spacing w:line="240" w:lineRule="auto"/>
        <w:rPr>
          <w:color w:val="0070C0"/>
        </w:rPr>
      </w:pPr>
      <w:r>
        <w:rPr>
          <w:color w:val="0070C0"/>
        </w:rPr>
        <w:t>- Biopsies de lésions extra-thoraciques en cas d’affection systémique (sarcoïdose, myopathies inflammatoires, vascularite).</w:t>
      </w:r>
    </w:p>
    <w:p w14:paraId="08FD57D2" w14:textId="77777777" w:rsidR="00B24E4B" w:rsidRDefault="00B24E4B" w:rsidP="00B24E4B">
      <w:pPr>
        <w:spacing w:line="240" w:lineRule="auto"/>
        <w:rPr>
          <w:color w:val="0070C0"/>
        </w:rPr>
      </w:pPr>
      <w:r>
        <w:rPr>
          <w:color w:val="0070C0"/>
        </w:rPr>
        <w:t>- Biopsies de glandes salivaires accessoires : utiles au diagnostic de sarcoïdose, de maladie de Gougerot-Sjögren.</w:t>
      </w:r>
    </w:p>
    <w:p w14:paraId="7A1ED765" w14:textId="77777777" w:rsidR="00B24E4B" w:rsidRDefault="00B24E4B" w:rsidP="00B24E4B">
      <w:pPr>
        <w:spacing w:line="276" w:lineRule="auto"/>
        <w:rPr>
          <w:i/>
          <w:iCs/>
        </w:rPr>
      </w:pPr>
    </w:p>
    <w:p w14:paraId="0C3A422B" w14:textId="77777777" w:rsidR="00B24E4B" w:rsidRDefault="00B24E4B" w:rsidP="001C2618">
      <w:pPr>
        <w:pStyle w:val="titredepartie"/>
      </w:pPr>
      <w:r>
        <w:t>Synthèse diagnostique (figure 15)</w:t>
      </w:r>
    </w:p>
    <w:p w14:paraId="3209247E" w14:textId="77777777" w:rsidR="00B24E4B" w:rsidRDefault="00B24E4B" w:rsidP="00B24E4B">
      <w:pPr>
        <w:spacing w:line="276" w:lineRule="auto"/>
        <w:rPr>
          <w:color w:val="0070C0"/>
        </w:rPr>
      </w:pPr>
      <w:r>
        <w:rPr>
          <w:color w:val="0070C0"/>
        </w:rPr>
        <w:t>La démarche diagnostique doit être méthodique et graduelle, en évoquant en premier lieu les PID les plus fréquentes ou tout au moins celles qui nécessitent des mesures rapides (œdème pulmonaire, infections, prolifération tumorale, pneumopathie médicamenteuse, certaines connectivites, sarcoïdose).</w:t>
      </w:r>
    </w:p>
    <w:p w14:paraId="23C9CA72" w14:textId="77777777" w:rsidR="00B24E4B" w:rsidRDefault="00B24E4B" w:rsidP="00B24E4B">
      <w:pPr>
        <w:spacing w:line="276" w:lineRule="auto"/>
        <w:rPr>
          <w:color w:val="0070C0"/>
        </w:rPr>
      </w:pPr>
    </w:p>
    <w:p w14:paraId="0F6834A2" w14:textId="77777777" w:rsidR="00B24E4B" w:rsidRDefault="00B24E4B" w:rsidP="00B24E4B">
      <w:pPr>
        <w:spacing w:line="276" w:lineRule="auto"/>
        <w:rPr>
          <w:color w:val="0070C0"/>
        </w:rPr>
      </w:pPr>
      <w:r>
        <w:rPr>
          <w:color w:val="0070C0"/>
        </w:rPr>
        <w:t xml:space="preserve">La complexité du raisonnement face à une PID justifie que la très grande majorité des cas fasse l’objet d’une </w:t>
      </w:r>
      <w:r>
        <w:rPr>
          <w:b/>
          <w:bCs/>
          <w:color w:val="0070C0"/>
          <w:u w:val="single"/>
        </w:rPr>
        <w:t>discussion multidisciplinaire (DMD</w:t>
      </w:r>
      <w:r>
        <w:rPr>
          <w:b/>
          <w:bCs/>
          <w:color w:val="0070C0"/>
        </w:rPr>
        <w:t>)</w:t>
      </w:r>
      <w:r>
        <w:rPr>
          <w:color w:val="0070C0"/>
        </w:rPr>
        <w:t>.</w:t>
      </w:r>
    </w:p>
    <w:p w14:paraId="2BB7EDB0" w14:textId="77777777" w:rsidR="00B24E4B" w:rsidRPr="001C2618" w:rsidRDefault="00B24E4B" w:rsidP="001C2618">
      <w:pPr>
        <w:pStyle w:val="lgende"/>
        <w:rPr>
          <w:color w:val="0070C0"/>
        </w:rPr>
      </w:pPr>
    </w:p>
    <w:p w14:paraId="4A2653AD" w14:textId="045F2851" w:rsidR="00B24E4B" w:rsidRPr="001C2618" w:rsidRDefault="00B24E4B" w:rsidP="001C2618">
      <w:pPr>
        <w:pStyle w:val="lgende"/>
        <w:rPr>
          <w:color w:val="0070C0"/>
        </w:rPr>
      </w:pPr>
      <w:r w:rsidRPr="001C2618">
        <w:rPr>
          <w:color w:val="0070C0"/>
        </w:rPr>
        <w:t>Figure 1</w:t>
      </w:r>
      <w:r w:rsidR="00462C2B">
        <w:rPr>
          <w:color w:val="0070C0"/>
        </w:rPr>
        <w:t>4</w:t>
      </w:r>
      <w:r w:rsidRPr="001C2618">
        <w:rPr>
          <w:color w:val="0070C0"/>
        </w:rPr>
        <w:t> : Schéma diagnostique des PID subaiguës et chroniques.</w:t>
      </w:r>
      <w:r w:rsidRPr="001C2618">
        <w:rPr>
          <w:noProof/>
          <w:color w:val="0070C0"/>
        </w:rPr>
        <w:drawing>
          <wp:anchor distT="0" distB="0" distL="114300" distR="114300" simplePos="0" relativeHeight="251933696" behindDoc="0" locked="0" layoutInCell="1" hidden="0" allowOverlap="1" wp14:anchorId="69898E0A" wp14:editId="5D1B0B1E">
            <wp:simplePos x="0" y="0"/>
            <wp:positionH relativeFrom="column">
              <wp:posOffset>414337</wp:posOffset>
            </wp:positionH>
            <wp:positionV relativeFrom="paragraph">
              <wp:posOffset>223230</wp:posOffset>
            </wp:positionV>
            <wp:extent cx="5291455" cy="4157345"/>
            <wp:effectExtent l="0" t="0" r="0" b="0"/>
            <wp:wrapTopAndBottom distT="0" dist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a:stretch>
                      <a:fillRect/>
                    </a:stretch>
                  </pic:blipFill>
                  <pic:spPr>
                    <a:xfrm>
                      <a:off x="0" y="0"/>
                      <a:ext cx="5291455" cy="4157345"/>
                    </a:xfrm>
                    <a:prstGeom prst="rect">
                      <a:avLst/>
                    </a:prstGeom>
                    <a:ln/>
                  </pic:spPr>
                </pic:pic>
              </a:graphicData>
            </a:graphic>
          </wp:anchor>
        </w:drawing>
      </w:r>
    </w:p>
    <w:p w14:paraId="3B64EC6A" w14:textId="77777777" w:rsidR="00B24E4B" w:rsidRDefault="00B24E4B" w:rsidP="00B24E4B">
      <w:pPr>
        <w:jc w:val="left"/>
        <w:rPr>
          <w:b/>
          <w:bCs/>
          <w:smallCaps/>
          <w:color w:val="0070C0"/>
        </w:rPr>
      </w:pPr>
      <w:r>
        <w:br w:type="page"/>
      </w:r>
    </w:p>
    <w:p w14:paraId="6F3113EB" w14:textId="3DA634B3" w:rsidR="00B24E4B" w:rsidRDefault="00B24E4B" w:rsidP="001C2618">
      <w:pPr>
        <w:pStyle w:val="titredepartie"/>
      </w:pPr>
      <w:r>
        <w:lastRenderedPageBreak/>
        <w:t>CONNAISSANCE + Les principales PID en mots clés</w:t>
      </w:r>
    </w:p>
    <w:p w14:paraId="48D60C97" w14:textId="5483718D" w:rsidR="00B24E4B" w:rsidRDefault="00B24E4B">
      <w:pPr>
        <w:pStyle w:val="titredesous-partie"/>
        <w:numPr>
          <w:ilvl w:val="3"/>
          <w:numId w:val="16"/>
        </w:numPr>
        <w:ind w:left="426" w:hanging="284"/>
      </w:pPr>
      <w:r>
        <w:rPr>
          <w:shd w:val="clear" w:color="auto" w:fill="auto"/>
        </w:rPr>
        <w:t>Fibrose Pulmonaire idiopathique (FPI)</w:t>
      </w:r>
      <w:r>
        <w:rPr>
          <w:noProof/>
        </w:rPr>
        <mc:AlternateContent>
          <mc:Choice Requires="wps">
            <w:drawing>
              <wp:anchor distT="0" distB="0" distL="114300" distR="114300" simplePos="0" relativeHeight="251934720" behindDoc="0" locked="0" layoutInCell="1" hidden="0" allowOverlap="1" wp14:anchorId="718676E8" wp14:editId="4E8C8988">
                <wp:simplePos x="0" y="0"/>
                <wp:positionH relativeFrom="column">
                  <wp:posOffset>3403917</wp:posOffset>
                </wp:positionH>
                <wp:positionV relativeFrom="paragraph">
                  <wp:posOffset>135573</wp:posOffset>
                </wp:positionV>
                <wp:extent cx="261620" cy="276225"/>
                <wp:effectExtent l="0" t="0" r="0" b="0"/>
                <wp:wrapNone/>
                <wp:docPr id="1" name="Rectangle 1"/>
                <wp:cNvGraphicFramePr/>
                <a:graphic xmlns:a="http://schemas.openxmlformats.org/drawingml/2006/main">
                  <a:graphicData uri="http://schemas.microsoft.com/office/word/2010/wordprocessingShape">
                    <wps:wsp>
                      <wps:cNvSpPr/>
                      <wps:spPr>
                        <a:xfrm>
                          <a:off x="5219953" y="3646650"/>
                          <a:ext cx="252095" cy="266700"/>
                        </a:xfrm>
                        <a:prstGeom prst="rect">
                          <a:avLst/>
                        </a:prstGeom>
                        <a:noFill/>
                        <a:ln>
                          <a:noFill/>
                        </a:ln>
                      </wps:spPr>
                      <wps:txbx>
                        <w:txbxContent>
                          <w:p w14:paraId="1A79A818" w14:textId="77777777" w:rsidR="00B24E4B" w:rsidRDefault="00B24E4B" w:rsidP="00B24E4B">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718676E8" id="Rectangle 1" o:spid="_x0000_s1026" style="position:absolute;left:0;text-align:left;margin-left:268pt;margin-top:10.7pt;width:20.6pt;height:21.7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" filled="f" stroked="f">
                <v:textbox inset="2.53958mm,1.2694mm,2.53958mm,1.2694mm">
                  <w:txbxContent>
                    <w:p w14:paraId="1A79A818" w14:textId="77777777" w:rsidR="00B24E4B" w:rsidRDefault="00B24E4B" w:rsidP="00B24E4B">
                      <w:pPr>
                        <w:spacing w:line="258" w:lineRule="auto"/>
                        <w:textDirection w:val="btLr"/>
                      </w:pPr>
                    </w:p>
                  </w:txbxContent>
                </v:textbox>
              </v:rect>
            </w:pict>
          </mc:Fallback>
        </mc:AlternateContent>
      </w:r>
    </w:p>
    <w:p w14:paraId="09906D6F" w14:textId="77777777" w:rsidR="00462C2B" w:rsidRPr="00013857" w:rsidRDefault="00462C2B" w:rsidP="00462C2B">
      <w:pPr>
        <w:rPr>
          <w:color w:val="0070C0"/>
        </w:rPr>
      </w:pPr>
      <w:r w:rsidRPr="00013857">
        <w:rPr>
          <w:b/>
          <w:bCs/>
          <w:color w:val="0070C0"/>
        </w:rPr>
        <w:t>La plus fréquente des PID</w:t>
      </w:r>
      <w:r w:rsidRPr="00013857">
        <w:rPr>
          <w:color w:val="0070C0"/>
        </w:rPr>
        <w:t xml:space="preserve"> de cause inconnue après la sarcoïdose. </w:t>
      </w:r>
    </w:p>
    <w:p w14:paraId="04C2E91C" w14:textId="77777777" w:rsidR="00462C2B" w:rsidRPr="00013857" w:rsidRDefault="00462C2B" w:rsidP="00462C2B">
      <w:pPr>
        <w:rPr>
          <w:color w:val="0070C0"/>
        </w:rPr>
      </w:pPr>
      <w:r w:rsidRPr="00013857">
        <w:rPr>
          <w:color w:val="0070C0"/>
        </w:rPr>
        <w:t xml:space="preserve">Sa prévalence est d’environ 8 cas/100 000 habitants. </w:t>
      </w:r>
    </w:p>
    <w:p w14:paraId="447589F9" w14:textId="77777777" w:rsidR="00462C2B" w:rsidRPr="00013857" w:rsidRDefault="00462C2B" w:rsidP="00462C2B">
      <w:pPr>
        <w:rPr>
          <w:color w:val="0070C0"/>
        </w:rPr>
      </w:pPr>
      <w:r w:rsidRPr="00013857">
        <w:rPr>
          <w:color w:val="0070C0"/>
        </w:rPr>
        <w:t xml:space="preserve">Son pronostic global est très sombre avec une médiane de survie sans traitement de 3 à 5 ans. </w:t>
      </w:r>
    </w:p>
    <w:p w14:paraId="6C3AF523" w14:textId="77777777" w:rsidR="00462C2B" w:rsidRPr="00013857" w:rsidRDefault="00462C2B" w:rsidP="00462C2B">
      <w:pPr>
        <w:rPr>
          <w:color w:val="0070C0"/>
        </w:rPr>
      </w:pPr>
      <w:r w:rsidRPr="00013857">
        <w:rPr>
          <w:color w:val="0070C0"/>
        </w:rPr>
        <w:t xml:space="preserve">L’âge moyen de survenue est de 68 ans avec une prédominance masculine. Le tabagisme est observé dans 60 % à 80 % des cas. </w:t>
      </w:r>
    </w:p>
    <w:p w14:paraId="2CDB3E32" w14:textId="77777777" w:rsidR="00462C2B" w:rsidRPr="00013857" w:rsidRDefault="00462C2B" w:rsidP="00462C2B">
      <w:pPr>
        <w:rPr>
          <w:color w:val="0070C0"/>
        </w:rPr>
      </w:pPr>
    </w:p>
    <w:p w14:paraId="71EDCF04" w14:textId="77777777" w:rsidR="00462C2B" w:rsidRPr="00013857" w:rsidRDefault="00462C2B" w:rsidP="00462C2B">
      <w:pPr>
        <w:rPr>
          <w:color w:val="0070C0"/>
        </w:rPr>
      </w:pPr>
      <w:r w:rsidRPr="00013857">
        <w:rPr>
          <w:color w:val="0070C0"/>
        </w:rPr>
        <w:t>Signes cliniques les plus fréquents :</w:t>
      </w:r>
    </w:p>
    <w:p w14:paraId="4B2BB7E6" w14:textId="77777777" w:rsidR="00462C2B" w:rsidRPr="00013857" w:rsidRDefault="00462C2B" w:rsidP="00462C2B">
      <w:pPr>
        <w:numPr>
          <w:ilvl w:val="1"/>
          <w:numId w:val="16"/>
        </w:numPr>
        <w:ind w:left="142" w:hanging="142"/>
        <w:rPr>
          <w:color w:val="0070C0"/>
        </w:rPr>
      </w:pPr>
      <w:r w:rsidRPr="00013857">
        <w:rPr>
          <w:color w:val="0070C0"/>
        </w:rPr>
        <w:t>Dyspnée d’effort d’aggravation progressive.</w:t>
      </w:r>
    </w:p>
    <w:p w14:paraId="673ADE86" w14:textId="77777777" w:rsidR="00462C2B" w:rsidRPr="00013857" w:rsidRDefault="00462C2B" w:rsidP="00462C2B">
      <w:pPr>
        <w:numPr>
          <w:ilvl w:val="1"/>
          <w:numId w:val="16"/>
        </w:numPr>
        <w:ind w:left="142" w:hanging="142"/>
        <w:rPr>
          <w:color w:val="0070C0"/>
        </w:rPr>
      </w:pPr>
      <w:r w:rsidRPr="00013857">
        <w:rPr>
          <w:color w:val="0070C0"/>
        </w:rPr>
        <w:t>Toux sèche.</w:t>
      </w:r>
    </w:p>
    <w:p w14:paraId="5877B111" w14:textId="77777777" w:rsidR="00462C2B" w:rsidRPr="00013857" w:rsidRDefault="00462C2B" w:rsidP="00462C2B">
      <w:pPr>
        <w:numPr>
          <w:ilvl w:val="1"/>
          <w:numId w:val="16"/>
        </w:numPr>
        <w:ind w:left="142" w:hanging="142"/>
        <w:rPr>
          <w:color w:val="0070C0"/>
        </w:rPr>
      </w:pPr>
      <w:r w:rsidRPr="00013857">
        <w:rPr>
          <w:color w:val="0070C0"/>
        </w:rPr>
        <w:t>Râles crépitants secs (velcro) aux bases.</w:t>
      </w:r>
    </w:p>
    <w:p w14:paraId="02D0B2B8" w14:textId="77777777" w:rsidR="00462C2B" w:rsidRPr="00013857" w:rsidRDefault="00462C2B" w:rsidP="00462C2B">
      <w:pPr>
        <w:numPr>
          <w:ilvl w:val="1"/>
          <w:numId w:val="16"/>
        </w:numPr>
        <w:ind w:left="142" w:hanging="142"/>
        <w:rPr>
          <w:color w:val="0070C0"/>
        </w:rPr>
      </w:pPr>
      <w:r w:rsidRPr="00013857">
        <w:rPr>
          <w:color w:val="0070C0"/>
        </w:rPr>
        <w:t>Pas d’atteinte extra-respiratoire en dehors d’un hippocratisme digital (40 %).</w:t>
      </w:r>
    </w:p>
    <w:p w14:paraId="1B64F2A5" w14:textId="77777777" w:rsidR="00462C2B" w:rsidRPr="00013857" w:rsidRDefault="00462C2B" w:rsidP="00462C2B">
      <w:pPr>
        <w:rPr>
          <w:color w:val="0070C0"/>
        </w:rPr>
      </w:pPr>
      <w:r w:rsidRPr="00013857">
        <w:rPr>
          <w:color w:val="0070C0"/>
        </w:rPr>
        <w:t xml:space="preserve"> </w:t>
      </w:r>
    </w:p>
    <w:p w14:paraId="0ABD6775" w14:textId="77777777" w:rsidR="00462C2B" w:rsidRPr="00013857" w:rsidRDefault="00462C2B" w:rsidP="00462C2B">
      <w:pPr>
        <w:rPr>
          <w:color w:val="0070C0"/>
        </w:rPr>
      </w:pPr>
      <w:r w:rsidRPr="00013857">
        <w:rPr>
          <w:color w:val="0070C0"/>
        </w:rPr>
        <w:t>Radiographie thoracique :</w:t>
      </w:r>
    </w:p>
    <w:p w14:paraId="1F36B0DF" w14:textId="77777777" w:rsidR="00462C2B" w:rsidRPr="00013857" w:rsidRDefault="00462C2B" w:rsidP="00462C2B">
      <w:pPr>
        <w:numPr>
          <w:ilvl w:val="1"/>
          <w:numId w:val="16"/>
        </w:numPr>
        <w:ind w:left="142" w:hanging="142"/>
        <w:rPr>
          <w:color w:val="0070C0"/>
        </w:rPr>
      </w:pPr>
      <w:proofErr w:type="spellStart"/>
      <w:r w:rsidRPr="70E77436">
        <w:rPr>
          <w:color w:val="0070C0"/>
        </w:rPr>
        <w:t>Peut être</w:t>
      </w:r>
      <w:proofErr w:type="spellEnd"/>
      <w:r w:rsidRPr="70E77436">
        <w:rPr>
          <w:color w:val="0070C0"/>
        </w:rPr>
        <w:t xml:space="preserve"> normale au début.</w:t>
      </w:r>
    </w:p>
    <w:p w14:paraId="102C2BCA" w14:textId="77777777" w:rsidR="00462C2B" w:rsidRPr="00013857" w:rsidRDefault="00462C2B" w:rsidP="00462C2B">
      <w:pPr>
        <w:numPr>
          <w:ilvl w:val="1"/>
          <w:numId w:val="16"/>
        </w:numPr>
        <w:ind w:left="142" w:hanging="142"/>
        <w:rPr>
          <w:color w:val="0070C0"/>
        </w:rPr>
      </w:pPr>
      <w:r w:rsidRPr="00013857">
        <w:rPr>
          <w:color w:val="0070C0"/>
        </w:rPr>
        <w:t xml:space="preserve">Opacités réticulées, prédominant aux bases et dans les régions sous-pleurales (figure 15). </w:t>
      </w:r>
    </w:p>
    <w:p w14:paraId="09989085" w14:textId="77777777" w:rsidR="00462C2B" w:rsidRPr="00013857" w:rsidRDefault="00462C2B" w:rsidP="00462C2B">
      <w:pPr>
        <w:numPr>
          <w:ilvl w:val="1"/>
          <w:numId w:val="16"/>
        </w:numPr>
        <w:ind w:left="142" w:hanging="142"/>
        <w:rPr>
          <w:color w:val="0070C0"/>
        </w:rPr>
      </w:pPr>
      <w:r w:rsidRPr="00013857">
        <w:rPr>
          <w:color w:val="0070C0"/>
        </w:rPr>
        <w:t>Perte de volume pulmonaire.</w:t>
      </w:r>
    </w:p>
    <w:p w14:paraId="3CECF145" w14:textId="77777777" w:rsidR="00462C2B" w:rsidRPr="00013857" w:rsidRDefault="00462C2B" w:rsidP="00462C2B">
      <w:pPr>
        <w:rPr>
          <w:color w:val="0070C0"/>
        </w:rPr>
      </w:pPr>
    </w:p>
    <w:p w14:paraId="68F0AB52" w14:textId="77777777" w:rsidR="00462C2B" w:rsidRPr="00013857" w:rsidRDefault="00462C2B" w:rsidP="00462C2B">
      <w:pPr>
        <w:rPr>
          <w:color w:val="0070C0"/>
        </w:rPr>
      </w:pPr>
      <w:r w:rsidRPr="00013857">
        <w:rPr>
          <w:color w:val="0070C0"/>
        </w:rPr>
        <w:t>TDM = pierre angulaire du diagnostic : aspect de pneumopathie interstitielle commune (PIC) :</w:t>
      </w:r>
    </w:p>
    <w:p w14:paraId="73E95F06" w14:textId="77777777" w:rsidR="00462C2B" w:rsidRPr="00013857" w:rsidRDefault="00462C2B" w:rsidP="00462C2B">
      <w:pPr>
        <w:numPr>
          <w:ilvl w:val="1"/>
          <w:numId w:val="16"/>
        </w:numPr>
        <w:ind w:left="142" w:hanging="142"/>
        <w:rPr>
          <w:color w:val="0070C0"/>
        </w:rPr>
      </w:pPr>
      <w:r w:rsidRPr="00013857">
        <w:rPr>
          <w:color w:val="0070C0"/>
        </w:rPr>
        <w:t>Kystes en rayon de miel.</w:t>
      </w:r>
    </w:p>
    <w:p w14:paraId="5AEF5B25" w14:textId="77777777" w:rsidR="00462C2B" w:rsidRPr="00013857" w:rsidRDefault="00462C2B" w:rsidP="00462C2B">
      <w:pPr>
        <w:numPr>
          <w:ilvl w:val="1"/>
          <w:numId w:val="16"/>
        </w:numPr>
        <w:ind w:left="142" w:hanging="142"/>
        <w:rPr>
          <w:color w:val="0070C0"/>
        </w:rPr>
      </w:pPr>
      <w:r w:rsidRPr="00013857">
        <w:rPr>
          <w:color w:val="0070C0"/>
        </w:rPr>
        <w:t>Réticulations intra-lobulaires.</w:t>
      </w:r>
    </w:p>
    <w:p w14:paraId="2B887EEC" w14:textId="77777777" w:rsidR="00462C2B" w:rsidRPr="00013857" w:rsidRDefault="00462C2B" w:rsidP="00462C2B">
      <w:pPr>
        <w:numPr>
          <w:ilvl w:val="1"/>
          <w:numId w:val="16"/>
        </w:numPr>
        <w:ind w:left="142" w:hanging="142"/>
        <w:rPr>
          <w:color w:val="0070C0"/>
        </w:rPr>
      </w:pPr>
      <w:r w:rsidRPr="70E77436">
        <w:rPr>
          <w:color w:val="0070C0"/>
        </w:rPr>
        <w:t xml:space="preserve">Bronchectasies et </w:t>
      </w:r>
      <w:proofErr w:type="spellStart"/>
      <w:r w:rsidRPr="70E77436">
        <w:rPr>
          <w:color w:val="0070C0"/>
        </w:rPr>
        <w:t>bronchiolectasies</w:t>
      </w:r>
      <w:proofErr w:type="spellEnd"/>
      <w:r w:rsidRPr="70E77436">
        <w:rPr>
          <w:color w:val="0070C0"/>
        </w:rPr>
        <w:t xml:space="preserve"> périphériques de traction.</w:t>
      </w:r>
    </w:p>
    <w:p w14:paraId="2E79ED77" w14:textId="77777777" w:rsidR="00462C2B" w:rsidRPr="00013857" w:rsidRDefault="00462C2B" w:rsidP="00462C2B">
      <w:pPr>
        <w:numPr>
          <w:ilvl w:val="1"/>
          <w:numId w:val="16"/>
        </w:numPr>
        <w:ind w:left="142" w:hanging="142"/>
        <w:rPr>
          <w:color w:val="0070C0"/>
        </w:rPr>
      </w:pPr>
      <w:r w:rsidRPr="00013857">
        <w:rPr>
          <w:color w:val="0070C0"/>
        </w:rPr>
        <w:t>Prédominant en sous pleural et aux bases (figures 8 à 10).</w:t>
      </w:r>
    </w:p>
    <w:p w14:paraId="1697BDE2" w14:textId="77777777" w:rsidR="00462C2B" w:rsidRPr="00107424" w:rsidRDefault="00462C2B" w:rsidP="00462C2B">
      <w:pPr>
        <w:numPr>
          <w:ilvl w:val="1"/>
          <w:numId w:val="16"/>
        </w:numPr>
        <w:ind w:left="142" w:hanging="142"/>
        <w:rPr>
          <w:color w:val="0070C0"/>
        </w:rPr>
      </w:pPr>
      <w:r w:rsidRPr="00013857">
        <w:rPr>
          <w:color w:val="0070C0"/>
        </w:rPr>
        <w:t>Parfois atypique : diagnostic par biopsie.</w:t>
      </w:r>
    </w:p>
    <w:p w14:paraId="565C3DCC" w14:textId="77777777" w:rsidR="00462C2B" w:rsidRPr="00013857" w:rsidRDefault="00462C2B" w:rsidP="00462C2B">
      <w:pPr>
        <w:rPr>
          <w:color w:val="0070C0"/>
        </w:rPr>
      </w:pPr>
      <w:r w:rsidRPr="00013857">
        <w:rPr>
          <w:color w:val="0070C0"/>
        </w:rPr>
        <w:t>EFR :</w:t>
      </w:r>
    </w:p>
    <w:p w14:paraId="2BBBABE1" w14:textId="77777777" w:rsidR="00462C2B" w:rsidRPr="00013857" w:rsidRDefault="00462C2B" w:rsidP="00462C2B">
      <w:pPr>
        <w:numPr>
          <w:ilvl w:val="1"/>
          <w:numId w:val="16"/>
        </w:numPr>
        <w:ind w:left="142" w:hanging="142"/>
        <w:rPr>
          <w:color w:val="0070C0"/>
        </w:rPr>
      </w:pPr>
      <w:r w:rsidRPr="00013857">
        <w:rPr>
          <w:color w:val="0070C0"/>
        </w:rPr>
        <w:t xml:space="preserve">Trouble ventilatoire restrictif, </w:t>
      </w:r>
      <w:r w:rsidRPr="00013857">
        <w:rPr>
          <w:rFonts w:ascii="Segoe UI Symbol" w:hAnsi="Segoe UI Symbol" w:cs="Segoe UI Symbol"/>
          <w:color w:val="0070C0"/>
        </w:rPr>
        <w:t>⬊</w:t>
      </w:r>
      <w:r w:rsidRPr="00013857">
        <w:rPr>
          <w:color w:val="0070C0"/>
        </w:rPr>
        <w:t xml:space="preserve"> DLCO.</w:t>
      </w:r>
    </w:p>
    <w:p w14:paraId="59BD9860" w14:textId="77777777" w:rsidR="00462C2B" w:rsidRPr="00013857" w:rsidRDefault="00462C2B" w:rsidP="00462C2B">
      <w:pPr>
        <w:numPr>
          <w:ilvl w:val="1"/>
          <w:numId w:val="16"/>
        </w:numPr>
        <w:ind w:left="142" w:hanging="142"/>
        <w:rPr>
          <w:color w:val="0070C0"/>
        </w:rPr>
      </w:pPr>
      <w:r w:rsidRPr="00013857">
        <w:rPr>
          <w:color w:val="0070C0"/>
        </w:rPr>
        <w:t>L’hypoxémie peut ne se démasquer qu’à l’effort (</w:t>
      </w:r>
      <w:r w:rsidRPr="00013857">
        <w:rPr>
          <w:rFonts w:ascii="Segoe UI Symbol" w:hAnsi="Segoe UI Symbol" w:cs="Segoe UI Symbol"/>
          <w:color w:val="0070C0"/>
        </w:rPr>
        <w:t>⬊</w:t>
      </w:r>
      <w:r w:rsidRPr="00013857">
        <w:rPr>
          <w:color w:val="0070C0"/>
        </w:rPr>
        <w:t xml:space="preserve"> SpO</w:t>
      </w:r>
      <w:r w:rsidRPr="00013857">
        <w:rPr>
          <w:color w:val="0070C0"/>
          <w:vertAlign w:val="subscript"/>
        </w:rPr>
        <w:t>2</w:t>
      </w:r>
      <w:r w:rsidRPr="00013857">
        <w:rPr>
          <w:color w:val="0070C0"/>
        </w:rPr>
        <w:t xml:space="preserve"> lors du test de marche de 6 minutes). </w:t>
      </w:r>
    </w:p>
    <w:p w14:paraId="598B7935" w14:textId="77777777" w:rsidR="00462C2B" w:rsidRPr="00013857" w:rsidRDefault="00462C2B" w:rsidP="00462C2B">
      <w:pPr>
        <w:ind w:right="4251"/>
        <w:rPr>
          <w:color w:val="0070C0"/>
        </w:rPr>
      </w:pPr>
    </w:p>
    <w:p w14:paraId="56B5DA64" w14:textId="77777777" w:rsidR="00462C2B" w:rsidRPr="00013857" w:rsidRDefault="00462C2B" w:rsidP="00462C2B">
      <w:pPr>
        <w:ind w:right="4251"/>
        <w:rPr>
          <w:color w:val="0070C0"/>
        </w:rPr>
      </w:pPr>
      <w:r w:rsidRPr="00013857">
        <w:rPr>
          <w:color w:val="0070C0"/>
        </w:rPr>
        <w:t>Biologie : normale.</w:t>
      </w:r>
    </w:p>
    <w:p w14:paraId="19881D00" w14:textId="77777777" w:rsidR="00462C2B" w:rsidRPr="00013857" w:rsidRDefault="00462C2B" w:rsidP="00462C2B">
      <w:pPr>
        <w:ind w:right="4251"/>
        <w:rPr>
          <w:color w:val="0070C0"/>
        </w:rPr>
      </w:pPr>
    </w:p>
    <w:p w14:paraId="15CD4758" w14:textId="77777777" w:rsidR="00462C2B" w:rsidRPr="00013857" w:rsidRDefault="00462C2B" w:rsidP="00462C2B">
      <w:pPr>
        <w:ind w:right="4251"/>
        <w:rPr>
          <w:color w:val="0070C0"/>
        </w:rPr>
      </w:pPr>
      <w:r w:rsidRPr="00013857">
        <w:rPr>
          <w:color w:val="0070C0"/>
        </w:rPr>
        <w:t xml:space="preserve">Bilan immunitaire négatif. </w:t>
      </w:r>
    </w:p>
    <w:p w14:paraId="7F36B33D" w14:textId="77777777" w:rsidR="00462C2B" w:rsidRPr="00013857" w:rsidRDefault="00462C2B" w:rsidP="00462C2B">
      <w:pPr>
        <w:ind w:right="5243"/>
        <w:rPr>
          <w:color w:val="0070C0"/>
        </w:rPr>
      </w:pPr>
    </w:p>
    <w:p w14:paraId="708714CE" w14:textId="77777777" w:rsidR="00462C2B" w:rsidRPr="00013857" w:rsidRDefault="00462C2B" w:rsidP="00462C2B">
      <w:pPr>
        <w:rPr>
          <w:color w:val="0070C0"/>
        </w:rPr>
      </w:pPr>
      <w:r w:rsidRPr="00013857">
        <w:rPr>
          <w:color w:val="0070C0"/>
        </w:rPr>
        <w:t xml:space="preserve">Le LBA ne fournit pas d’élément de diagnostic positif, mais peut permettre d’évoquer des diagnostics différentiels lorsque la présentation au scanner thoracique n’est pas typique (ex. : PHS si lymphocytes &gt; 20 %). </w:t>
      </w:r>
    </w:p>
    <w:p w14:paraId="09362763" w14:textId="77777777" w:rsidR="00462C2B" w:rsidRPr="00013857" w:rsidRDefault="00462C2B" w:rsidP="00462C2B">
      <w:pPr>
        <w:rPr>
          <w:color w:val="0070C0"/>
        </w:rPr>
      </w:pPr>
      <w:r w:rsidRPr="70E77436">
        <w:rPr>
          <w:color w:val="0070C0"/>
        </w:rPr>
        <w:t xml:space="preserve">La biopsie pulmonaire (vidéo-chirurgicale ou </w:t>
      </w:r>
      <w:proofErr w:type="spellStart"/>
      <w:r w:rsidRPr="70E77436">
        <w:rPr>
          <w:color w:val="0070C0"/>
        </w:rPr>
        <w:t>cryobiopsie</w:t>
      </w:r>
      <w:proofErr w:type="spellEnd"/>
      <w:r w:rsidRPr="70E77436">
        <w:rPr>
          <w:color w:val="0070C0"/>
        </w:rPr>
        <w:t xml:space="preserve"> </w:t>
      </w:r>
      <w:proofErr w:type="spellStart"/>
      <w:r w:rsidRPr="70E77436">
        <w:rPr>
          <w:color w:val="0070C0"/>
        </w:rPr>
        <w:t>transbronchique</w:t>
      </w:r>
      <w:proofErr w:type="spellEnd"/>
      <w:r w:rsidRPr="70E77436">
        <w:rPr>
          <w:color w:val="0070C0"/>
        </w:rPr>
        <w:t>) doit faire l’objet d’une discussion multidisciplinaire et ne se conçoit que devant un tableau scanographique atypique et si l’impact sur la prise en charge est réel, elle montre alors un aspect de pneumopathie interstitielle commune (PIC).</w:t>
      </w:r>
    </w:p>
    <w:p w14:paraId="7D91C0E0" w14:textId="77777777" w:rsidR="00462C2B" w:rsidRPr="00107424" w:rsidRDefault="00462C2B" w:rsidP="00462C2B">
      <w:pPr>
        <w:rPr>
          <w:color w:val="0070C0"/>
        </w:rPr>
      </w:pPr>
      <w:r w:rsidRPr="00013857">
        <w:rPr>
          <w:noProof/>
        </w:rPr>
        <w:lastRenderedPageBreak/>
        <mc:AlternateContent>
          <mc:Choice Requires="wps">
            <w:drawing>
              <wp:anchor distT="0" distB="0" distL="114300" distR="114300" simplePos="0" relativeHeight="251943936" behindDoc="0" locked="0" layoutInCell="1" hidden="0" allowOverlap="1" wp14:anchorId="5BA14F41" wp14:editId="566A5072">
                <wp:simplePos x="0" y="0"/>
                <wp:positionH relativeFrom="margin">
                  <wp:posOffset>-84455</wp:posOffset>
                </wp:positionH>
                <wp:positionV relativeFrom="paragraph">
                  <wp:posOffset>565150</wp:posOffset>
                </wp:positionV>
                <wp:extent cx="5851525" cy="2329180"/>
                <wp:effectExtent l="0" t="0" r="0" b="0"/>
                <wp:wrapTopAndBottom/>
                <wp:docPr id="768653559" name="Rectangle 768653559"/>
                <wp:cNvGraphicFramePr/>
                <a:graphic xmlns:a="http://schemas.openxmlformats.org/drawingml/2006/main">
                  <a:graphicData uri="http://schemas.microsoft.com/office/word/2010/wordprocessingShape">
                    <wps:wsp>
                      <wps:cNvSpPr/>
                      <wps:spPr>
                        <a:xfrm>
                          <a:off x="0" y="0"/>
                          <a:ext cx="5851525" cy="2329180"/>
                        </a:xfrm>
                        <a:prstGeom prst="rect">
                          <a:avLst/>
                        </a:prstGeom>
                        <a:solidFill>
                          <a:srgbClr val="FFFFFF"/>
                        </a:solidFill>
                        <a:ln>
                          <a:noFill/>
                        </a:ln>
                      </wps:spPr>
                      <wps:txbx>
                        <w:txbxContent>
                          <w:p w14:paraId="420DDE29" w14:textId="77777777" w:rsidR="00462C2B" w:rsidRDefault="00462C2B" w:rsidP="00462C2B">
                            <w:pPr>
                              <w:pStyle w:val="lgende"/>
                            </w:pPr>
                            <w:r>
                              <w:t>Figure 15 :</w:t>
                            </w:r>
                            <w:r>
                              <w:rPr>
                                <w:sz w:val="22"/>
                              </w:rPr>
                              <w:t xml:space="preserve"> </w:t>
                            </w:r>
                            <w:r>
                              <w:t>Évolution de la radiographie de thorax, à intervalles de deux ans, de gauche à droite, dans une FPI (normal à gauche, images réticulaires dans les bases et diminution du volume pulmonaire qui apparaissent progressivement au cours du temps).</w:t>
                            </w:r>
                          </w:p>
                          <w:p w14:paraId="2910A961" w14:textId="77777777" w:rsidR="00462C2B" w:rsidRDefault="00462C2B" w:rsidP="00462C2B">
                            <w:pPr>
                              <w:spacing w:line="275" w:lineRule="auto"/>
                              <w:jc w:val="left"/>
                              <w:textDirection w:val="btLr"/>
                            </w:pPr>
                            <w:r w:rsidRPr="006021D1">
                              <w:rPr>
                                <w:noProof/>
                              </w:rPr>
                              <w:drawing>
                                <wp:inline distT="0" distB="0" distL="0" distR="0" wp14:anchorId="7F3EC9F2" wp14:editId="26D655B5">
                                  <wp:extent cx="1700486" cy="1620000"/>
                                  <wp:effectExtent l="0" t="0" r="0" b="0"/>
                                  <wp:docPr id="2061032706"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b="64131"/>
                                          <a:stretch>
                                            <a:fillRect/>
                                          </a:stretch>
                                        </pic:blipFill>
                                        <pic:spPr bwMode="auto">
                                          <a:xfrm>
                                            <a:off x="0" y="0"/>
                                            <a:ext cx="1700486" cy="1620000"/>
                                          </a:xfrm>
                                          <a:prstGeom prst="rect">
                                            <a:avLst/>
                                          </a:prstGeom>
                                          <a:noFill/>
                                          <a:ln>
                                            <a:noFill/>
                                          </a:ln>
                                          <a:extLst>
                                            <a:ext uri="{53640926-AAD7-44D8-BBD7-CCE9431645EC}">
                                              <a14:shadowObscured xmlns:a14="http://schemas.microsoft.com/office/drawing/2010/main"/>
                                            </a:ext>
                                          </a:extLst>
                                        </pic:spPr>
                                      </pic:pic>
                                    </a:graphicData>
                                  </a:graphic>
                                </wp:inline>
                              </w:drawing>
                            </w:r>
                            <w:r w:rsidRPr="006021D1">
                              <w:rPr>
                                <w:noProof/>
                              </w:rPr>
                              <w:drawing>
                                <wp:inline distT="0" distB="0" distL="0" distR="0" wp14:anchorId="07A2BFEC" wp14:editId="09A978EF">
                                  <wp:extent cx="1935318" cy="1620000"/>
                                  <wp:effectExtent l="0" t="0" r="8255" b="0"/>
                                  <wp:docPr id="1702283515"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36192" b="32292"/>
                                          <a:stretch>
                                            <a:fillRect/>
                                          </a:stretch>
                                        </pic:blipFill>
                                        <pic:spPr bwMode="auto">
                                          <a:xfrm>
                                            <a:off x="0" y="0"/>
                                            <a:ext cx="1935318" cy="1620000"/>
                                          </a:xfrm>
                                          <a:prstGeom prst="rect">
                                            <a:avLst/>
                                          </a:prstGeom>
                                          <a:noFill/>
                                          <a:ln>
                                            <a:noFill/>
                                          </a:ln>
                                          <a:extLst>
                                            <a:ext uri="{53640926-AAD7-44D8-BBD7-CCE9431645EC}">
                                              <a14:shadowObscured xmlns:a14="http://schemas.microsoft.com/office/drawing/2010/main"/>
                                            </a:ext>
                                          </a:extLst>
                                        </pic:spPr>
                                      </pic:pic>
                                    </a:graphicData>
                                  </a:graphic>
                                </wp:inline>
                              </w:drawing>
                            </w:r>
                            <w:r w:rsidRPr="006021D1">
                              <w:rPr>
                                <w:noProof/>
                              </w:rPr>
                              <w:drawing>
                                <wp:inline distT="0" distB="0" distL="0" distR="0" wp14:anchorId="45912524" wp14:editId="6C4AB862">
                                  <wp:extent cx="1908313" cy="1619514"/>
                                  <wp:effectExtent l="0" t="0" r="0" b="0"/>
                                  <wp:docPr id="2079351662"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68516" b="1"/>
                                          <a:stretch>
                                            <a:fillRect/>
                                          </a:stretch>
                                        </pic:blipFill>
                                        <pic:spPr bwMode="auto">
                                          <a:xfrm>
                                            <a:off x="0" y="0"/>
                                            <a:ext cx="1909197" cy="162026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BA14F41" id="Rectangle 768653559" o:spid="_x0000_s1027" style="position:absolute;left:0;text-align:left;margin-left:-6.65pt;margin-top:44.5pt;width:460.75pt;height:183.4pt;z-index:251943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" stroked="f">
                <v:textbox inset="2.53958mm,1.2694mm,2.53958mm,1.2694mm">
                  <w:txbxContent>
                    <w:p w14:paraId="420DDE29" w14:textId="77777777" w:rsidR="00462C2B" w:rsidRDefault="00462C2B" w:rsidP="00462C2B">
                      <w:pPr>
                        <w:pStyle w:val="lgende"/>
                      </w:pPr>
                      <w:r>
                        <w:t>Figure 15 :</w:t>
                      </w:r>
                      <w:r>
                        <w:rPr>
                          <w:sz w:val="22"/>
                        </w:rPr>
                        <w:t xml:space="preserve"> </w:t>
                      </w:r>
                      <w:r>
                        <w:t>Évolution de la radiographie de thorax, à intervalles de deux ans, de gauche à droite, dans une FPI (normal à gauche, images réticulaires dans les bases et diminution du volume pulmonaire qui apparaissent progressivement au cours du temps).</w:t>
                      </w:r>
                    </w:p>
                    <w:p w14:paraId="2910A961" w14:textId="77777777" w:rsidR="00462C2B" w:rsidRDefault="00462C2B" w:rsidP="00462C2B">
                      <w:pPr>
                        <w:spacing w:line="275" w:lineRule="auto"/>
                        <w:jc w:val="left"/>
                        <w:textDirection w:val="btLr"/>
                      </w:pPr>
                      <w:r w:rsidRPr="006021D1">
                        <w:rPr>
                          <w:noProof/>
                        </w:rPr>
                        <w:drawing>
                          <wp:inline distT="0" distB="0" distL="0" distR="0" wp14:anchorId="7F3EC9F2" wp14:editId="26D655B5">
                            <wp:extent cx="1700486" cy="1620000"/>
                            <wp:effectExtent l="0" t="0" r="0" b="0"/>
                            <wp:docPr id="2061032706"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b="64131"/>
                                    <a:stretch>
                                      <a:fillRect/>
                                    </a:stretch>
                                  </pic:blipFill>
                                  <pic:spPr bwMode="auto">
                                    <a:xfrm>
                                      <a:off x="0" y="0"/>
                                      <a:ext cx="1700486" cy="1620000"/>
                                    </a:xfrm>
                                    <a:prstGeom prst="rect">
                                      <a:avLst/>
                                    </a:prstGeom>
                                    <a:noFill/>
                                    <a:ln>
                                      <a:noFill/>
                                    </a:ln>
                                    <a:extLst>
                                      <a:ext uri="{53640926-AAD7-44D8-BBD7-CCE9431645EC}">
                                        <a14:shadowObscured xmlns:a14="http://schemas.microsoft.com/office/drawing/2010/main"/>
                                      </a:ext>
                                    </a:extLst>
                                  </pic:spPr>
                                </pic:pic>
                              </a:graphicData>
                            </a:graphic>
                          </wp:inline>
                        </w:drawing>
                      </w:r>
                      <w:r w:rsidRPr="006021D1">
                        <w:rPr>
                          <w:noProof/>
                        </w:rPr>
                        <w:drawing>
                          <wp:inline distT="0" distB="0" distL="0" distR="0" wp14:anchorId="07A2BFEC" wp14:editId="09A978EF">
                            <wp:extent cx="1935318" cy="1620000"/>
                            <wp:effectExtent l="0" t="0" r="8255" b="0"/>
                            <wp:docPr id="1702283515"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36192" b="32292"/>
                                    <a:stretch>
                                      <a:fillRect/>
                                    </a:stretch>
                                  </pic:blipFill>
                                  <pic:spPr bwMode="auto">
                                    <a:xfrm>
                                      <a:off x="0" y="0"/>
                                      <a:ext cx="1935318" cy="1620000"/>
                                    </a:xfrm>
                                    <a:prstGeom prst="rect">
                                      <a:avLst/>
                                    </a:prstGeom>
                                    <a:noFill/>
                                    <a:ln>
                                      <a:noFill/>
                                    </a:ln>
                                    <a:extLst>
                                      <a:ext uri="{53640926-AAD7-44D8-BBD7-CCE9431645EC}">
                                        <a14:shadowObscured xmlns:a14="http://schemas.microsoft.com/office/drawing/2010/main"/>
                                      </a:ext>
                                    </a:extLst>
                                  </pic:spPr>
                                </pic:pic>
                              </a:graphicData>
                            </a:graphic>
                          </wp:inline>
                        </w:drawing>
                      </w:r>
                      <w:r w:rsidRPr="006021D1">
                        <w:rPr>
                          <w:noProof/>
                        </w:rPr>
                        <w:drawing>
                          <wp:inline distT="0" distB="0" distL="0" distR="0" wp14:anchorId="45912524" wp14:editId="6C4AB862">
                            <wp:extent cx="1908313" cy="1619514"/>
                            <wp:effectExtent l="0" t="0" r="0" b="0"/>
                            <wp:docPr id="2079351662" name="Image 32" descr="G:\NICE ENSEIGNEMENT\COLLEGE NATIONAL DES PU-PH\ECN - REFERENTIEL\EDITION 2019\ITEM_206_PID\FIGURES\FIGURES RETENUES\figure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descr="G:\NICE ENSEIGNEMENT\COLLEGE NATIONAL DES PU-PH\ECN - REFERENTIEL\EDITION 2019\ITEM_206_PID\FIGURES\FIGURES RETENUES\figure 1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t="68516" b="1"/>
                                    <a:stretch>
                                      <a:fillRect/>
                                    </a:stretch>
                                  </pic:blipFill>
                                  <pic:spPr bwMode="auto">
                                    <a:xfrm>
                                      <a:off x="0" y="0"/>
                                      <a:ext cx="1909197" cy="162026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topAndBottom" anchorx="margin"/>
              </v:rect>
            </w:pict>
          </mc:Fallback>
        </mc:AlternateContent>
      </w:r>
      <w:r w:rsidRPr="70E77436">
        <w:rPr>
          <w:color w:val="0070C0"/>
        </w:rPr>
        <w:t xml:space="preserve">Le diagnostic de FPI est confirmé par la DMD. Le traitement médicamenteux repose sur les </w:t>
      </w:r>
      <w:proofErr w:type="spellStart"/>
      <w:r w:rsidRPr="70E77436">
        <w:rPr>
          <w:color w:val="0070C0"/>
        </w:rPr>
        <w:t>antifibrosants</w:t>
      </w:r>
      <w:proofErr w:type="spellEnd"/>
      <w:r w:rsidRPr="70E77436">
        <w:rPr>
          <w:color w:val="0070C0"/>
        </w:rPr>
        <w:t>, qui ralentissent le déclin de la fonction respiratoire, réduisent le risque d’exacerbation aiguë et améliorent la survie.</w:t>
      </w:r>
    </w:p>
    <w:p w14:paraId="109249AE" w14:textId="77777777" w:rsidR="00462C2B" w:rsidRDefault="00462C2B" w:rsidP="00B24E4B">
      <w:pPr>
        <w:spacing w:line="276" w:lineRule="auto"/>
        <w:ind w:right="4251"/>
        <w:rPr>
          <w:b/>
          <w:bCs/>
          <w:color w:val="0070C0"/>
        </w:rPr>
      </w:pPr>
    </w:p>
    <w:p w14:paraId="044E90C3" w14:textId="5BF8E12B" w:rsidR="005478B4" w:rsidRDefault="005478B4" w:rsidP="00B24E4B">
      <w:pPr>
        <w:spacing w:line="276" w:lineRule="auto"/>
        <w:rPr>
          <w:color w:val="0070C0"/>
        </w:rPr>
      </w:pPr>
    </w:p>
    <w:p w14:paraId="5950B4AF" w14:textId="13F25784" w:rsidR="00B24E4B" w:rsidRDefault="00B24E4B">
      <w:pPr>
        <w:pStyle w:val="titredesous-partie"/>
        <w:numPr>
          <w:ilvl w:val="3"/>
          <w:numId w:val="16"/>
        </w:numPr>
        <w:ind w:left="426" w:hanging="284"/>
      </w:pPr>
      <w:r>
        <w:rPr>
          <w:shd w:val="clear" w:color="auto" w:fill="auto"/>
        </w:rPr>
        <w:t>Pneumopathie Interstitielle Non Spécifique (PINS)</w:t>
      </w:r>
    </w:p>
    <w:p w14:paraId="08307E4F" w14:textId="77777777" w:rsidR="00B24E4B" w:rsidRDefault="00B24E4B" w:rsidP="00B24E4B">
      <w:pPr>
        <w:spacing w:line="276" w:lineRule="auto"/>
        <w:rPr>
          <w:color w:val="0070C0"/>
        </w:rPr>
      </w:pPr>
      <w:r>
        <w:rPr>
          <w:color w:val="0070C0"/>
        </w:rPr>
        <w:t xml:space="preserve">Le terme de PINS désigne à la fois un aspect histopathologique et une entité </w:t>
      </w:r>
      <w:proofErr w:type="spellStart"/>
      <w:r>
        <w:rPr>
          <w:color w:val="0070C0"/>
        </w:rPr>
        <w:t>anatomo-clinique</w:t>
      </w:r>
      <w:proofErr w:type="spellEnd"/>
      <w:r>
        <w:rPr>
          <w:color w:val="0070C0"/>
        </w:rPr>
        <w:t xml:space="preserve">. </w:t>
      </w:r>
    </w:p>
    <w:p w14:paraId="476A6348" w14:textId="77777777" w:rsidR="00B24E4B" w:rsidRDefault="00B24E4B" w:rsidP="00B24E4B">
      <w:pPr>
        <w:spacing w:line="276" w:lineRule="auto"/>
        <w:rPr>
          <w:color w:val="0070C0"/>
        </w:rPr>
      </w:pPr>
      <w:r>
        <w:rPr>
          <w:color w:val="0070C0"/>
        </w:rPr>
        <w:t xml:space="preserve">Par extension, on parle de profil tomodensitométrique évocateur de PINS devant certains aspects au scanner : opacités associant verre dépoli et réticulations, avec un degré variable de fibrose, avec une distribution </w:t>
      </w:r>
      <w:proofErr w:type="spellStart"/>
      <w:r>
        <w:rPr>
          <w:color w:val="0070C0"/>
        </w:rPr>
        <w:t>péribronchovasculaire</w:t>
      </w:r>
      <w:proofErr w:type="spellEnd"/>
      <w:r>
        <w:rPr>
          <w:color w:val="0070C0"/>
        </w:rPr>
        <w:t xml:space="preserve"> et un certain degré de respect de la zone sous-pleurale.</w:t>
      </w:r>
    </w:p>
    <w:p w14:paraId="576F9F0A" w14:textId="77777777" w:rsidR="00B24E4B" w:rsidRDefault="00B24E4B" w:rsidP="00B24E4B">
      <w:pPr>
        <w:spacing w:line="276" w:lineRule="auto"/>
        <w:rPr>
          <w:color w:val="0070C0"/>
        </w:rPr>
      </w:pPr>
      <w:r>
        <w:rPr>
          <w:color w:val="0070C0"/>
        </w:rPr>
        <w:t xml:space="preserve">On distingue : </w:t>
      </w:r>
    </w:p>
    <w:p w14:paraId="70353353" w14:textId="77777777" w:rsidR="00B24E4B" w:rsidRDefault="00B24E4B" w:rsidP="00B24E4B">
      <w:pPr>
        <w:spacing w:line="276" w:lineRule="auto"/>
        <w:rPr>
          <w:color w:val="0070C0"/>
        </w:rPr>
      </w:pPr>
      <w:r>
        <w:rPr>
          <w:color w:val="0070C0"/>
        </w:rPr>
        <w:t>- La PINS idiopathique. Survient à un âge plus jeune (&lt; 50 ans) que la FPI. Son pronostic est meilleur que celui de la FPI. Le diagnostic de certitude nécessite une biopsie pulmonaire. Le traitement repose sur les immunosuppresseurs et éventuellement les anti-fibrosants</w:t>
      </w:r>
      <w:r>
        <w:rPr>
          <w:color w:val="2E74B5"/>
        </w:rPr>
        <w:t>.</w:t>
      </w:r>
      <w:r>
        <w:t xml:space="preserve"> </w:t>
      </w:r>
      <w:r>
        <w:rPr>
          <w:color w:val="0070C0"/>
        </w:rPr>
        <w:t xml:space="preserve"> </w:t>
      </w:r>
    </w:p>
    <w:p w14:paraId="43FED82F" w14:textId="77777777" w:rsidR="00B24E4B" w:rsidRDefault="00B24E4B" w:rsidP="00B24E4B">
      <w:pPr>
        <w:spacing w:line="276" w:lineRule="auto"/>
        <w:rPr>
          <w:color w:val="0070C0"/>
        </w:rPr>
      </w:pPr>
      <w:r>
        <w:rPr>
          <w:color w:val="0070C0"/>
        </w:rPr>
        <w:t>- Les PINS secondaires, essentiellement au cours des connectivites dont elle constitue l’aspect le plus fréquent des atteintes pulmonaires. Dans ce contexte, un scanner évocateur suffit à parler de PINS sans recourir à une biopsie pulmonaire. Elle peut aussi être secondaire à la prise de médicaments.</w:t>
      </w:r>
    </w:p>
    <w:p w14:paraId="22B8659B" w14:textId="77777777" w:rsidR="00B24E4B" w:rsidRDefault="00B24E4B" w:rsidP="00B24E4B">
      <w:pPr>
        <w:ind w:left="1276" w:hanging="1276"/>
        <w:rPr>
          <w:color w:val="0070C0"/>
        </w:rPr>
      </w:pPr>
    </w:p>
    <w:p w14:paraId="171EBFAE" w14:textId="2690F173" w:rsidR="00B24E4B" w:rsidRPr="005478B4" w:rsidRDefault="001C2618" w:rsidP="005478B4">
      <w:pPr>
        <w:pStyle w:val="lgende"/>
        <w:rPr>
          <w:color w:val="0070C0"/>
        </w:rPr>
      </w:pPr>
      <w:r w:rsidRPr="005478B4">
        <w:rPr>
          <w:noProof/>
          <w:color w:val="0070C0"/>
        </w:rPr>
        <w:lastRenderedPageBreak/>
        <w:drawing>
          <wp:anchor distT="0" distB="0" distL="114300" distR="114300" simplePos="0" relativeHeight="251936768" behindDoc="0" locked="0" layoutInCell="1" hidden="0" allowOverlap="1" wp14:anchorId="0C59C849" wp14:editId="46068852">
            <wp:simplePos x="0" y="0"/>
            <wp:positionH relativeFrom="margin">
              <wp:align>right</wp:align>
            </wp:positionH>
            <wp:positionV relativeFrom="paragraph">
              <wp:posOffset>10795</wp:posOffset>
            </wp:positionV>
            <wp:extent cx="3641725" cy="2743200"/>
            <wp:effectExtent l="0" t="0" r="0" b="0"/>
            <wp:wrapSquare wrapText="bothSides" distT="0" distB="0" distL="114300" distR="114300"/>
            <wp:docPr id="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6"/>
                    <a:srcRect l="12993" r="12404"/>
                    <a:stretch>
                      <a:fillRect/>
                    </a:stretch>
                  </pic:blipFill>
                  <pic:spPr>
                    <a:xfrm>
                      <a:off x="0" y="0"/>
                      <a:ext cx="3641725" cy="2743200"/>
                    </a:xfrm>
                    <a:prstGeom prst="rect">
                      <a:avLst/>
                    </a:prstGeom>
                    <a:ln/>
                  </pic:spPr>
                </pic:pic>
              </a:graphicData>
            </a:graphic>
          </wp:anchor>
        </w:drawing>
      </w:r>
      <w:r w:rsidR="00B24E4B" w:rsidRPr="005478B4">
        <w:rPr>
          <w:color w:val="0070C0"/>
        </w:rPr>
        <w:t>Figure 1</w:t>
      </w:r>
      <w:r w:rsidR="00462C2B">
        <w:rPr>
          <w:color w:val="0070C0"/>
        </w:rPr>
        <w:t>6</w:t>
      </w:r>
      <w:r w:rsidR="00B24E4B" w:rsidRPr="005478B4">
        <w:rPr>
          <w:color w:val="0070C0"/>
        </w:rPr>
        <w:t> : Patient suivi pour une sclérodermie. Apparition d’une dyspnée d’effort, de crépitants aux bases et d’un trouble ventilatoire restrictif en rapport avec l’installation d’une PINS sur le scanner thoracique ci-dessous.</w:t>
      </w:r>
    </w:p>
    <w:p w14:paraId="11AC3DEC" w14:textId="77777777" w:rsidR="00B24E4B" w:rsidRDefault="00B24E4B" w:rsidP="00B24E4B">
      <w:pPr>
        <w:spacing w:line="276" w:lineRule="auto"/>
        <w:rPr>
          <w:i/>
          <w:iCs/>
        </w:rPr>
      </w:pPr>
    </w:p>
    <w:p w14:paraId="17D033B2" w14:textId="77777777" w:rsidR="00B24E4B" w:rsidRDefault="00B24E4B" w:rsidP="00B24E4B">
      <w:pPr>
        <w:spacing w:line="276" w:lineRule="auto"/>
        <w:jc w:val="center"/>
        <w:rPr>
          <w:i/>
          <w:iCs/>
        </w:rPr>
      </w:pPr>
    </w:p>
    <w:p w14:paraId="295BE68B" w14:textId="77777777" w:rsidR="00B24E4B" w:rsidRDefault="00B24E4B" w:rsidP="00B24E4B">
      <w:pPr>
        <w:spacing w:line="276" w:lineRule="auto"/>
        <w:rPr>
          <w:i/>
          <w:iCs/>
        </w:rPr>
      </w:pPr>
    </w:p>
    <w:p w14:paraId="45A822C9" w14:textId="77777777" w:rsidR="00B24E4B" w:rsidRDefault="00B24E4B" w:rsidP="00B24E4B">
      <w:pPr>
        <w:spacing w:line="276" w:lineRule="auto"/>
        <w:rPr>
          <w:i/>
          <w:iCs/>
        </w:rPr>
      </w:pPr>
    </w:p>
    <w:p w14:paraId="5E4B4D03" w14:textId="77777777" w:rsidR="00B24E4B" w:rsidRDefault="00B24E4B" w:rsidP="00B24E4B">
      <w:pPr>
        <w:spacing w:line="276" w:lineRule="auto"/>
        <w:rPr>
          <w:i/>
          <w:iCs/>
        </w:rPr>
      </w:pPr>
    </w:p>
    <w:p w14:paraId="09D65DAF" w14:textId="77777777" w:rsidR="00B24E4B" w:rsidRDefault="00B24E4B" w:rsidP="00B24E4B">
      <w:pPr>
        <w:spacing w:line="276" w:lineRule="auto"/>
        <w:rPr>
          <w:i/>
          <w:iCs/>
        </w:rPr>
      </w:pPr>
    </w:p>
    <w:p w14:paraId="7FD4C422" w14:textId="77777777" w:rsidR="00B24E4B" w:rsidRDefault="00B24E4B" w:rsidP="00B24E4B">
      <w:pPr>
        <w:spacing w:line="276" w:lineRule="auto"/>
        <w:rPr>
          <w:i/>
          <w:iCs/>
        </w:rPr>
      </w:pPr>
    </w:p>
    <w:p w14:paraId="20754A15" w14:textId="77777777" w:rsidR="00B24E4B" w:rsidRDefault="00B24E4B" w:rsidP="00B24E4B">
      <w:pPr>
        <w:spacing w:line="276" w:lineRule="auto"/>
        <w:rPr>
          <w:i/>
          <w:iCs/>
        </w:rPr>
      </w:pPr>
    </w:p>
    <w:p w14:paraId="4EA7D9AD" w14:textId="77777777" w:rsidR="00B24E4B" w:rsidRDefault="00B24E4B" w:rsidP="00B24E4B">
      <w:pPr>
        <w:spacing w:line="276" w:lineRule="auto"/>
        <w:rPr>
          <w:i/>
          <w:iCs/>
        </w:rPr>
      </w:pPr>
    </w:p>
    <w:p w14:paraId="185697B8" w14:textId="77777777" w:rsidR="00B24E4B" w:rsidRDefault="00B24E4B" w:rsidP="00B24E4B">
      <w:pPr>
        <w:spacing w:line="276" w:lineRule="auto"/>
        <w:rPr>
          <w:i/>
          <w:iCs/>
        </w:rPr>
      </w:pPr>
    </w:p>
    <w:p w14:paraId="4D072777" w14:textId="77777777" w:rsidR="00B24E4B" w:rsidRDefault="00B24E4B" w:rsidP="00B24E4B">
      <w:pPr>
        <w:spacing w:line="276" w:lineRule="auto"/>
        <w:rPr>
          <w:i/>
          <w:iCs/>
        </w:rPr>
      </w:pPr>
    </w:p>
    <w:p w14:paraId="2681CDDC" w14:textId="77777777" w:rsidR="00B24E4B" w:rsidRDefault="00B24E4B" w:rsidP="00B24E4B">
      <w:pPr>
        <w:spacing w:line="276" w:lineRule="auto"/>
        <w:rPr>
          <w:i/>
          <w:iCs/>
        </w:rPr>
      </w:pPr>
    </w:p>
    <w:p w14:paraId="5CC32B4A" w14:textId="77777777" w:rsidR="00B24E4B" w:rsidRDefault="00B24E4B" w:rsidP="00B24E4B">
      <w:pPr>
        <w:spacing w:line="276" w:lineRule="auto"/>
        <w:rPr>
          <w:i/>
          <w:iCs/>
        </w:rPr>
      </w:pPr>
    </w:p>
    <w:p w14:paraId="4660A2D4" w14:textId="697C8E52" w:rsidR="00B24E4B" w:rsidRDefault="00B24E4B">
      <w:pPr>
        <w:pStyle w:val="titredesous-partie"/>
        <w:numPr>
          <w:ilvl w:val="3"/>
          <w:numId w:val="16"/>
        </w:numPr>
        <w:ind w:left="426" w:hanging="284"/>
      </w:pPr>
      <w:r>
        <w:rPr>
          <w:shd w:val="clear" w:color="auto" w:fill="auto"/>
        </w:rPr>
        <w:t>Pneumopathie d’Hypersensibilité (PHS)</w:t>
      </w:r>
    </w:p>
    <w:p w14:paraId="04537CE8" w14:textId="77777777" w:rsidR="00B24E4B" w:rsidRDefault="00B24E4B" w:rsidP="00B24E4B">
      <w:pPr>
        <w:pBdr>
          <w:top w:val="nil"/>
          <w:left w:val="nil"/>
          <w:bottom w:val="nil"/>
          <w:right w:val="nil"/>
          <w:between w:val="nil"/>
        </w:pBdr>
        <w:spacing w:line="276" w:lineRule="auto"/>
        <w:rPr>
          <w:color w:val="0070C0"/>
        </w:rPr>
      </w:pPr>
      <w:r>
        <w:rPr>
          <w:color w:val="0070C0"/>
        </w:rPr>
        <w:t xml:space="preserve">Liées à une hypersensibilité retardée aux antigènes organiques inhalés de façon répétée, les PHS peuvent survenir dans un contexte domestique (oiseaux de compagnie, moisissures) ou professionnel (agriculture exposant à l’inhalation de moisissures ou d’actinomycètes se développant dans le foin moisi, ou à des déjections d’oiseaux). </w:t>
      </w:r>
    </w:p>
    <w:p w14:paraId="11EB7440" w14:textId="77777777" w:rsidR="00B24E4B" w:rsidRDefault="00B24E4B" w:rsidP="00B24E4B">
      <w:pPr>
        <w:pBdr>
          <w:top w:val="nil"/>
          <w:left w:val="nil"/>
          <w:bottom w:val="nil"/>
          <w:right w:val="nil"/>
          <w:between w:val="nil"/>
        </w:pBdr>
        <w:spacing w:line="276" w:lineRule="auto"/>
        <w:rPr>
          <w:color w:val="0070C0"/>
        </w:rPr>
      </w:pPr>
      <w:r>
        <w:rPr>
          <w:color w:val="0070C0"/>
        </w:rPr>
        <w:t xml:space="preserve">Les PHS sont rares chez le fumeur. </w:t>
      </w:r>
    </w:p>
    <w:p w14:paraId="10D775EC" w14:textId="77777777" w:rsidR="00B24E4B" w:rsidRDefault="00B24E4B" w:rsidP="00B24E4B">
      <w:pPr>
        <w:pBdr>
          <w:top w:val="nil"/>
          <w:left w:val="nil"/>
          <w:bottom w:val="nil"/>
          <w:right w:val="nil"/>
          <w:between w:val="nil"/>
        </w:pBdr>
        <w:spacing w:line="276" w:lineRule="auto"/>
        <w:rPr>
          <w:color w:val="0070C0"/>
        </w:rPr>
      </w:pPr>
    </w:p>
    <w:p w14:paraId="34D39AD4" w14:textId="77777777" w:rsidR="00B24E4B" w:rsidRDefault="00B24E4B" w:rsidP="00B24E4B">
      <w:pPr>
        <w:pBdr>
          <w:top w:val="nil"/>
          <w:left w:val="nil"/>
          <w:bottom w:val="nil"/>
          <w:right w:val="nil"/>
          <w:between w:val="nil"/>
        </w:pBdr>
        <w:spacing w:line="276" w:lineRule="auto"/>
        <w:rPr>
          <w:color w:val="0070C0"/>
        </w:rPr>
      </w:pPr>
      <w:r>
        <w:rPr>
          <w:color w:val="0070C0"/>
        </w:rPr>
        <w:t xml:space="preserve">On distingue 2 types de PHS (alors qu’auparavant, la distinction était temporelle : forme aiguë, subaiguë et chronique) : </w:t>
      </w:r>
    </w:p>
    <w:p w14:paraId="34E7846B" w14:textId="77777777" w:rsidR="00B24E4B" w:rsidRDefault="00B24E4B" w:rsidP="00B24E4B">
      <w:pPr>
        <w:pBdr>
          <w:top w:val="nil"/>
          <w:left w:val="nil"/>
          <w:bottom w:val="nil"/>
          <w:right w:val="nil"/>
          <w:between w:val="nil"/>
        </w:pBdr>
        <w:spacing w:line="276" w:lineRule="auto"/>
        <w:rPr>
          <w:color w:val="0070C0"/>
        </w:rPr>
      </w:pPr>
      <w:r>
        <w:rPr>
          <w:color w:val="0070C0"/>
        </w:rPr>
        <w:t xml:space="preserve">- PHS non fibrosante : le plus souvent aiguë ou subaiguë, sous forme d’un syndrome pseudo-grippal fébrile survenant quelques heures après l’exposition antigénique délétère. L’évolution peut être spontanément favorable après éviction. Elle peut évoluer en plusieurs semaines ou mois avec toux, dyspnée d’effort et râles crépitants ± râles </w:t>
      </w:r>
      <w:proofErr w:type="spellStart"/>
      <w:r>
        <w:rPr>
          <w:color w:val="0070C0"/>
        </w:rPr>
        <w:t>piaulants</w:t>
      </w:r>
      <w:proofErr w:type="spellEnd"/>
      <w:r>
        <w:rPr>
          <w:color w:val="0070C0"/>
        </w:rPr>
        <w:t xml:space="preserve"> en fin d’inspiration (</w:t>
      </w:r>
      <w:proofErr w:type="spellStart"/>
      <w:r>
        <w:rPr>
          <w:color w:val="0070C0"/>
        </w:rPr>
        <w:t>squawks</w:t>
      </w:r>
      <w:proofErr w:type="spellEnd"/>
      <w:r>
        <w:rPr>
          <w:color w:val="0070C0"/>
        </w:rPr>
        <w:t xml:space="preserve">) liés à l’atteinte bronchiolaire. La radiographie montre des opacités infiltrantes diffuses bilatérales et le scanner montre des plages de verre dépoli et/ou des nodules flous, peu denses, de topographie centro-lobulaire. </w:t>
      </w:r>
    </w:p>
    <w:p w14:paraId="30CFC8B3" w14:textId="77777777" w:rsidR="00B24E4B" w:rsidRDefault="00B24E4B" w:rsidP="00B24E4B">
      <w:pPr>
        <w:pBdr>
          <w:top w:val="nil"/>
          <w:left w:val="nil"/>
          <w:bottom w:val="nil"/>
          <w:right w:val="nil"/>
          <w:between w:val="nil"/>
        </w:pBdr>
        <w:spacing w:line="276" w:lineRule="auto"/>
        <w:rPr>
          <w:color w:val="0070C0"/>
        </w:rPr>
      </w:pPr>
      <w:r>
        <w:rPr>
          <w:color w:val="0070C0"/>
        </w:rPr>
        <w:t xml:space="preserve">PHS fibrosante : le plus souvent évitable (mais pas toujours) lorsque l’on arrête l’exposition, cette fibrose peut évoluer pour son propre compte et conduire à l’insuffisance respiratoire (cf. fibrose pulmonaire progressive). Le scanner montre une fibrose caractérisée par une atteinte des petites voies aériennes, mais l’aspect est parfois comparable à celui d’une FPI. L’existence de signes de fibrose au scanner aggrave nettement le pronostic. </w:t>
      </w:r>
    </w:p>
    <w:p w14:paraId="2E534DF9" w14:textId="77777777" w:rsidR="00B24E4B" w:rsidRDefault="00B24E4B" w:rsidP="00B24E4B">
      <w:pPr>
        <w:pBdr>
          <w:top w:val="nil"/>
          <w:left w:val="nil"/>
          <w:bottom w:val="nil"/>
          <w:right w:val="nil"/>
          <w:between w:val="nil"/>
        </w:pBdr>
        <w:spacing w:line="276" w:lineRule="auto"/>
        <w:rPr>
          <w:color w:val="0070C0"/>
        </w:rPr>
      </w:pPr>
      <w:r>
        <w:rPr>
          <w:color w:val="0070C0"/>
        </w:rPr>
        <w:t>Le LBA en phase aiguë montre typiquement une alvéolite lymphocytaire (généralement supérieure à 20 %).</w:t>
      </w:r>
    </w:p>
    <w:p w14:paraId="4CE32638" w14:textId="77777777" w:rsidR="00B24E4B" w:rsidRDefault="00B24E4B" w:rsidP="00B24E4B">
      <w:pPr>
        <w:pBdr>
          <w:top w:val="nil"/>
          <w:left w:val="nil"/>
          <w:bottom w:val="nil"/>
          <w:right w:val="nil"/>
          <w:between w:val="nil"/>
        </w:pBdr>
        <w:spacing w:line="276" w:lineRule="auto"/>
        <w:rPr>
          <w:color w:val="0070C0"/>
        </w:rPr>
      </w:pPr>
      <w:r>
        <w:rPr>
          <w:color w:val="0070C0"/>
        </w:rPr>
        <w:t xml:space="preserve">La détection de </w:t>
      </w:r>
      <w:proofErr w:type="spellStart"/>
      <w:r>
        <w:rPr>
          <w:color w:val="0070C0"/>
        </w:rPr>
        <w:t>précipitines</w:t>
      </w:r>
      <w:proofErr w:type="spellEnd"/>
      <w:r>
        <w:rPr>
          <w:color w:val="0070C0"/>
        </w:rPr>
        <w:t xml:space="preserve"> sériques (IgG) spécifiquement dirigées contre l’antigène suspecté confirme l’exposition, mais ne permet pas à elle seule d’affirmer la maladie. Inversement, l’absence des </w:t>
      </w:r>
      <w:proofErr w:type="spellStart"/>
      <w:r>
        <w:rPr>
          <w:color w:val="0070C0"/>
        </w:rPr>
        <w:t>précipitines</w:t>
      </w:r>
      <w:proofErr w:type="spellEnd"/>
      <w:r>
        <w:rPr>
          <w:color w:val="0070C0"/>
        </w:rPr>
        <w:t xml:space="preserve"> n’exclut pas le diagnostic. </w:t>
      </w:r>
    </w:p>
    <w:p w14:paraId="413E073D" w14:textId="77777777" w:rsidR="00B24E4B" w:rsidRDefault="00B24E4B" w:rsidP="00B24E4B">
      <w:pPr>
        <w:pBdr>
          <w:top w:val="nil"/>
          <w:left w:val="nil"/>
          <w:bottom w:val="nil"/>
          <w:right w:val="nil"/>
          <w:between w:val="nil"/>
        </w:pBdr>
        <w:spacing w:line="276" w:lineRule="auto"/>
        <w:rPr>
          <w:color w:val="0070C0"/>
        </w:rPr>
      </w:pPr>
      <w:r>
        <w:rPr>
          <w:color w:val="0070C0"/>
        </w:rPr>
        <w:lastRenderedPageBreak/>
        <w:t xml:space="preserve">Le diagnostic repose sur un contexte clinique et environnemental évocateur d’autant que s’y ajoute une sérologie positive, l’aspect scanographique et les données du LBA. Une enquête à domicile est parfois possible grâce aux conseillers médicaux d’environnement intérieur afin de confirmer une exposition antigénique notamment aux moisissures. Le recours à la biopsie pulmonaire est exceptionnel et peut retrouver des aspects évocateurs (granulomes mal formés, prédominance </w:t>
      </w:r>
      <w:proofErr w:type="spellStart"/>
      <w:r>
        <w:rPr>
          <w:color w:val="0070C0"/>
        </w:rPr>
        <w:t>bronchocentrique</w:t>
      </w:r>
      <w:proofErr w:type="spellEnd"/>
      <w:r>
        <w:rPr>
          <w:color w:val="0070C0"/>
        </w:rPr>
        <w:t xml:space="preserve"> des lésions).</w:t>
      </w:r>
    </w:p>
    <w:p w14:paraId="03A88149" w14:textId="77777777" w:rsidR="00B24E4B" w:rsidRDefault="00B24E4B" w:rsidP="00B24E4B">
      <w:pPr>
        <w:pBdr>
          <w:top w:val="nil"/>
          <w:left w:val="nil"/>
          <w:bottom w:val="nil"/>
          <w:right w:val="nil"/>
          <w:between w:val="nil"/>
        </w:pBdr>
        <w:spacing w:line="240" w:lineRule="auto"/>
        <w:ind w:left="851" w:hanging="851"/>
        <w:rPr>
          <w:color w:val="0070C0"/>
        </w:rPr>
      </w:pPr>
    </w:p>
    <w:p w14:paraId="727483FD" w14:textId="187C143B" w:rsidR="00B24E4B" w:rsidRPr="005478B4" w:rsidRDefault="00B24E4B" w:rsidP="005478B4">
      <w:pPr>
        <w:pStyle w:val="lgende"/>
        <w:rPr>
          <w:color w:val="0070C0"/>
        </w:rPr>
      </w:pPr>
      <w:r w:rsidRPr="005478B4">
        <w:rPr>
          <w:color w:val="0070C0"/>
        </w:rPr>
        <w:t>Figure </w:t>
      </w:r>
      <w:r w:rsidR="00462C2B">
        <w:rPr>
          <w:color w:val="0070C0"/>
        </w:rPr>
        <w:t>17</w:t>
      </w:r>
      <w:r w:rsidRPr="005478B4">
        <w:rPr>
          <w:color w:val="0070C0"/>
        </w:rPr>
        <w:t> : Pneumopathie d’hypersensibilité chez un éleveur d’oiseaux. Verre dépoli en mosaïque chez un patient consultant pour toux sèche et dyspnée d’effort évoluant depuis 4 mois. Les deux coupes sont prises au même niveau, à droite en inspiration, à gauche en expiration (remarquez le piégeage expiratoire). La radiographie de thorax était sans particularité. Le LBA montre une lymphocytose à 77 %. L’interrogatoire apprend que le patient possède une volière avec 6 tourterelles. Le sérodiagnostic du poumon d’éleveur d’oiseaux montre 3 arcs de précipitation vis-à-vis de l’extrait fécal de tourterelle.</w:t>
      </w:r>
    </w:p>
    <w:p w14:paraId="7AF88322" w14:textId="77777777" w:rsidR="00B24E4B" w:rsidRDefault="00B24E4B" w:rsidP="00B24E4B">
      <w:pPr>
        <w:pBdr>
          <w:top w:val="nil"/>
          <w:left w:val="nil"/>
          <w:bottom w:val="nil"/>
          <w:right w:val="nil"/>
          <w:between w:val="nil"/>
        </w:pBdr>
        <w:spacing w:line="276" w:lineRule="auto"/>
        <w:jc w:val="center"/>
        <w:rPr>
          <w:b/>
          <w:bCs/>
          <w:color w:val="0070C0"/>
        </w:rPr>
      </w:pPr>
      <w:r>
        <w:rPr>
          <w:b/>
          <w:bCs/>
          <w:i/>
          <w:iCs/>
          <w:noProof/>
          <w:color w:val="0070C0"/>
        </w:rPr>
        <w:drawing>
          <wp:inline distT="0" distB="0" distL="0" distR="0" wp14:anchorId="2B1F54D8" wp14:editId="6C06B70F">
            <wp:extent cx="5804535" cy="2242185"/>
            <wp:effectExtent l="0" t="0" r="0" b="0"/>
            <wp:docPr id="23" name="image17.jpg" descr="G:\NICE ENSEIGNEMENT\COLLEGE NATIONAL DES PU-PH\ECN - REFERENTIEL\EDITION 2019\ITEM_206_PID\FIGURES\PHS.jpg"/>
            <wp:cNvGraphicFramePr/>
            <a:graphic xmlns:a="http://schemas.openxmlformats.org/drawingml/2006/main">
              <a:graphicData uri="http://schemas.openxmlformats.org/drawingml/2006/picture">
                <pic:pic xmlns:pic="http://schemas.openxmlformats.org/drawingml/2006/picture">
                  <pic:nvPicPr>
                    <pic:cNvPr id="0" name="image17.jpg" descr="G:\NICE ENSEIGNEMENT\COLLEGE NATIONAL DES PU-PH\ECN - REFERENTIEL\EDITION 2019\ITEM_206_PID\FIGURES\PHS.jpg"/>
                    <pic:cNvPicPr preferRelativeResize="0"/>
                  </pic:nvPicPr>
                  <pic:blipFill>
                    <a:blip r:embed="rId37"/>
                    <a:srcRect/>
                    <a:stretch>
                      <a:fillRect/>
                    </a:stretch>
                  </pic:blipFill>
                  <pic:spPr>
                    <a:xfrm>
                      <a:off x="0" y="0"/>
                      <a:ext cx="5804535" cy="2242185"/>
                    </a:xfrm>
                    <a:prstGeom prst="rect">
                      <a:avLst/>
                    </a:prstGeom>
                    <a:ln/>
                  </pic:spPr>
                </pic:pic>
              </a:graphicData>
            </a:graphic>
          </wp:inline>
        </w:drawing>
      </w:r>
    </w:p>
    <w:p w14:paraId="2ACBA3DE" w14:textId="77777777" w:rsidR="00B24E4B" w:rsidRDefault="00B24E4B" w:rsidP="00B24E4B">
      <w:pPr>
        <w:pBdr>
          <w:top w:val="nil"/>
          <w:left w:val="nil"/>
          <w:bottom w:val="nil"/>
          <w:right w:val="nil"/>
          <w:between w:val="nil"/>
        </w:pBdr>
        <w:spacing w:line="276" w:lineRule="auto"/>
        <w:rPr>
          <w:smallCaps/>
          <w:color w:val="0070C0"/>
        </w:rPr>
      </w:pPr>
    </w:p>
    <w:p w14:paraId="615A4081" w14:textId="188E3594" w:rsidR="00B24E4B" w:rsidRDefault="00B24E4B">
      <w:pPr>
        <w:pStyle w:val="titredesous-partie"/>
        <w:numPr>
          <w:ilvl w:val="3"/>
          <w:numId w:val="16"/>
        </w:numPr>
        <w:ind w:left="426" w:hanging="284"/>
      </w:pPr>
      <w:r>
        <w:rPr>
          <w:shd w:val="clear" w:color="auto" w:fill="auto"/>
        </w:rPr>
        <w:t>Pneumoconioses</w:t>
      </w:r>
    </w:p>
    <w:p w14:paraId="5E69924B" w14:textId="77777777" w:rsidR="00B24E4B" w:rsidRDefault="00B24E4B" w:rsidP="00B24E4B">
      <w:pPr>
        <w:spacing w:line="276" w:lineRule="auto"/>
        <w:rPr>
          <w:color w:val="0070C0"/>
        </w:rPr>
      </w:pPr>
      <w:r>
        <w:rPr>
          <w:color w:val="0070C0"/>
        </w:rPr>
        <w:t xml:space="preserve">Fibroses pulmonaires secondaires à l’inhalation de particules minérales. Il s’agit la plupart du temps de maladies professionnelles justifiant d’une reconnaissance par la Sécurité sociale. L’établissement du curriculum </w:t>
      </w:r>
      <w:proofErr w:type="spellStart"/>
      <w:r>
        <w:rPr>
          <w:color w:val="0070C0"/>
        </w:rPr>
        <w:t>laboris</w:t>
      </w:r>
      <w:proofErr w:type="spellEnd"/>
      <w:r>
        <w:rPr>
          <w:color w:val="0070C0"/>
        </w:rPr>
        <w:t xml:space="preserve"> est crucial pour le diagnostic. </w:t>
      </w:r>
    </w:p>
    <w:p w14:paraId="131E23A3" w14:textId="77777777" w:rsidR="00B24E4B" w:rsidRDefault="00B24E4B" w:rsidP="00B24E4B">
      <w:pPr>
        <w:pBdr>
          <w:top w:val="nil"/>
          <w:left w:val="nil"/>
          <w:bottom w:val="nil"/>
          <w:right w:val="nil"/>
          <w:between w:val="nil"/>
        </w:pBdr>
        <w:spacing w:line="276" w:lineRule="auto"/>
        <w:rPr>
          <w:color w:val="0070C0"/>
        </w:rPr>
      </w:pPr>
    </w:p>
    <w:p w14:paraId="0649D645" w14:textId="77777777" w:rsidR="00B24E4B" w:rsidRDefault="00B24E4B" w:rsidP="00B24E4B">
      <w:pPr>
        <w:pBdr>
          <w:top w:val="nil"/>
          <w:left w:val="nil"/>
          <w:bottom w:val="nil"/>
          <w:right w:val="nil"/>
          <w:between w:val="nil"/>
        </w:pBdr>
        <w:spacing w:line="276" w:lineRule="auto"/>
        <w:rPr>
          <w:b/>
          <w:bCs/>
          <w:i/>
          <w:iCs/>
          <w:color w:val="0070C0"/>
        </w:rPr>
      </w:pPr>
      <w:r>
        <w:rPr>
          <w:b/>
          <w:bCs/>
          <w:i/>
          <w:iCs/>
          <w:color w:val="0070C0"/>
        </w:rPr>
        <w:t>Asbestose</w:t>
      </w:r>
    </w:p>
    <w:p w14:paraId="59ADD56E" w14:textId="77777777" w:rsidR="00B24E4B" w:rsidRDefault="00B24E4B" w:rsidP="00B24E4B">
      <w:pPr>
        <w:rPr>
          <w:color w:val="0070C0"/>
        </w:rPr>
      </w:pPr>
      <w:r>
        <w:rPr>
          <w:color w:val="0070C0"/>
        </w:rPr>
        <w:t xml:space="preserve">- La plus fréquente des pneumoconioses en France, elle désigne la fibrose pulmonaire secondaire à l’inhalation de fibres d’amiante (cf. chapitre Maladies professionnelles). </w:t>
      </w:r>
    </w:p>
    <w:p w14:paraId="7A59C634" w14:textId="132AF29D" w:rsidR="00B24E4B" w:rsidRDefault="00B24E4B" w:rsidP="00B24E4B">
      <w:pPr>
        <w:jc w:val="left"/>
        <w:rPr>
          <w:rFonts w:ascii="Arial" w:eastAsia="Arial" w:hAnsi="Arial" w:cs="Arial"/>
          <w:color w:val="0070C0"/>
          <w:sz w:val="18"/>
          <w:szCs w:val="18"/>
        </w:rPr>
      </w:pPr>
    </w:p>
    <w:p w14:paraId="6115A144" w14:textId="1FFB4671" w:rsidR="00B24E4B" w:rsidRPr="005478B4" w:rsidRDefault="00B24E4B" w:rsidP="005478B4">
      <w:pPr>
        <w:pStyle w:val="lgende"/>
        <w:rPr>
          <w:color w:val="0070C0"/>
        </w:rPr>
      </w:pPr>
      <w:r w:rsidRPr="005478B4">
        <w:rPr>
          <w:color w:val="0070C0"/>
        </w:rPr>
        <w:t xml:space="preserve">Figure </w:t>
      </w:r>
      <w:r w:rsidR="00462C2B">
        <w:rPr>
          <w:color w:val="0070C0"/>
        </w:rPr>
        <w:t>18</w:t>
      </w:r>
      <w:r w:rsidRPr="005478B4">
        <w:rPr>
          <w:color w:val="0070C0"/>
        </w:rPr>
        <w:t xml:space="preserve"> : Stade précoce d’une probable asbestose chez un travailleur exposé à l’amiante : opacités linéaires non septales, aux bases, parallèles (haut, droite) ou perpendiculaires (haut, gauche) à la plèvre. Les anomalies </w:t>
      </w:r>
      <w:r w:rsidRPr="005478B4">
        <w:rPr>
          <w:color w:val="0070C0"/>
        </w:rPr>
        <w:lastRenderedPageBreak/>
        <w:t>pleurales associées : épaississements pleuraux calcifiés (flèche) et non calcifiés (double flèche) ne font pas partie de l’asbestose à proprement parler, mais confirment la probable exposition à l’amiante.</w:t>
      </w:r>
      <w:r w:rsidRPr="005478B4">
        <w:rPr>
          <w:noProof/>
          <w:color w:val="0070C0"/>
        </w:rPr>
        <w:drawing>
          <wp:anchor distT="0" distB="0" distL="114300" distR="114300" simplePos="0" relativeHeight="251937792" behindDoc="0" locked="0" layoutInCell="1" hidden="0" allowOverlap="1" wp14:anchorId="58A9BD6C" wp14:editId="02D4C58F">
            <wp:simplePos x="0" y="0"/>
            <wp:positionH relativeFrom="column">
              <wp:posOffset>1506855</wp:posOffset>
            </wp:positionH>
            <wp:positionV relativeFrom="paragraph">
              <wp:posOffset>2540</wp:posOffset>
            </wp:positionV>
            <wp:extent cx="4610735" cy="3745865"/>
            <wp:effectExtent l="0" t="0" r="0" b="0"/>
            <wp:wrapSquare wrapText="bothSides" distT="0" distB="0" distL="114300" distR="114300"/>
            <wp:docPr id="12" name="image10.jpg" descr="asbestose"/>
            <wp:cNvGraphicFramePr/>
            <a:graphic xmlns:a="http://schemas.openxmlformats.org/drawingml/2006/main">
              <a:graphicData uri="http://schemas.openxmlformats.org/drawingml/2006/picture">
                <pic:pic xmlns:pic="http://schemas.openxmlformats.org/drawingml/2006/picture">
                  <pic:nvPicPr>
                    <pic:cNvPr id="0" name="image10.jpg" descr="asbestose"/>
                    <pic:cNvPicPr preferRelativeResize="0"/>
                  </pic:nvPicPr>
                  <pic:blipFill>
                    <a:blip r:embed="rId38"/>
                    <a:srcRect/>
                    <a:stretch>
                      <a:fillRect/>
                    </a:stretch>
                  </pic:blipFill>
                  <pic:spPr>
                    <a:xfrm>
                      <a:off x="0" y="0"/>
                      <a:ext cx="4610735" cy="3745865"/>
                    </a:xfrm>
                    <a:prstGeom prst="rect">
                      <a:avLst/>
                    </a:prstGeom>
                    <a:ln/>
                  </pic:spPr>
                </pic:pic>
              </a:graphicData>
            </a:graphic>
          </wp:anchor>
        </w:drawing>
      </w:r>
    </w:p>
    <w:p w14:paraId="15D88898" w14:textId="77777777" w:rsidR="00B24E4B" w:rsidRDefault="00B24E4B" w:rsidP="00B24E4B">
      <w:pPr>
        <w:ind w:left="960" w:hanging="960"/>
        <w:jc w:val="center"/>
        <w:rPr>
          <w:color w:val="0070C0"/>
        </w:rPr>
      </w:pPr>
    </w:p>
    <w:p w14:paraId="2EFCEF5C" w14:textId="77777777" w:rsidR="00B24E4B" w:rsidRDefault="00B24E4B" w:rsidP="00B24E4B">
      <w:pPr>
        <w:spacing w:line="276" w:lineRule="auto"/>
        <w:rPr>
          <w:color w:val="0070C0"/>
        </w:rPr>
      </w:pPr>
    </w:p>
    <w:p w14:paraId="3877627B" w14:textId="77777777" w:rsidR="00B24E4B" w:rsidRDefault="00B24E4B" w:rsidP="00B24E4B">
      <w:pPr>
        <w:spacing w:line="276" w:lineRule="auto"/>
        <w:rPr>
          <w:color w:val="0070C0"/>
        </w:rPr>
      </w:pPr>
    </w:p>
    <w:p w14:paraId="5709DC27" w14:textId="77777777" w:rsidR="00B24E4B" w:rsidRDefault="00B24E4B" w:rsidP="00B24E4B">
      <w:pPr>
        <w:spacing w:line="276" w:lineRule="auto"/>
        <w:rPr>
          <w:color w:val="0070C0"/>
        </w:rPr>
      </w:pPr>
    </w:p>
    <w:p w14:paraId="304FAB58" w14:textId="77777777" w:rsidR="00B24E4B" w:rsidRDefault="00B24E4B" w:rsidP="00B24E4B">
      <w:pPr>
        <w:spacing w:line="276" w:lineRule="auto"/>
        <w:rPr>
          <w:color w:val="0070C0"/>
        </w:rPr>
      </w:pPr>
    </w:p>
    <w:p w14:paraId="7B6D2D60" w14:textId="77777777" w:rsidR="00B24E4B" w:rsidRDefault="00B24E4B" w:rsidP="00B24E4B">
      <w:pPr>
        <w:spacing w:line="276" w:lineRule="auto"/>
        <w:rPr>
          <w:color w:val="0070C0"/>
        </w:rPr>
      </w:pPr>
    </w:p>
    <w:p w14:paraId="2672B6FC" w14:textId="77777777" w:rsidR="00B24E4B" w:rsidRDefault="00B24E4B" w:rsidP="00B24E4B">
      <w:pPr>
        <w:spacing w:line="276" w:lineRule="auto"/>
        <w:rPr>
          <w:color w:val="0070C0"/>
        </w:rPr>
      </w:pPr>
    </w:p>
    <w:p w14:paraId="19E2A5CF" w14:textId="77777777" w:rsidR="00B24E4B" w:rsidRDefault="00B24E4B" w:rsidP="00B24E4B">
      <w:pPr>
        <w:spacing w:line="276" w:lineRule="auto"/>
        <w:rPr>
          <w:color w:val="0070C0"/>
        </w:rPr>
      </w:pPr>
      <w:r>
        <w:rPr>
          <w:color w:val="0070C0"/>
        </w:rPr>
        <w:t xml:space="preserve">- Sa présentation clinique est aspécifique (dyspnée d’effort), voire totalement silencieuse. Le diagnostic est alors évoqué devant une imagerie de thorax réalisée pour une autre raison ou dans le cadre de la surveillance systématique d’un sujet exposé à l’amiante. </w:t>
      </w:r>
    </w:p>
    <w:p w14:paraId="26FFBBE2" w14:textId="77777777" w:rsidR="00B24E4B" w:rsidRDefault="00B24E4B" w:rsidP="00B24E4B">
      <w:pPr>
        <w:spacing w:line="276" w:lineRule="auto"/>
        <w:rPr>
          <w:color w:val="0070C0"/>
        </w:rPr>
      </w:pPr>
      <w:r>
        <w:rPr>
          <w:color w:val="0070C0"/>
        </w:rPr>
        <w:t>- Le scanner thoracique est caractérisé par un profil proche de celui de la FPI. En fenêtre médiastinale, la présence de plaques pleurales plus ou moins calcifiées est inconstante (figure 21)</w:t>
      </w:r>
      <w:r>
        <w:rPr>
          <w:rFonts w:ascii="Arial" w:eastAsia="Arial" w:hAnsi="Arial" w:cs="Arial"/>
          <w:color w:val="0070C0"/>
        </w:rPr>
        <w:t> </w:t>
      </w:r>
      <w:r>
        <w:rPr>
          <w:color w:val="0070C0"/>
        </w:rPr>
        <w:t>; présentes elles confirment l’exposition.</w:t>
      </w:r>
    </w:p>
    <w:p w14:paraId="3BD7A418" w14:textId="77777777" w:rsidR="00B24E4B" w:rsidRDefault="00B24E4B" w:rsidP="00B24E4B">
      <w:pPr>
        <w:spacing w:line="276" w:lineRule="auto"/>
        <w:rPr>
          <w:color w:val="0070C0"/>
        </w:rPr>
      </w:pPr>
      <w:r>
        <w:rPr>
          <w:color w:val="0070C0"/>
        </w:rPr>
        <w:t xml:space="preserve">- La présence de particules d’amiante dans le LBA ou le tissu pulmonaire (biopsie), sous forme de corps ferrugineux ou de corps </w:t>
      </w:r>
      <w:proofErr w:type="spellStart"/>
      <w:r>
        <w:rPr>
          <w:color w:val="0070C0"/>
        </w:rPr>
        <w:t>asbestosiques</w:t>
      </w:r>
      <w:proofErr w:type="spellEnd"/>
      <w:r>
        <w:rPr>
          <w:color w:val="0070C0"/>
        </w:rPr>
        <w:t>, permet d’affirmer l’exposition, mais pas la maladie</w:t>
      </w:r>
      <w:r>
        <w:rPr>
          <w:rFonts w:ascii="Arial" w:eastAsia="Arial" w:hAnsi="Arial" w:cs="Arial"/>
          <w:color w:val="0070C0"/>
        </w:rPr>
        <w:t> </w:t>
      </w:r>
      <w:r>
        <w:rPr>
          <w:color w:val="0070C0"/>
        </w:rPr>
        <w:t xml:space="preserve">; elle n’est pas indispensable au diagnostic. Le diagnostic repose sur un contexte clinique, scanographique et environnemental évocateur. La fibrose tend à s’aggraver progressivement et à évoluer vers l’insuffisance respiratoire chronique. </w:t>
      </w:r>
    </w:p>
    <w:p w14:paraId="5ABF0223" w14:textId="77777777" w:rsidR="00B24E4B" w:rsidRDefault="00B24E4B" w:rsidP="00B24E4B">
      <w:pPr>
        <w:ind w:left="1200" w:hanging="1200"/>
        <w:rPr>
          <w:color w:val="0070C0"/>
        </w:rPr>
      </w:pPr>
    </w:p>
    <w:p w14:paraId="6CC1D540" w14:textId="77777777" w:rsidR="00B24E4B" w:rsidRDefault="00B24E4B" w:rsidP="00B24E4B">
      <w:pPr>
        <w:pBdr>
          <w:top w:val="nil"/>
          <w:left w:val="nil"/>
          <w:bottom w:val="nil"/>
          <w:right w:val="nil"/>
          <w:between w:val="nil"/>
        </w:pBdr>
        <w:spacing w:line="360" w:lineRule="auto"/>
        <w:rPr>
          <w:b/>
          <w:bCs/>
          <w:i/>
          <w:iCs/>
          <w:color w:val="0070C0"/>
        </w:rPr>
      </w:pPr>
      <w:r>
        <w:rPr>
          <w:b/>
          <w:bCs/>
          <w:i/>
          <w:iCs/>
          <w:color w:val="0070C0"/>
        </w:rPr>
        <w:t>Silicose</w:t>
      </w:r>
    </w:p>
    <w:p w14:paraId="631EDE9A" w14:textId="77777777" w:rsidR="00B24E4B" w:rsidRDefault="00B24E4B" w:rsidP="00B24E4B">
      <w:pPr>
        <w:spacing w:line="276" w:lineRule="auto"/>
        <w:rPr>
          <w:color w:val="0070C0"/>
        </w:rPr>
      </w:pPr>
      <w:r>
        <w:rPr>
          <w:color w:val="0070C0"/>
        </w:rPr>
        <w:t>- La silicose est une pneumoconiose secondaire à l’inhalation de silice libre cristalline. Les sujets les plus exposés sont les mineurs de charbon, les tailleurs de pierre ou d’ardoise, les employés au décapage au jet de sable, les ouvriers des fonderies et du bâtiment. La silicose est devenue rare en France avec la fermeture des mines, mais reste fréquente dans les pays où cette activité demeure importante. En France, les cas actuels sont retrouvés chez les prothésistes dentaires qui ont travaillé en milieu non protégé avec une exposition souvent complexe. La phase de latence peut être très longue. Plus récemment, des cas ont été observés chez des travailleurs du textile (jeans délavés) et des ouvriers découpant des plans de travail en matériau composite.</w:t>
      </w:r>
    </w:p>
    <w:p w14:paraId="64E88E31" w14:textId="77777777" w:rsidR="005478B4" w:rsidRPr="005478B4" w:rsidRDefault="00B24E4B" w:rsidP="00B24E4B">
      <w:pPr>
        <w:pBdr>
          <w:top w:val="nil"/>
          <w:left w:val="nil"/>
          <w:bottom w:val="nil"/>
          <w:right w:val="nil"/>
          <w:between w:val="nil"/>
        </w:pBdr>
        <w:spacing w:line="276" w:lineRule="auto"/>
        <w:rPr>
          <w:color w:val="0070C0"/>
        </w:rPr>
      </w:pPr>
      <w:r w:rsidRPr="005478B4">
        <w:rPr>
          <w:color w:val="0070C0"/>
        </w:rPr>
        <w:t xml:space="preserve">- L’imagerie thoracique montre des opacités micronodulaires diffuses prédominant dans les lobes supérieurs, pouvant confluer jusqu’à donner des masses pseudo-tumorales caractéristiques (Figure </w:t>
      </w:r>
      <w:r w:rsidRPr="005478B4">
        <w:rPr>
          <w:color w:val="0070C0"/>
        </w:rPr>
        <w:lastRenderedPageBreak/>
        <w:t>22). Des adénopathies médiastinales contenant des calcifications «</w:t>
      </w:r>
      <w:r w:rsidRPr="005478B4">
        <w:rPr>
          <w:rFonts w:ascii="Arial" w:hAnsi="Arial" w:cs="Arial"/>
          <w:color w:val="0070C0"/>
        </w:rPr>
        <w:t> </w:t>
      </w:r>
      <w:r w:rsidRPr="005478B4">
        <w:rPr>
          <w:color w:val="0070C0"/>
        </w:rPr>
        <w:t>en coquille d’œuf</w:t>
      </w:r>
      <w:r w:rsidRPr="005478B4">
        <w:rPr>
          <w:rFonts w:ascii="Arial" w:hAnsi="Arial" w:cs="Arial"/>
          <w:color w:val="0070C0"/>
        </w:rPr>
        <w:t> </w:t>
      </w:r>
      <w:r w:rsidRPr="005478B4">
        <w:rPr>
          <w:color w:val="0070C0"/>
        </w:rPr>
        <w:t>» sont souvent associées.</w:t>
      </w:r>
    </w:p>
    <w:p w14:paraId="5860C704" w14:textId="77777777" w:rsidR="005478B4" w:rsidRDefault="005478B4" w:rsidP="00B24E4B">
      <w:pPr>
        <w:pBdr>
          <w:top w:val="nil"/>
          <w:left w:val="nil"/>
          <w:bottom w:val="nil"/>
          <w:right w:val="nil"/>
          <w:between w:val="nil"/>
        </w:pBdr>
        <w:spacing w:line="276" w:lineRule="auto"/>
        <w:rPr>
          <w:rFonts w:ascii="Arial" w:eastAsia="Arial" w:hAnsi="Arial" w:cs="Arial"/>
          <w:color w:val="0070C0"/>
          <w:sz w:val="18"/>
          <w:szCs w:val="18"/>
        </w:rPr>
      </w:pPr>
    </w:p>
    <w:p w14:paraId="324E9895" w14:textId="0B16DCE5" w:rsidR="00B24E4B" w:rsidRPr="005478B4" w:rsidRDefault="00B24E4B" w:rsidP="005478B4">
      <w:pPr>
        <w:pStyle w:val="lgende"/>
        <w:rPr>
          <w:color w:val="0070C0"/>
        </w:rPr>
      </w:pPr>
      <w:r w:rsidRPr="005478B4">
        <w:rPr>
          <w:color w:val="0070C0"/>
        </w:rPr>
        <w:t xml:space="preserve">Figure </w:t>
      </w:r>
      <w:r w:rsidR="00462C2B">
        <w:rPr>
          <w:color w:val="0070C0"/>
        </w:rPr>
        <w:t>19</w:t>
      </w:r>
      <w:r w:rsidRPr="005478B4">
        <w:rPr>
          <w:color w:val="0070C0"/>
        </w:rPr>
        <w:t> : Nodules, masses (radiographie et scanner) et calcifications ganglionnaires médiastinales et hilaires (radiographie) dans le cadre d’une silicose chez prothésiste dentaire.</w:t>
      </w:r>
    </w:p>
    <w:p w14:paraId="0C404F6B" w14:textId="77777777" w:rsidR="00B24E4B" w:rsidRDefault="00B24E4B" w:rsidP="00B24E4B">
      <w:pPr>
        <w:ind w:left="960" w:hanging="960"/>
        <w:jc w:val="center"/>
        <w:rPr>
          <w:color w:val="0070C0"/>
        </w:rPr>
      </w:pPr>
      <w:r>
        <w:rPr>
          <w:i/>
          <w:iCs/>
          <w:noProof/>
          <w:color w:val="0070C0"/>
        </w:rPr>
        <w:drawing>
          <wp:inline distT="0" distB="0" distL="0" distR="0" wp14:anchorId="37ABB2F3" wp14:editId="5A6803F8">
            <wp:extent cx="5773835" cy="2815628"/>
            <wp:effectExtent l="0" t="0" r="0" b="3810"/>
            <wp:docPr id="6" name="image6.jpg" descr="G:\NICE ENSEIGNEMENT\COLLEGE NATIONAL DES PU-PH\ECN - REFERENTIEL\EDITION 2019\ITEM_206_PID\FIGURES\FIGURES RETENUES\figure 17.JPG"/>
            <wp:cNvGraphicFramePr/>
            <a:graphic xmlns:a="http://schemas.openxmlformats.org/drawingml/2006/main">
              <a:graphicData uri="http://schemas.openxmlformats.org/drawingml/2006/picture">
                <pic:pic xmlns:pic="http://schemas.openxmlformats.org/drawingml/2006/picture">
                  <pic:nvPicPr>
                    <pic:cNvPr id="0" name="image6.jpg" descr="G:\NICE ENSEIGNEMENT\COLLEGE NATIONAL DES PU-PH\ECN - REFERENTIEL\EDITION 2019\ITEM_206_PID\FIGURES\FIGURES RETENUES\figure 17.JPG"/>
                    <pic:cNvPicPr preferRelativeResize="0"/>
                  </pic:nvPicPr>
                  <pic:blipFill>
                    <a:blip r:embed="rId39"/>
                    <a:srcRect/>
                    <a:stretch>
                      <a:fillRect/>
                    </a:stretch>
                  </pic:blipFill>
                  <pic:spPr>
                    <a:xfrm>
                      <a:off x="0" y="0"/>
                      <a:ext cx="5784064" cy="2820616"/>
                    </a:xfrm>
                    <a:prstGeom prst="rect">
                      <a:avLst/>
                    </a:prstGeom>
                    <a:ln/>
                  </pic:spPr>
                </pic:pic>
              </a:graphicData>
            </a:graphic>
          </wp:inline>
        </w:drawing>
      </w:r>
    </w:p>
    <w:p w14:paraId="1A3373B2" w14:textId="77777777" w:rsidR="00B24E4B" w:rsidRDefault="00B24E4B" w:rsidP="00B24E4B">
      <w:pPr>
        <w:pBdr>
          <w:top w:val="nil"/>
          <w:left w:val="nil"/>
          <w:bottom w:val="nil"/>
          <w:right w:val="nil"/>
          <w:between w:val="nil"/>
        </w:pBdr>
        <w:spacing w:line="276" w:lineRule="auto"/>
        <w:rPr>
          <w:i/>
          <w:iCs/>
        </w:rPr>
      </w:pPr>
    </w:p>
    <w:p w14:paraId="42EA3381" w14:textId="2C584819" w:rsidR="00B24E4B" w:rsidRDefault="00B24E4B">
      <w:pPr>
        <w:pStyle w:val="titredesous-partie"/>
        <w:numPr>
          <w:ilvl w:val="3"/>
          <w:numId w:val="16"/>
        </w:numPr>
        <w:ind w:left="426" w:hanging="284"/>
      </w:pPr>
      <w:r>
        <w:rPr>
          <w:shd w:val="clear" w:color="auto" w:fill="auto"/>
        </w:rPr>
        <w:t>Proliférations Tumorales</w:t>
      </w:r>
    </w:p>
    <w:p w14:paraId="2DC6AC6A" w14:textId="77777777" w:rsidR="00B24E4B" w:rsidRDefault="00B24E4B" w:rsidP="00B24E4B">
      <w:pPr>
        <w:spacing w:line="276" w:lineRule="auto"/>
        <w:rPr>
          <w:b/>
          <w:bCs/>
          <w:i/>
          <w:iCs/>
          <w:color w:val="0070C0"/>
        </w:rPr>
      </w:pPr>
      <w:r>
        <w:rPr>
          <w:b/>
          <w:bCs/>
          <w:i/>
          <w:iCs/>
          <w:color w:val="0070C0"/>
        </w:rPr>
        <w:t>Lymphangite carcinomateuse</w:t>
      </w:r>
    </w:p>
    <w:p w14:paraId="39D11C19" w14:textId="77777777" w:rsidR="00B24E4B" w:rsidRDefault="00B24E4B" w:rsidP="00B24E4B">
      <w:pPr>
        <w:spacing w:line="276" w:lineRule="auto"/>
        <w:rPr>
          <w:color w:val="0070C0"/>
        </w:rPr>
      </w:pPr>
      <w:r>
        <w:rPr>
          <w:color w:val="0070C0"/>
        </w:rPr>
        <w:t>Elle</w:t>
      </w:r>
      <w:r>
        <w:rPr>
          <w:b/>
          <w:bCs/>
          <w:color w:val="0070C0"/>
        </w:rPr>
        <w:t xml:space="preserve"> </w:t>
      </w:r>
      <w:r>
        <w:rPr>
          <w:color w:val="0070C0"/>
        </w:rPr>
        <w:t>se traduit par une toux sèche rebelle et une polypnée, d’apparition rapidement progressive. Les cancers primitifs les plus fréquemment en cause sont les cancers bronchique, mammaire, digestif et plus rarement pancréatique ou prostatique.</w:t>
      </w:r>
    </w:p>
    <w:p w14:paraId="262FD0C3" w14:textId="77777777" w:rsidR="00B24E4B" w:rsidRDefault="00B24E4B" w:rsidP="00B24E4B">
      <w:pPr>
        <w:spacing w:line="276" w:lineRule="auto"/>
        <w:rPr>
          <w:color w:val="0070C0"/>
        </w:rPr>
      </w:pPr>
      <w:r>
        <w:rPr>
          <w:color w:val="0070C0"/>
        </w:rPr>
        <w:t>Le diagnostic est évoqué sur une altération de l’état général et les ATCD de tumeur connue</w:t>
      </w:r>
      <w:r>
        <w:rPr>
          <w:rFonts w:ascii="Arial" w:eastAsia="Arial" w:hAnsi="Arial" w:cs="Arial"/>
          <w:color w:val="0070C0"/>
        </w:rPr>
        <w:t> </w:t>
      </w:r>
      <w:r>
        <w:rPr>
          <w:color w:val="0070C0"/>
        </w:rPr>
        <w:t xml:space="preserve">; la radiographie de thorax peut montrer des opacités linéaires aux bases et le scanner montre typiquement un épaississement irrégulier et nodulaire des septa interlobulaires dessinant un réseau à grandes mailles polyédriques (figure 8) parfois associées à des nodules et micronodules. Les biopsies d’éperons de division bronchiques, voire les biopsies </w:t>
      </w:r>
      <w:proofErr w:type="spellStart"/>
      <w:r>
        <w:rPr>
          <w:color w:val="0070C0"/>
        </w:rPr>
        <w:t>transbronchiques</w:t>
      </w:r>
      <w:proofErr w:type="spellEnd"/>
      <w:r>
        <w:rPr>
          <w:color w:val="0070C0"/>
        </w:rPr>
        <w:t>, confirment le plus souvent le diagnostic.</w:t>
      </w:r>
    </w:p>
    <w:p w14:paraId="13688EFA" w14:textId="77777777" w:rsidR="00B24E4B" w:rsidRDefault="00B24E4B" w:rsidP="00B24E4B">
      <w:pPr>
        <w:spacing w:line="276" w:lineRule="auto"/>
        <w:rPr>
          <w:color w:val="0070C0"/>
        </w:rPr>
      </w:pPr>
    </w:p>
    <w:p w14:paraId="2D41C0E6" w14:textId="77777777" w:rsidR="00B24E4B" w:rsidRDefault="00B24E4B" w:rsidP="00B24E4B">
      <w:pPr>
        <w:spacing w:line="276" w:lineRule="auto"/>
        <w:rPr>
          <w:i/>
          <w:iCs/>
          <w:color w:val="0070C0"/>
        </w:rPr>
      </w:pPr>
      <w:r>
        <w:rPr>
          <w:b/>
          <w:bCs/>
          <w:i/>
          <w:iCs/>
          <w:color w:val="0070C0"/>
        </w:rPr>
        <w:t xml:space="preserve">Adénocarcinome </w:t>
      </w:r>
      <w:proofErr w:type="spellStart"/>
      <w:r>
        <w:rPr>
          <w:b/>
          <w:bCs/>
          <w:i/>
          <w:iCs/>
          <w:color w:val="0070C0"/>
        </w:rPr>
        <w:t>lépidique</w:t>
      </w:r>
      <w:proofErr w:type="spellEnd"/>
    </w:p>
    <w:p w14:paraId="4E91F43F" w14:textId="77777777" w:rsidR="00B24E4B" w:rsidRDefault="00B24E4B" w:rsidP="00B24E4B">
      <w:pPr>
        <w:spacing w:line="276" w:lineRule="auto"/>
        <w:rPr>
          <w:color w:val="0070C0"/>
        </w:rPr>
      </w:pPr>
      <w:r>
        <w:rPr>
          <w:color w:val="0070C0"/>
        </w:rPr>
        <w:t>Il peut se révéler cliniquement par une dyspnée non fébrile, d’apparition progressive associée à une expectoration abondante et claire, mais il est souvent suspecté sur la découverte en imagerie de plages en verre dépoli associées ou non à des plages de condensation. Les biopsies pulmonaires (</w:t>
      </w:r>
      <w:proofErr w:type="spellStart"/>
      <w:r>
        <w:rPr>
          <w:color w:val="0070C0"/>
        </w:rPr>
        <w:t>transbronchiques</w:t>
      </w:r>
      <w:proofErr w:type="spellEnd"/>
      <w:r>
        <w:rPr>
          <w:color w:val="0070C0"/>
        </w:rPr>
        <w:t xml:space="preserve"> ou transthoraciques) voire la cytologie de l’expectoration confirment le diagnostic.</w:t>
      </w:r>
    </w:p>
    <w:p w14:paraId="5053F3AC" w14:textId="77777777" w:rsidR="00B24E4B" w:rsidRDefault="00B24E4B" w:rsidP="00B24E4B">
      <w:pPr>
        <w:spacing w:line="276" w:lineRule="auto"/>
        <w:rPr>
          <w:i/>
          <w:iCs/>
        </w:rPr>
      </w:pPr>
    </w:p>
    <w:p w14:paraId="3FB7DEB5" w14:textId="780E6A68" w:rsidR="00B24E4B" w:rsidRDefault="00B24E4B">
      <w:pPr>
        <w:pStyle w:val="titredesous-partie"/>
        <w:numPr>
          <w:ilvl w:val="3"/>
          <w:numId w:val="16"/>
        </w:numPr>
        <w:ind w:left="426" w:hanging="284"/>
      </w:pPr>
      <w:r>
        <w:rPr>
          <w:shd w:val="clear" w:color="auto" w:fill="auto"/>
        </w:rPr>
        <w:t>Sarcoïdose - voir l’item 211</w:t>
      </w:r>
    </w:p>
    <w:p w14:paraId="0BE79BB3" w14:textId="77777777" w:rsidR="00B24E4B" w:rsidRDefault="00B24E4B" w:rsidP="00B24E4B"/>
    <w:p w14:paraId="4F4CE29D" w14:textId="515FDFF9" w:rsidR="00B24E4B" w:rsidRDefault="00B24E4B">
      <w:pPr>
        <w:pStyle w:val="titredesous-partie"/>
        <w:numPr>
          <w:ilvl w:val="3"/>
          <w:numId w:val="16"/>
        </w:numPr>
        <w:ind w:left="426" w:hanging="284"/>
      </w:pPr>
      <w:r>
        <w:rPr>
          <w:shd w:val="clear" w:color="auto" w:fill="auto"/>
        </w:rPr>
        <w:t>Fibroses pulmonaires progressives (FPP)</w:t>
      </w:r>
    </w:p>
    <w:p w14:paraId="539E90E7" w14:textId="77777777" w:rsidR="00B24E4B" w:rsidRDefault="00B24E4B" w:rsidP="00B24E4B">
      <w:pPr>
        <w:spacing w:line="276" w:lineRule="auto"/>
        <w:rPr>
          <w:color w:val="0070C0"/>
        </w:rPr>
      </w:pPr>
      <w:r>
        <w:rPr>
          <w:color w:val="0070C0"/>
        </w:rPr>
        <w:lastRenderedPageBreak/>
        <w:t>Comme c’est le cas dans la FPI, la fibrose pulmonaire, quelle que soit l'étiologie, peut s’aggraver progressivement, malgré un traitement optimal de la maladie causale, et les patients peuvent alors bénéficier des traitements anti-fibrosants. Les critères diagnostiques correspondent à une évolution défavorable sur les composantes cliniques, fonctionnelles et radiologiques malgré une prise en charge habituelle adaptée à chacune des étiologies de PID avec fibrose pulmonaire.</w:t>
      </w:r>
    </w:p>
    <w:p w14:paraId="0529CF07" w14:textId="77777777" w:rsidR="00B24E4B" w:rsidRDefault="00B24E4B" w:rsidP="00B24E4B">
      <w:pPr>
        <w:spacing w:line="276" w:lineRule="auto"/>
        <w:rPr>
          <w:color w:val="0070C0"/>
        </w:rPr>
      </w:pPr>
      <w:r>
        <w:rPr>
          <w:color w:val="0070C0"/>
        </w:rPr>
        <w:t>L’archétype de FPP est la FPI, mais toute PID fibrosante peut avoir cette évolution avec autonomisation de la fibrose pulmonaire.</w:t>
      </w:r>
    </w:p>
    <w:p w14:paraId="2FF8029B" w14:textId="77777777" w:rsidR="00B24E4B" w:rsidRDefault="00B24E4B" w:rsidP="00B24E4B">
      <w:pPr>
        <w:spacing w:line="276" w:lineRule="auto"/>
        <w:rPr>
          <w:color w:val="0070C0"/>
        </w:rPr>
      </w:pPr>
    </w:p>
    <w:p w14:paraId="5888BD96" w14:textId="5F0C342A" w:rsidR="00B24E4B" w:rsidRPr="00FF4F06" w:rsidRDefault="00B24E4B" w:rsidP="00FF4F06">
      <w:pPr>
        <w:pStyle w:val="lgende"/>
        <w:rPr>
          <w:color w:val="0070C0"/>
        </w:rPr>
      </w:pPr>
      <w:r w:rsidRPr="00FF4F06">
        <w:rPr>
          <w:color w:val="0070C0"/>
        </w:rPr>
        <w:t xml:space="preserve">Figure </w:t>
      </w:r>
      <w:r w:rsidR="00462C2B">
        <w:rPr>
          <w:color w:val="0070C0"/>
        </w:rPr>
        <w:t>20</w:t>
      </w:r>
      <w:r w:rsidRPr="00FF4F06">
        <w:rPr>
          <w:color w:val="0070C0"/>
        </w:rPr>
        <w:t> : Exemple de fibrose pulmonaire progressive avec aggravation de la fibrose pulmonaire sur scanners thoraciques successifs sur 1 an dans le cadre du suivi d’une PHS aviaire.</w:t>
      </w:r>
    </w:p>
    <w:p w14:paraId="10DE1610" w14:textId="77777777" w:rsidR="00B24E4B" w:rsidRDefault="00B24E4B" w:rsidP="00B24E4B">
      <w:pPr>
        <w:spacing w:line="276" w:lineRule="auto"/>
        <w:rPr>
          <w:i/>
          <w:iCs/>
        </w:rPr>
      </w:pPr>
      <w:r>
        <w:rPr>
          <w:i/>
          <w:iCs/>
          <w:noProof/>
        </w:rPr>
        <w:drawing>
          <wp:inline distT="0" distB="0" distL="0" distR="0" wp14:anchorId="129E19B2" wp14:editId="53334EFF">
            <wp:extent cx="5739897" cy="2728803"/>
            <wp:effectExtent l="0" t="0" r="0" b="0"/>
            <wp:docPr id="7"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0"/>
                    <a:srcRect/>
                    <a:stretch>
                      <a:fillRect/>
                    </a:stretch>
                  </pic:blipFill>
                  <pic:spPr>
                    <a:xfrm>
                      <a:off x="0" y="0"/>
                      <a:ext cx="5747708" cy="2732516"/>
                    </a:xfrm>
                    <a:prstGeom prst="rect">
                      <a:avLst/>
                    </a:prstGeom>
                    <a:ln/>
                  </pic:spPr>
                </pic:pic>
              </a:graphicData>
            </a:graphic>
          </wp:inline>
        </w:drawing>
      </w:r>
    </w:p>
    <w:p w14:paraId="33010CE0" w14:textId="77777777" w:rsidR="00B24E4B" w:rsidRDefault="00B24E4B" w:rsidP="00B24E4B">
      <w:pPr>
        <w:jc w:val="left"/>
        <w:rPr>
          <w:b/>
          <w:bCs/>
          <w:color w:val="0070C0"/>
        </w:rPr>
      </w:pPr>
    </w:p>
    <w:p w14:paraId="4A57B588" w14:textId="77777777" w:rsidR="00B24E4B" w:rsidRDefault="00B24E4B" w:rsidP="00B24E4B">
      <w:pPr>
        <w:jc w:val="left"/>
        <w:rPr>
          <w:b/>
          <w:bCs/>
          <w:color w:val="0070C0"/>
        </w:rPr>
      </w:pPr>
    </w:p>
    <w:p w14:paraId="21DBF92D" w14:textId="77777777" w:rsidR="00B24E4B" w:rsidRDefault="00B24E4B" w:rsidP="00B24E4B">
      <w:pPr>
        <w:jc w:val="left"/>
        <w:rPr>
          <w:b/>
          <w:bCs/>
          <w:color w:val="0070C0"/>
          <w:sz w:val="24"/>
          <w:szCs w:val="24"/>
        </w:rPr>
      </w:pPr>
      <w:r>
        <w:br w:type="page"/>
      </w:r>
    </w:p>
    <w:p w14:paraId="0EF2F3DD" w14:textId="77777777" w:rsidR="00B24E4B" w:rsidRDefault="00B24E4B" w:rsidP="00B24E4B">
      <w:pPr>
        <w:rPr>
          <w:b/>
          <w:bCs/>
          <w:color w:val="0070C0"/>
          <w:sz w:val="24"/>
          <w:szCs w:val="24"/>
        </w:rPr>
      </w:pPr>
      <w:r>
        <w:rPr>
          <w:b/>
          <w:bCs/>
          <w:color w:val="0070C0"/>
          <w:sz w:val="24"/>
          <w:szCs w:val="24"/>
        </w:rPr>
        <w:lastRenderedPageBreak/>
        <w:t>QUESTIONS TOMBABLES</w:t>
      </w:r>
    </w:p>
    <w:p w14:paraId="198227D3" w14:textId="77777777" w:rsidR="00B24E4B" w:rsidRDefault="00B24E4B" w:rsidP="00B24E4B">
      <w:pPr>
        <w:jc w:val="center"/>
        <w:rPr>
          <w:b/>
          <w:bCs/>
          <w:color w:val="3366FF"/>
        </w:rPr>
      </w:pPr>
    </w:p>
    <w:p w14:paraId="313E8885" w14:textId="77777777" w:rsidR="00B24E4B" w:rsidRDefault="00B24E4B" w:rsidP="00B24E4B">
      <w:pPr>
        <w:pBdr>
          <w:top w:val="nil"/>
          <w:left w:val="nil"/>
          <w:bottom w:val="nil"/>
          <w:right w:val="nil"/>
          <w:between w:val="nil"/>
        </w:pBdr>
        <w:spacing w:before="80" w:line="240" w:lineRule="auto"/>
        <w:ind w:left="360" w:hanging="360"/>
        <w:jc w:val="left"/>
        <w:rPr>
          <w:b/>
          <w:bCs/>
          <w:color w:val="0070C0"/>
        </w:rPr>
      </w:pPr>
      <w:r>
        <w:rPr>
          <w:b/>
          <w:bCs/>
          <w:color w:val="0070C0"/>
        </w:rPr>
        <w:t>DCP</w:t>
      </w:r>
    </w:p>
    <w:p w14:paraId="47081901" w14:textId="77777777" w:rsidR="00B24E4B" w:rsidRDefault="00B24E4B" w:rsidP="00B24E4B">
      <w:pPr>
        <w:pBdr>
          <w:top w:val="nil"/>
          <w:left w:val="nil"/>
          <w:bottom w:val="nil"/>
          <w:right w:val="nil"/>
          <w:between w:val="nil"/>
        </w:pBdr>
        <w:spacing w:before="80" w:line="240" w:lineRule="auto"/>
        <w:ind w:left="360" w:hanging="360"/>
        <w:jc w:val="left"/>
        <w:rPr>
          <w:b/>
          <w:bCs/>
          <w:color w:val="0070C0"/>
        </w:rPr>
      </w:pPr>
    </w:p>
    <w:p w14:paraId="1CB4082B" w14:textId="77777777" w:rsidR="00B24E4B" w:rsidRDefault="00B24E4B">
      <w:pPr>
        <w:numPr>
          <w:ilvl w:val="0"/>
          <w:numId w:val="6"/>
        </w:numPr>
        <w:pBdr>
          <w:top w:val="nil"/>
          <w:left w:val="nil"/>
          <w:bottom w:val="nil"/>
          <w:right w:val="nil"/>
          <w:between w:val="nil"/>
        </w:pBdr>
        <w:spacing w:line="240" w:lineRule="auto"/>
        <w:jc w:val="left"/>
      </w:pPr>
      <w:r>
        <w:rPr>
          <w:b/>
          <w:bCs/>
        </w:rPr>
        <w:t>QRU</w:t>
      </w:r>
    </w:p>
    <w:p w14:paraId="41AA1411" w14:textId="77777777" w:rsidR="00B24E4B" w:rsidRDefault="00B24E4B" w:rsidP="00B24E4B">
      <w:bookmarkStart w:id="2" w:name="_heading=h.vxakmf9zydnh" w:colFirst="0" w:colLast="0"/>
      <w:bookmarkEnd w:id="2"/>
      <w:r>
        <w:t xml:space="preserve">Patient de 76 ans, avec des antécédents d’hypertension artérielle traitée par </w:t>
      </w:r>
      <w:proofErr w:type="spellStart"/>
      <w:r>
        <w:t>lisinopril</w:t>
      </w:r>
      <w:proofErr w:type="spellEnd"/>
      <w:r>
        <w:t xml:space="preserve">, dyslipidémie traitée par simvastatine, tabagisme sevré depuis 10 ans, 20 PA, ancien instituteur, marié, 2 enfants en bonne santé, pas d’exposition ni autre intoxication, consulte pour dyspnée qui s’aggrave depuis plus d’un an. Il ne rapporte aucun autre symptôme thoracique ou </w:t>
      </w:r>
      <w:proofErr w:type="spellStart"/>
      <w:r>
        <w:t>extrathoracique</w:t>
      </w:r>
      <w:proofErr w:type="spellEnd"/>
      <w:r>
        <w:t>. L’examen clinique retrouve un hippocratisme digital. Un scanner thoracique a été demandé par le médecin traitant et 2 coupes représentatives figurent ci-dessous.</w:t>
      </w:r>
    </w:p>
    <w:p w14:paraId="34D09DBA" w14:textId="77777777" w:rsidR="00B24E4B" w:rsidRDefault="00B24E4B" w:rsidP="00B24E4B"/>
    <w:p w14:paraId="423FC256" w14:textId="77777777" w:rsidR="00B24E4B" w:rsidRDefault="00B24E4B" w:rsidP="00B24E4B">
      <w:pPr>
        <w:jc w:val="center"/>
      </w:pPr>
      <w:r>
        <w:rPr>
          <w:noProof/>
        </w:rPr>
        <w:drawing>
          <wp:inline distT="0" distB="0" distL="0" distR="0" wp14:anchorId="5141B4B4" wp14:editId="60BE3282">
            <wp:extent cx="3254132" cy="2472475"/>
            <wp:effectExtent l="0" t="0" r="0" b="0"/>
            <wp:docPr id="8" name="image14.jpg" descr="Une image contenant noir et blanc, monochrom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4.jpg" descr="Une image contenant noir et blanc, monochrome&#10;&#10;Description générée automatiquement"/>
                    <pic:cNvPicPr preferRelativeResize="0"/>
                  </pic:nvPicPr>
                  <pic:blipFill>
                    <a:blip r:embed="rId41"/>
                    <a:srcRect/>
                    <a:stretch>
                      <a:fillRect/>
                    </a:stretch>
                  </pic:blipFill>
                  <pic:spPr>
                    <a:xfrm>
                      <a:off x="0" y="0"/>
                      <a:ext cx="3254132" cy="2472475"/>
                    </a:xfrm>
                    <a:prstGeom prst="rect">
                      <a:avLst/>
                    </a:prstGeom>
                    <a:ln/>
                  </pic:spPr>
                </pic:pic>
              </a:graphicData>
            </a:graphic>
          </wp:inline>
        </w:drawing>
      </w:r>
      <w:r>
        <w:rPr>
          <w:noProof/>
        </w:rPr>
        <w:drawing>
          <wp:inline distT="0" distB="0" distL="0" distR="0" wp14:anchorId="7BA48C40" wp14:editId="72A56A15">
            <wp:extent cx="2464759" cy="2468180"/>
            <wp:effectExtent l="0" t="0" r="0" b="0"/>
            <wp:docPr id="9" name="image5.jpg"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5.jpg" descr="Une image contenant texte&#10;&#10;Description générée automatiquement"/>
                    <pic:cNvPicPr preferRelativeResize="0"/>
                  </pic:nvPicPr>
                  <pic:blipFill>
                    <a:blip r:embed="rId42"/>
                    <a:srcRect/>
                    <a:stretch>
                      <a:fillRect/>
                    </a:stretch>
                  </pic:blipFill>
                  <pic:spPr>
                    <a:xfrm>
                      <a:off x="0" y="0"/>
                      <a:ext cx="2464759" cy="2468180"/>
                    </a:xfrm>
                    <a:prstGeom prst="rect">
                      <a:avLst/>
                    </a:prstGeom>
                    <a:ln/>
                  </pic:spPr>
                </pic:pic>
              </a:graphicData>
            </a:graphic>
          </wp:inline>
        </w:drawing>
      </w:r>
    </w:p>
    <w:p w14:paraId="230F27F3" w14:textId="77777777" w:rsidR="00B24E4B" w:rsidRDefault="00B24E4B" w:rsidP="00B24E4B"/>
    <w:p w14:paraId="177C4C6D" w14:textId="77777777" w:rsidR="00B24E4B" w:rsidRDefault="00B24E4B" w:rsidP="00B24E4B">
      <w:r>
        <w:t>Quelle est la principale lésion élémentaire radiologique présente sur ce scanner</w:t>
      </w:r>
      <w:r>
        <w:rPr>
          <w:rFonts w:ascii="Arial" w:eastAsia="Arial" w:hAnsi="Arial" w:cs="Arial"/>
        </w:rPr>
        <w:t> </w:t>
      </w:r>
      <w:r>
        <w:t>?</w:t>
      </w:r>
    </w:p>
    <w:p w14:paraId="168CBF73" w14:textId="77777777" w:rsidR="00B24E4B" w:rsidRDefault="00B24E4B">
      <w:pPr>
        <w:numPr>
          <w:ilvl w:val="0"/>
          <w:numId w:val="20"/>
        </w:numPr>
        <w:pBdr>
          <w:top w:val="nil"/>
          <w:left w:val="nil"/>
          <w:bottom w:val="nil"/>
          <w:right w:val="nil"/>
          <w:between w:val="nil"/>
        </w:pBdr>
        <w:spacing w:line="240" w:lineRule="auto"/>
        <w:ind w:left="714" w:hanging="357"/>
        <w:jc w:val="left"/>
      </w:pPr>
      <w:r>
        <w:t>Micronodules</w:t>
      </w:r>
    </w:p>
    <w:p w14:paraId="30996E0E" w14:textId="77777777" w:rsidR="00B24E4B" w:rsidRDefault="00B24E4B">
      <w:pPr>
        <w:numPr>
          <w:ilvl w:val="0"/>
          <w:numId w:val="20"/>
        </w:numPr>
        <w:pBdr>
          <w:top w:val="nil"/>
          <w:left w:val="nil"/>
          <w:bottom w:val="nil"/>
          <w:right w:val="nil"/>
          <w:between w:val="nil"/>
        </w:pBdr>
        <w:spacing w:line="240" w:lineRule="auto"/>
        <w:ind w:left="714" w:hanging="357"/>
        <w:jc w:val="left"/>
      </w:pPr>
      <w:r>
        <w:t>Kystes en rayon de miel</w:t>
      </w:r>
    </w:p>
    <w:p w14:paraId="091FC94F" w14:textId="77777777" w:rsidR="00B24E4B" w:rsidRDefault="00B24E4B">
      <w:pPr>
        <w:numPr>
          <w:ilvl w:val="0"/>
          <w:numId w:val="20"/>
        </w:numPr>
        <w:pBdr>
          <w:top w:val="nil"/>
          <w:left w:val="nil"/>
          <w:bottom w:val="nil"/>
          <w:right w:val="nil"/>
          <w:between w:val="nil"/>
        </w:pBdr>
        <w:spacing w:line="240" w:lineRule="auto"/>
        <w:ind w:left="714" w:hanging="357"/>
        <w:jc w:val="left"/>
      </w:pPr>
      <w:r>
        <w:t>Verre dépoli</w:t>
      </w:r>
    </w:p>
    <w:p w14:paraId="237A9459" w14:textId="77777777" w:rsidR="00B24E4B" w:rsidRDefault="00B24E4B">
      <w:pPr>
        <w:numPr>
          <w:ilvl w:val="0"/>
          <w:numId w:val="20"/>
        </w:numPr>
        <w:pBdr>
          <w:top w:val="nil"/>
          <w:left w:val="nil"/>
          <w:bottom w:val="nil"/>
          <w:right w:val="nil"/>
          <w:between w:val="nil"/>
        </w:pBdr>
        <w:spacing w:line="240" w:lineRule="auto"/>
        <w:ind w:left="714" w:hanging="357"/>
        <w:jc w:val="left"/>
      </w:pPr>
      <w:r>
        <w:t>Condensations</w:t>
      </w:r>
    </w:p>
    <w:p w14:paraId="3099DA19" w14:textId="77777777" w:rsidR="00B24E4B" w:rsidRDefault="00B24E4B">
      <w:pPr>
        <w:numPr>
          <w:ilvl w:val="0"/>
          <w:numId w:val="20"/>
        </w:numPr>
        <w:pBdr>
          <w:top w:val="nil"/>
          <w:left w:val="nil"/>
          <w:bottom w:val="nil"/>
          <w:right w:val="nil"/>
          <w:between w:val="nil"/>
        </w:pBdr>
        <w:spacing w:line="240" w:lineRule="auto"/>
        <w:ind w:left="714" w:hanging="357"/>
        <w:jc w:val="left"/>
      </w:pPr>
      <w:r>
        <w:t>Dilatation des bronches</w:t>
      </w:r>
    </w:p>
    <w:p w14:paraId="1950BAAA" w14:textId="77777777" w:rsidR="00B24E4B" w:rsidRDefault="00B24E4B">
      <w:pPr>
        <w:numPr>
          <w:ilvl w:val="0"/>
          <w:numId w:val="20"/>
        </w:numPr>
        <w:pBdr>
          <w:top w:val="nil"/>
          <w:left w:val="nil"/>
          <w:bottom w:val="nil"/>
          <w:right w:val="nil"/>
          <w:between w:val="nil"/>
        </w:pBdr>
        <w:spacing w:line="240" w:lineRule="auto"/>
        <w:ind w:left="714" w:hanging="357"/>
        <w:jc w:val="left"/>
      </w:pPr>
      <w:r>
        <w:t>Adénopathies</w:t>
      </w:r>
    </w:p>
    <w:p w14:paraId="4915CD78" w14:textId="54B7B103" w:rsidR="00B24E4B" w:rsidRDefault="00B24E4B">
      <w:pPr>
        <w:numPr>
          <w:ilvl w:val="0"/>
          <w:numId w:val="20"/>
        </w:numPr>
        <w:pBdr>
          <w:top w:val="nil"/>
          <w:left w:val="nil"/>
          <w:bottom w:val="nil"/>
          <w:right w:val="nil"/>
          <w:between w:val="nil"/>
        </w:pBdr>
        <w:spacing w:line="240" w:lineRule="auto"/>
        <w:ind w:left="714" w:hanging="357"/>
        <w:jc w:val="left"/>
      </w:pPr>
      <w:r>
        <w:t>Épanchement pleura</w:t>
      </w:r>
      <w:r w:rsidR="00462C2B">
        <w:t>l</w:t>
      </w:r>
    </w:p>
    <w:p w14:paraId="647859E5" w14:textId="77777777" w:rsidR="00B24E4B" w:rsidRDefault="00B24E4B" w:rsidP="00B24E4B">
      <w:pPr>
        <w:pBdr>
          <w:top w:val="nil"/>
          <w:left w:val="nil"/>
          <w:bottom w:val="nil"/>
          <w:right w:val="nil"/>
          <w:between w:val="nil"/>
        </w:pBdr>
        <w:spacing w:line="240" w:lineRule="auto"/>
        <w:ind w:left="714"/>
        <w:jc w:val="left"/>
      </w:pPr>
    </w:p>
    <w:p w14:paraId="781D9635" w14:textId="77777777" w:rsidR="00B24E4B" w:rsidRDefault="00B24E4B">
      <w:pPr>
        <w:numPr>
          <w:ilvl w:val="0"/>
          <w:numId w:val="6"/>
        </w:numPr>
        <w:pBdr>
          <w:top w:val="nil"/>
          <w:left w:val="nil"/>
          <w:bottom w:val="nil"/>
          <w:right w:val="nil"/>
          <w:between w:val="nil"/>
        </w:pBdr>
        <w:spacing w:line="240" w:lineRule="auto"/>
        <w:jc w:val="left"/>
      </w:pPr>
      <w:r>
        <w:rPr>
          <w:b/>
          <w:bCs/>
        </w:rPr>
        <w:t>QROC</w:t>
      </w:r>
    </w:p>
    <w:p w14:paraId="22185E4D" w14:textId="77777777" w:rsidR="00B24E4B" w:rsidRDefault="00B24E4B" w:rsidP="00B24E4B">
      <w:r>
        <w:t>Quelle anomalie auscultatoire pulmonaire doit être recherchée</w:t>
      </w:r>
      <w:r>
        <w:rPr>
          <w:rFonts w:ascii="Arial" w:eastAsia="Arial" w:hAnsi="Arial" w:cs="Arial"/>
        </w:rPr>
        <w:t> </w:t>
      </w:r>
      <w:r>
        <w:t>?</w:t>
      </w:r>
    </w:p>
    <w:p w14:paraId="1BE66AF2" w14:textId="77777777" w:rsidR="00B24E4B" w:rsidRDefault="00B24E4B" w:rsidP="00B24E4B"/>
    <w:p w14:paraId="71A17784" w14:textId="77777777" w:rsidR="00B24E4B" w:rsidRDefault="00B24E4B">
      <w:pPr>
        <w:numPr>
          <w:ilvl w:val="0"/>
          <w:numId w:val="6"/>
        </w:numPr>
        <w:pBdr>
          <w:top w:val="nil"/>
          <w:left w:val="nil"/>
          <w:bottom w:val="nil"/>
          <w:right w:val="nil"/>
          <w:between w:val="nil"/>
        </w:pBdr>
        <w:spacing w:line="240" w:lineRule="auto"/>
        <w:jc w:val="left"/>
      </w:pPr>
      <w:r>
        <w:rPr>
          <w:b/>
          <w:bCs/>
        </w:rPr>
        <w:t>QRU</w:t>
      </w:r>
    </w:p>
    <w:p w14:paraId="5A72E63B" w14:textId="77777777" w:rsidR="00B24E4B" w:rsidRDefault="00B24E4B" w:rsidP="00B24E4B">
      <w:r>
        <w:t xml:space="preserve">Quel est le diagnostic le plus probable ? : </w:t>
      </w:r>
    </w:p>
    <w:p w14:paraId="04F75934" w14:textId="77777777" w:rsidR="00B24E4B" w:rsidRDefault="00B24E4B">
      <w:pPr>
        <w:numPr>
          <w:ilvl w:val="0"/>
          <w:numId w:val="19"/>
        </w:numPr>
        <w:pBdr>
          <w:top w:val="nil"/>
          <w:left w:val="nil"/>
          <w:bottom w:val="nil"/>
          <w:right w:val="nil"/>
          <w:between w:val="nil"/>
        </w:pBdr>
        <w:spacing w:line="240" w:lineRule="auto"/>
        <w:ind w:left="714" w:hanging="357"/>
        <w:jc w:val="left"/>
      </w:pPr>
      <w:r>
        <w:t>Dilatation des bronches</w:t>
      </w:r>
    </w:p>
    <w:p w14:paraId="2025C55B" w14:textId="77777777" w:rsidR="00B24E4B" w:rsidRDefault="00B24E4B">
      <w:pPr>
        <w:numPr>
          <w:ilvl w:val="0"/>
          <w:numId w:val="19"/>
        </w:numPr>
        <w:pBdr>
          <w:top w:val="nil"/>
          <w:left w:val="nil"/>
          <w:bottom w:val="nil"/>
          <w:right w:val="nil"/>
          <w:between w:val="nil"/>
        </w:pBdr>
        <w:spacing w:line="240" w:lineRule="auto"/>
        <w:ind w:left="714" w:hanging="357"/>
        <w:jc w:val="left"/>
      </w:pPr>
      <w:r>
        <w:t>Pneumopathie médicamenteuse</w:t>
      </w:r>
    </w:p>
    <w:p w14:paraId="64110701" w14:textId="77777777" w:rsidR="00B24E4B" w:rsidRDefault="00B24E4B">
      <w:pPr>
        <w:numPr>
          <w:ilvl w:val="0"/>
          <w:numId w:val="19"/>
        </w:numPr>
        <w:pBdr>
          <w:top w:val="nil"/>
          <w:left w:val="nil"/>
          <w:bottom w:val="nil"/>
          <w:right w:val="nil"/>
          <w:between w:val="nil"/>
        </w:pBdr>
        <w:spacing w:line="240" w:lineRule="auto"/>
        <w:ind w:left="714" w:hanging="357"/>
        <w:jc w:val="left"/>
      </w:pPr>
      <w:r>
        <w:t>Sarcoïdose</w:t>
      </w:r>
    </w:p>
    <w:p w14:paraId="7C468E1F" w14:textId="77777777" w:rsidR="00B24E4B" w:rsidRDefault="00B24E4B">
      <w:pPr>
        <w:numPr>
          <w:ilvl w:val="0"/>
          <w:numId w:val="19"/>
        </w:numPr>
        <w:pBdr>
          <w:top w:val="nil"/>
          <w:left w:val="nil"/>
          <w:bottom w:val="nil"/>
          <w:right w:val="nil"/>
          <w:between w:val="nil"/>
        </w:pBdr>
        <w:spacing w:line="240" w:lineRule="auto"/>
        <w:ind w:left="714" w:hanging="357"/>
        <w:jc w:val="left"/>
      </w:pPr>
      <w:r>
        <w:t xml:space="preserve">Histiocytose </w:t>
      </w:r>
      <w:proofErr w:type="spellStart"/>
      <w:r>
        <w:t>langerhansienne</w:t>
      </w:r>
      <w:proofErr w:type="spellEnd"/>
      <w:r>
        <w:t xml:space="preserve"> pulmonaire</w:t>
      </w:r>
    </w:p>
    <w:p w14:paraId="39C73685" w14:textId="77777777" w:rsidR="00B24E4B" w:rsidRDefault="00B24E4B">
      <w:pPr>
        <w:numPr>
          <w:ilvl w:val="0"/>
          <w:numId w:val="19"/>
        </w:numPr>
        <w:pBdr>
          <w:top w:val="nil"/>
          <w:left w:val="nil"/>
          <w:bottom w:val="nil"/>
          <w:right w:val="nil"/>
          <w:between w:val="nil"/>
        </w:pBdr>
        <w:spacing w:line="240" w:lineRule="auto"/>
        <w:ind w:left="714" w:hanging="357"/>
        <w:jc w:val="left"/>
      </w:pPr>
      <w:r>
        <w:t>Fibrose pulmonaire idiopathique</w:t>
      </w:r>
    </w:p>
    <w:p w14:paraId="2A835E84" w14:textId="77777777" w:rsidR="00B24E4B" w:rsidRDefault="00B24E4B" w:rsidP="00B24E4B">
      <w:pPr>
        <w:jc w:val="left"/>
        <w:rPr>
          <w:b/>
          <w:bCs/>
        </w:rPr>
      </w:pPr>
      <w:r>
        <w:br w:type="page"/>
      </w:r>
    </w:p>
    <w:p w14:paraId="0CCDAB66" w14:textId="77777777" w:rsidR="00B24E4B" w:rsidRDefault="00B24E4B">
      <w:pPr>
        <w:numPr>
          <w:ilvl w:val="0"/>
          <w:numId w:val="6"/>
        </w:numPr>
        <w:pBdr>
          <w:top w:val="nil"/>
          <w:left w:val="nil"/>
          <w:bottom w:val="nil"/>
          <w:right w:val="nil"/>
          <w:between w:val="nil"/>
        </w:pBdr>
        <w:spacing w:line="240" w:lineRule="auto"/>
        <w:jc w:val="left"/>
      </w:pPr>
      <w:r>
        <w:rPr>
          <w:b/>
          <w:bCs/>
        </w:rPr>
        <w:lastRenderedPageBreak/>
        <w:t>QRP (deux réponses)</w:t>
      </w:r>
    </w:p>
    <w:p w14:paraId="4935196F" w14:textId="77777777" w:rsidR="00B24E4B" w:rsidRDefault="00B24E4B" w:rsidP="00B24E4B">
      <w:bookmarkStart w:id="3" w:name="_heading=h.1a4oq7gh84g7" w:colFirst="0" w:colLast="0"/>
      <w:bookmarkEnd w:id="3"/>
      <w:r>
        <w:t>Une dame de 71 ans, suivie pour une cardiopathie ischémique et hypertensive, fait l’objet d’un scanner thoracique pour le bilan d’une toux chronique. Voici deux images représentatives de son scanner.</w:t>
      </w:r>
    </w:p>
    <w:p w14:paraId="151D85B4" w14:textId="77777777" w:rsidR="00B24E4B" w:rsidRDefault="00B24E4B" w:rsidP="00B24E4B">
      <w:r>
        <w:t>Quelles sont les principales lésions élémentaires radiologiques présentes sur ce scanner</w:t>
      </w:r>
      <w:r>
        <w:rPr>
          <w:rFonts w:ascii="Arial" w:eastAsia="Arial" w:hAnsi="Arial" w:cs="Arial"/>
        </w:rPr>
        <w:t> </w:t>
      </w:r>
      <w:r>
        <w:t>?</w:t>
      </w:r>
      <w:r>
        <w:rPr>
          <w:noProof/>
        </w:rPr>
        <w:drawing>
          <wp:anchor distT="0" distB="0" distL="114300" distR="114300" simplePos="0" relativeHeight="251938816" behindDoc="0" locked="0" layoutInCell="1" hidden="0" allowOverlap="1" wp14:anchorId="4EE3AB21" wp14:editId="0F28E270">
            <wp:simplePos x="0" y="0"/>
            <wp:positionH relativeFrom="column">
              <wp:posOffset>3096129</wp:posOffset>
            </wp:positionH>
            <wp:positionV relativeFrom="paragraph">
              <wp:posOffset>152400</wp:posOffset>
            </wp:positionV>
            <wp:extent cx="3024000" cy="3306118"/>
            <wp:effectExtent l="0" t="0" r="0" b="0"/>
            <wp:wrapSquare wrapText="bothSides" distT="0" distB="0" distL="114300" distR="114300"/>
            <wp:docPr id="40" name="image33.jpg" descr="Une image contenant texte, ferme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33.jpg" descr="Une image contenant texte, fermer&#10;&#10;Description générée automatiquement"/>
                    <pic:cNvPicPr preferRelativeResize="0"/>
                  </pic:nvPicPr>
                  <pic:blipFill>
                    <a:blip r:embed="rId43"/>
                    <a:srcRect/>
                    <a:stretch>
                      <a:fillRect/>
                    </a:stretch>
                  </pic:blipFill>
                  <pic:spPr>
                    <a:xfrm>
                      <a:off x="0" y="0"/>
                      <a:ext cx="3024000" cy="3306118"/>
                    </a:xfrm>
                    <a:prstGeom prst="rect">
                      <a:avLst/>
                    </a:prstGeom>
                    <a:ln/>
                  </pic:spPr>
                </pic:pic>
              </a:graphicData>
            </a:graphic>
          </wp:anchor>
        </w:drawing>
      </w:r>
    </w:p>
    <w:p w14:paraId="289EFDB8" w14:textId="77777777" w:rsidR="00B24E4B" w:rsidRDefault="00B24E4B" w:rsidP="00B24E4B"/>
    <w:p w14:paraId="76783F93" w14:textId="77777777" w:rsidR="00B24E4B" w:rsidRDefault="00B24E4B">
      <w:pPr>
        <w:numPr>
          <w:ilvl w:val="0"/>
          <w:numId w:val="5"/>
        </w:numPr>
        <w:pBdr>
          <w:top w:val="nil"/>
          <w:left w:val="nil"/>
          <w:bottom w:val="nil"/>
          <w:right w:val="nil"/>
          <w:between w:val="nil"/>
        </w:pBdr>
        <w:spacing w:line="240" w:lineRule="auto"/>
        <w:jc w:val="left"/>
      </w:pPr>
      <w:r>
        <w:t>Micronodules</w:t>
      </w:r>
    </w:p>
    <w:p w14:paraId="7E2BF265" w14:textId="77777777" w:rsidR="00B24E4B" w:rsidRDefault="00B24E4B">
      <w:pPr>
        <w:numPr>
          <w:ilvl w:val="0"/>
          <w:numId w:val="5"/>
        </w:numPr>
        <w:pBdr>
          <w:top w:val="nil"/>
          <w:left w:val="nil"/>
          <w:bottom w:val="nil"/>
          <w:right w:val="nil"/>
          <w:between w:val="nil"/>
        </w:pBdr>
        <w:spacing w:line="240" w:lineRule="auto"/>
        <w:jc w:val="left"/>
      </w:pPr>
      <w:r>
        <w:t>Nodules</w:t>
      </w:r>
    </w:p>
    <w:p w14:paraId="76FF009A" w14:textId="77777777" w:rsidR="00B24E4B" w:rsidRDefault="00B24E4B">
      <w:pPr>
        <w:numPr>
          <w:ilvl w:val="0"/>
          <w:numId w:val="5"/>
        </w:numPr>
        <w:pBdr>
          <w:top w:val="nil"/>
          <w:left w:val="nil"/>
          <w:bottom w:val="nil"/>
          <w:right w:val="nil"/>
          <w:between w:val="nil"/>
        </w:pBdr>
        <w:spacing w:line="240" w:lineRule="auto"/>
        <w:jc w:val="left"/>
      </w:pPr>
      <w:r>
        <w:t>Kystes en rayon de miel</w:t>
      </w:r>
    </w:p>
    <w:p w14:paraId="2FC71426" w14:textId="77777777" w:rsidR="00B24E4B" w:rsidRDefault="00B24E4B">
      <w:pPr>
        <w:numPr>
          <w:ilvl w:val="0"/>
          <w:numId w:val="5"/>
        </w:numPr>
        <w:pBdr>
          <w:top w:val="nil"/>
          <w:left w:val="nil"/>
          <w:bottom w:val="nil"/>
          <w:right w:val="nil"/>
          <w:between w:val="nil"/>
        </w:pBdr>
        <w:spacing w:line="240" w:lineRule="auto"/>
        <w:jc w:val="left"/>
      </w:pPr>
      <w:r>
        <w:t>Verre dépoli</w:t>
      </w:r>
    </w:p>
    <w:p w14:paraId="035CC78E" w14:textId="77777777" w:rsidR="00B24E4B" w:rsidRDefault="00B24E4B">
      <w:pPr>
        <w:numPr>
          <w:ilvl w:val="0"/>
          <w:numId w:val="5"/>
        </w:numPr>
        <w:pBdr>
          <w:top w:val="nil"/>
          <w:left w:val="nil"/>
          <w:bottom w:val="nil"/>
          <w:right w:val="nil"/>
          <w:between w:val="nil"/>
        </w:pBdr>
        <w:spacing w:line="240" w:lineRule="auto"/>
        <w:jc w:val="left"/>
      </w:pPr>
      <w:r>
        <w:t>Condensations</w:t>
      </w:r>
    </w:p>
    <w:p w14:paraId="19604C95" w14:textId="77777777" w:rsidR="00B24E4B" w:rsidRDefault="00B24E4B">
      <w:pPr>
        <w:numPr>
          <w:ilvl w:val="0"/>
          <w:numId w:val="5"/>
        </w:numPr>
        <w:pBdr>
          <w:top w:val="nil"/>
          <w:left w:val="nil"/>
          <w:bottom w:val="nil"/>
          <w:right w:val="nil"/>
          <w:between w:val="nil"/>
        </w:pBdr>
        <w:spacing w:line="240" w:lineRule="auto"/>
        <w:jc w:val="left"/>
      </w:pPr>
      <w:r>
        <w:t>Réticulations à larges mailles</w:t>
      </w:r>
    </w:p>
    <w:p w14:paraId="1E66BA3C" w14:textId="77777777" w:rsidR="00B24E4B" w:rsidRDefault="00B24E4B">
      <w:pPr>
        <w:numPr>
          <w:ilvl w:val="0"/>
          <w:numId w:val="5"/>
        </w:numPr>
        <w:pBdr>
          <w:top w:val="nil"/>
          <w:left w:val="nil"/>
          <w:bottom w:val="nil"/>
          <w:right w:val="nil"/>
          <w:between w:val="nil"/>
        </w:pBdr>
        <w:spacing w:line="240" w:lineRule="auto"/>
        <w:jc w:val="left"/>
      </w:pPr>
      <w:r>
        <w:t>Adénopathies médiastinales</w:t>
      </w:r>
    </w:p>
    <w:p w14:paraId="66035BEC" w14:textId="77777777" w:rsidR="00B24E4B" w:rsidRDefault="00B24E4B">
      <w:pPr>
        <w:numPr>
          <w:ilvl w:val="0"/>
          <w:numId w:val="5"/>
        </w:numPr>
        <w:pBdr>
          <w:top w:val="nil"/>
          <w:left w:val="nil"/>
          <w:bottom w:val="nil"/>
          <w:right w:val="nil"/>
          <w:between w:val="nil"/>
        </w:pBdr>
        <w:spacing w:line="240" w:lineRule="auto"/>
        <w:jc w:val="left"/>
      </w:pPr>
      <w:r>
        <w:t>Épanchement pleural</w:t>
      </w:r>
    </w:p>
    <w:p w14:paraId="29EA5B8E" w14:textId="77777777" w:rsidR="00B24E4B" w:rsidRDefault="00B24E4B">
      <w:pPr>
        <w:numPr>
          <w:ilvl w:val="0"/>
          <w:numId w:val="5"/>
        </w:numPr>
        <w:pBdr>
          <w:top w:val="nil"/>
          <w:left w:val="nil"/>
          <w:bottom w:val="nil"/>
          <w:right w:val="nil"/>
          <w:between w:val="nil"/>
        </w:pBdr>
        <w:spacing w:line="240" w:lineRule="auto"/>
        <w:jc w:val="left"/>
      </w:pPr>
      <w:r>
        <w:t>Épaississement péri-</w:t>
      </w:r>
      <w:proofErr w:type="spellStart"/>
      <w:r>
        <w:t>boncho</w:t>
      </w:r>
      <w:proofErr w:type="spellEnd"/>
      <w:r>
        <w:t>-vasculaires</w:t>
      </w:r>
    </w:p>
    <w:p w14:paraId="1EC722DE" w14:textId="77777777" w:rsidR="00B24E4B" w:rsidRDefault="00B24E4B">
      <w:pPr>
        <w:numPr>
          <w:ilvl w:val="0"/>
          <w:numId w:val="5"/>
        </w:numPr>
        <w:pBdr>
          <w:top w:val="nil"/>
          <w:left w:val="nil"/>
          <w:bottom w:val="nil"/>
          <w:right w:val="nil"/>
          <w:between w:val="nil"/>
        </w:pBdr>
        <w:spacing w:line="240" w:lineRule="auto"/>
        <w:jc w:val="left"/>
      </w:pPr>
      <w:r>
        <w:t>Emphysème centro-lobulaire</w:t>
      </w:r>
    </w:p>
    <w:p w14:paraId="58914EAD" w14:textId="77777777" w:rsidR="00B24E4B" w:rsidRDefault="00B24E4B" w:rsidP="00B24E4B">
      <w:pPr>
        <w:jc w:val="left"/>
      </w:pPr>
    </w:p>
    <w:p w14:paraId="59842D3F" w14:textId="77777777" w:rsidR="00B24E4B" w:rsidRDefault="00B24E4B" w:rsidP="00B24E4B">
      <w:pPr>
        <w:jc w:val="left"/>
      </w:pPr>
    </w:p>
    <w:p w14:paraId="3EC8A107" w14:textId="77777777" w:rsidR="00B24E4B" w:rsidRDefault="00B24E4B" w:rsidP="00B24E4B">
      <w:pPr>
        <w:jc w:val="left"/>
      </w:pPr>
    </w:p>
    <w:p w14:paraId="31D66CE6" w14:textId="77777777" w:rsidR="00B24E4B" w:rsidRDefault="00B24E4B" w:rsidP="00B24E4B">
      <w:pPr>
        <w:jc w:val="left"/>
      </w:pPr>
    </w:p>
    <w:p w14:paraId="0A1C87DA" w14:textId="77777777" w:rsidR="00B24E4B" w:rsidRDefault="00B24E4B" w:rsidP="00B24E4B">
      <w:pPr>
        <w:jc w:val="left"/>
      </w:pPr>
    </w:p>
    <w:p w14:paraId="039476F0" w14:textId="77777777" w:rsidR="00B24E4B" w:rsidRDefault="00B24E4B" w:rsidP="00B24E4B">
      <w:pPr>
        <w:jc w:val="left"/>
      </w:pPr>
    </w:p>
    <w:p w14:paraId="71A38643" w14:textId="77777777" w:rsidR="00B24E4B" w:rsidRDefault="00B24E4B" w:rsidP="00B24E4B">
      <w:pPr>
        <w:jc w:val="left"/>
      </w:pPr>
    </w:p>
    <w:p w14:paraId="2962B792" w14:textId="77777777" w:rsidR="00B24E4B" w:rsidRDefault="00B24E4B" w:rsidP="00B24E4B">
      <w:pPr>
        <w:jc w:val="left"/>
      </w:pPr>
    </w:p>
    <w:p w14:paraId="4B292000" w14:textId="77777777" w:rsidR="00B24E4B" w:rsidRDefault="00B24E4B" w:rsidP="00B24E4B">
      <w:pPr>
        <w:jc w:val="left"/>
      </w:pPr>
    </w:p>
    <w:p w14:paraId="03BD702D" w14:textId="77777777" w:rsidR="00B24E4B" w:rsidRDefault="00B24E4B" w:rsidP="00B24E4B">
      <w:pPr>
        <w:jc w:val="left"/>
      </w:pPr>
    </w:p>
    <w:p w14:paraId="15852F77" w14:textId="77777777" w:rsidR="00B24E4B" w:rsidRDefault="00B24E4B" w:rsidP="00B24E4B">
      <w:pPr>
        <w:pBdr>
          <w:top w:val="nil"/>
          <w:left w:val="nil"/>
          <w:bottom w:val="nil"/>
          <w:right w:val="nil"/>
          <w:between w:val="nil"/>
        </w:pBdr>
        <w:spacing w:line="240" w:lineRule="auto"/>
        <w:ind w:left="360" w:hanging="360"/>
        <w:jc w:val="left"/>
        <w:rPr>
          <w:b/>
          <w:bCs/>
        </w:rPr>
      </w:pPr>
    </w:p>
    <w:p w14:paraId="317A95CA" w14:textId="77777777" w:rsidR="00B24E4B" w:rsidRDefault="00B24E4B" w:rsidP="00B24E4B">
      <w:pPr>
        <w:pBdr>
          <w:top w:val="nil"/>
          <w:left w:val="nil"/>
          <w:bottom w:val="nil"/>
          <w:right w:val="nil"/>
          <w:between w:val="nil"/>
        </w:pBdr>
        <w:spacing w:line="240" w:lineRule="auto"/>
        <w:ind w:left="360" w:hanging="360"/>
        <w:jc w:val="left"/>
        <w:rPr>
          <w:b/>
          <w:bCs/>
        </w:rPr>
      </w:pPr>
    </w:p>
    <w:p w14:paraId="46D12AA4" w14:textId="77777777" w:rsidR="00B24E4B" w:rsidRDefault="00B24E4B">
      <w:pPr>
        <w:numPr>
          <w:ilvl w:val="0"/>
          <w:numId w:val="6"/>
        </w:numPr>
        <w:pBdr>
          <w:top w:val="nil"/>
          <w:left w:val="nil"/>
          <w:bottom w:val="nil"/>
          <w:right w:val="nil"/>
          <w:between w:val="nil"/>
        </w:pBdr>
        <w:spacing w:line="240" w:lineRule="auto"/>
        <w:jc w:val="left"/>
      </w:pPr>
      <w:r>
        <w:rPr>
          <w:b/>
          <w:bCs/>
        </w:rPr>
        <w:t>QROC</w:t>
      </w:r>
    </w:p>
    <w:p w14:paraId="615DC19F" w14:textId="77777777" w:rsidR="00B24E4B" w:rsidRDefault="00B24E4B" w:rsidP="00B24E4B">
      <w:r>
        <w:lastRenderedPageBreak/>
        <w:t>Un homme de 28 ans, d’origine tchétchène, récemment arrivé en France, présente une dyspnée progressivement croissante sur 6 semaines, une fébricule, un amaigrissement de 4 kg. À l’examen clinique, on note une auscultation normale et une SpO2 = 89 % en air ambiant.</w:t>
      </w:r>
      <w:r>
        <w:rPr>
          <w:noProof/>
        </w:rPr>
        <w:drawing>
          <wp:anchor distT="0" distB="0" distL="114300" distR="114300" simplePos="0" relativeHeight="251939840" behindDoc="0" locked="0" layoutInCell="1" hidden="0" allowOverlap="1" wp14:anchorId="2E83A72C" wp14:editId="0BB11D94">
            <wp:simplePos x="0" y="0"/>
            <wp:positionH relativeFrom="column">
              <wp:posOffset>3096129</wp:posOffset>
            </wp:positionH>
            <wp:positionV relativeFrom="paragraph">
              <wp:posOffset>34925</wp:posOffset>
            </wp:positionV>
            <wp:extent cx="3024000" cy="3350809"/>
            <wp:effectExtent l="0" t="0" r="0" b="0"/>
            <wp:wrapSquare wrapText="bothSides" distT="0" distB="0" distL="114300" distR="114300"/>
            <wp:docPr id="24" name="image21.jpg" descr="Une image contenant film radio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1.jpg" descr="Une image contenant film radiographique&#10;&#10;Description générée automatiquement"/>
                    <pic:cNvPicPr preferRelativeResize="0"/>
                  </pic:nvPicPr>
                  <pic:blipFill>
                    <a:blip r:embed="rId44"/>
                    <a:srcRect/>
                    <a:stretch>
                      <a:fillRect/>
                    </a:stretch>
                  </pic:blipFill>
                  <pic:spPr>
                    <a:xfrm>
                      <a:off x="0" y="0"/>
                      <a:ext cx="3024000" cy="3350809"/>
                    </a:xfrm>
                    <a:prstGeom prst="rect">
                      <a:avLst/>
                    </a:prstGeom>
                    <a:ln/>
                  </pic:spPr>
                </pic:pic>
              </a:graphicData>
            </a:graphic>
          </wp:anchor>
        </w:drawing>
      </w:r>
    </w:p>
    <w:p w14:paraId="64D9EE1D" w14:textId="77777777" w:rsidR="00B24E4B" w:rsidRDefault="00B24E4B" w:rsidP="00B24E4B">
      <w:r>
        <w:t>Voici son cliché de thorax complété par un scanner thoracique.</w:t>
      </w:r>
    </w:p>
    <w:p w14:paraId="1790CA52" w14:textId="77777777" w:rsidR="00B24E4B" w:rsidRDefault="00B24E4B" w:rsidP="00B24E4B">
      <w:r>
        <w:t>Quelle est la 1</w:t>
      </w:r>
      <w:r>
        <w:rPr>
          <w:vertAlign w:val="superscript"/>
        </w:rPr>
        <w:t>re</w:t>
      </w:r>
      <w:r>
        <w:t xml:space="preserve"> hypothèse diagnostique</w:t>
      </w:r>
      <w:r>
        <w:rPr>
          <w:rFonts w:ascii="Arial" w:eastAsia="Arial" w:hAnsi="Arial" w:cs="Arial"/>
        </w:rPr>
        <w:t> </w:t>
      </w:r>
      <w:r>
        <w:t>?</w:t>
      </w:r>
    </w:p>
    <w:p w14:paraId="28AE61F7" w14:textId="77777777" w:rsidR="00B24E4B" w:rsidRDefault="00B24E4B" w:rsidP="00B24E4B"/>
    <w:p w14:paraId="44F100B8" w14:textId="77777777" w:rsidR="00B24E4B" w:rsidRDefault="00B24E4B" w:rsidP="00B24E4B">
      <w:pPr>
        <w:jc w:val="center"/>
      </w:pPr>
    </w:p>
    <w:p w14:paraId="6CB57153" w14:textId="77777777" w:rsidR="00B24E4B" w:rsidRDefault="00B24E4B" w:rsidP="00B24E4B">
      <w:pPr>
        <w:jc w:val="left"/>
        <w:rPr>
          <w:b/>
          <w:bCs/>
          <w:color w:val="0F4761"/>
        </w:rPr>
      </w:pPr>
      <w:r>
        <w:br w:type="page"/>
      </w:r>
    </w:p>
    <w:p w14:paraId="07C97F3B" w14:textId="77777777" w:rsidR="00B24E4B" w:rsidRDefault="00B24E4B" w:rsidP="00B24E4B">
      <w:pPr>
        <w:pBdr>
          <w:top w:val="nil"/>
          <w:left w:val="nil"/>
          <w:bottom w:val="nil"/>
          <w:right w:val="nil"/>
          <w:between w:val="nil"/>
        </w:pBdr>
        <w:spacing w:before="80" w:line="240" w:lineRule="auto"/>
        <w:ind w:left="360" w:hanging="360"/>
        <w:jc w:val="left"/>
        <w:rPr>
          <w:b/>
          <w:bCs/>
          <w:color w:val="0070C0"/>
        </w:rPr>
      </w:pPr>
      <w:r>
        <w:rPr>
          <w:b/>
          <w:bCs/>
          <w:color w:val="0070C0"/>
        </w:rPr>
        <w:lastRenderedPageBreak/>
        <w:t>DCP</w:t>
      </w:r>
    </w:p>
    <w:p w14:paraId="5822BA7F" w14:textId="77777777" w:rsidR="00B24E4B" w:rsidRDefault="00B24E4B" w:rsidP="00B24E4B">
      <w:pPr>
        <w:pBdr>
          <w:top w:val="nil"/>
          <w:left w:val="nil"/>
          <w:bottom w:val="nil"/>
          <w:right w:val="nil"/>
          <w:between w:val="nil"/>
        </w:pBdr>
        <w:spacing w:before="80" w:line="240" w:lineRule="auto"/>
        <w:ind w:left="360" w:hanging="360"/>
        <w:jc w:val="left"/>
        <w:rPr>
          <w:b/>
          <w:bCs/>
        </w:rPr>
      </w:pPr>
    </w:p>
    <w:p w14:paraId="47597F97" w14:textId="77777777" w:rsidR="00B24E4B" w:rsidRDefault="00B24E4B">
      <w:pPr>
        <w:numPr>
          <w:ilvl w:val="0"/>
          <w:numId w:val="6"/>
        </w:numPr>
        <w:pBdr>
          <w:top w:val="nil"/>
          <w:left w:val="nil"/>
          <w:bottom w:val="nil"/>
          <w:right w:val="nil"/>
          <w:between w:val="nil"/>
        </w:pBdr>
        <w:spacing w:line="240" w:lineRule="auto"/>
        <w:jc w:val="left"/>
      </w:pPr>
      <w:r>
        <w:rPr>
          <w:b/>
          <w:bCs/>
        </w:rPr>
        <w:t>QROC</w:t>
      </w:r>
    </w:p>
    <w:p w14:paraId="4F809B72" w14:textId="77777777" w:rsidR="00B24E4B" w:rsidRDefault="00B24E4B" w:rsidP="00B24E4B">
      <w:r>
        <w:t>Un homme de 58 ans, aux antécédents de tuberculose et de BPCO, sous hormonothérapie pour un cancer de prostate, présente une fébricule, un amaigrissement de 8 kg en un mois et une dyspnée progressive. À l’examen clinique, on note une hépatomégalie douloureuse. La biologie est marquée par la présence d’une hypercalcémie. Le cliché de thorax montre un syndrome interstitiel et vous avez complété le bilan par un scanner thoracique.</w:t>
      </w:r>
    </w:p>
    <w:p w14:paraId="13D84B38" w14:textId="77777777" w:rsidR="00B24E4B" w:rsidRDefault="00B24E4B" w:rsidP="00B24E4B">
      <w:pPr>
        <w:jc w:val="center"/>
      </w:pPr>
      <w:r>
        <w:rPr>
          <w:noProof/>
        </w:rPr>
        <w:drawing>
          <wp:inline distT="0" distB="0" distL="0" distR="0" wp14:anchorId="24C85B08" wp14:editId="35591873">
            <wp:extent cx="2940367" cy="2557460"/>
            <wp:effectExtent l="0" t="0" r="0" b="0"/>
            <wp:docPr id="10" name="image2.png" descr="Une image contenant film radiographique, chute d’eau, nature, flou&#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png" descr="Une image contenant film radiographique, chute d’eau, nature, flou&#10;&#10;Description générée automatiquement"/>
                    <pic:cNvPicPr preferRelativeResize="0"/>
                  </pic:nvPicPr>
                  <pic:blipFill>
                    <a:blip r:embed="rId45"/>
                    <a:srcRect/>
                    <a:stretch>
                      <a:fillRect/>
                    </a:stretch>
                  </pic:blipFill>
                  <pic:spPr>
                    <a:xfrm>
                      <a:off x="0" y="0"/>
                      <a:ext cx="2940367" cy="2557460"/>
                    </a:xfrm>
                    <a:prstGeom prst="rect">
                      <a:avLst/>
                    </a:prstGeom>
                    <a:ln/>
                  </pic:spPr>
                </pic:pic>
              </a:graphicData>
            </a:graphic>
          </wp:inline>
        </w:drawing>
      </w:r>
    </w:p>
    <w:p w14:paraId="6BCA5EE9" w14:textId="77777777" w:rsidR="00B24E4B" w:rsidRDefault="00B24E4B" w:rsidP="00B24E4B">
      <w:pPr>
        <w:jc w:val="center"/>
      </w:pPr>
    </w:p>
    <w:p w14:paraId="4DA7F9FE" w14:textId="77777777" w:rsidR="00B24E4B" w:rsidRDefault="00B24E4B" w:rsidP="00B24E4B">
      <w:pPr>
        <w:jc w:val="center"/>
      </w:pPr>
      <w:r>
        <w:rPr>
          <w:noProof/>
        </w:rPr>
        <w:drawing>
          <wp:inline distT="0" distB="0" distL="0" distR="0" wp14:anchorId="360BC5C0" wp14:editId="7CAE25A5">
            <wp:extent cx="2936637" cy="1916229"/>
            <wp:effectExtent l="0" t="0" r="0" b="0"/>
            <wp:docPr id="11" name="image7.jpg" descr="Une image contenant texte, blanc&#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7.jpg" descr="Une image contenant texte, blanc&#10;&#10;Description générée automatiquement"/>
                    <pic:cNvPicPr preferRelativeResize="0"/>
                  </pic:nvPicPr>
                  <pic:blipFill>
                    <a:blip r:embed="rId46"/>
                    <a:srcRect/>
                    <a:stretch>
                      <a:fillRect/>
                    </a:stretch>
                  </pic:blipFill>
                  <pic:spPr>
                    <a:xfrm>
                      <a:off x="0" y="0"/>
                      <a:ext cx="2936637" cy="1916229"/>
                    </a:xfrm>
                    <a:prstGeom prst="rect">
                      <a:avLst/>
                    </a:prstGeom>
                    <a:ln/>
                  </pic:spPr>
                </pic:pic>
              </a:graphicData>
            </a:graphic>
          </wp:inline>
        </w:drawing>
      </w:r>
    </w:p>
    <w:p w14:paraId="402E6E19" w14:textId="77777777" w:rsidR="00B24E4B" w:rsidRDefault="00B24E4B" w:rsidP="00B24E4B">
      <w:pPr>
        <w:jc w:val="center"/>
      </w:pPr>
    </w:p>
    <w:p w14:paraId="50429357" w14:textId="77777777" w:rsidR="00B24E4B" w:rsidRDefault="00B24E4B" w:rsidP="00B24E4B">
      <w:r>
        <w:t>Parmi les 5 types de lésions primaires qui caractérisent les syndromes interstitiels, laquelle est celle qui prédomine ici</w:t>
      </w:r>
      <w:r>
        <w:rPr>
          <w:rFonts w:ascii="Arial" w:eastAsia="Arial" w:hAnsi="Arial" w:cs="Arial"/>
        </w:rPr>
        <w:t> </w:t>
      </w:r>
      <w:r>
        <w:t>?</w:t>
      </w:r>
    </w:p>
    <w:p w14:paraId="251B5DC7" w14:textId="77777777" w:rsidR="00B24E4B" w:rsidRDefault="00B24E4B" w:rsidP="00B24E4B"/>
    <w:p w14:paraId="25E967B9" w14:textId="77777777" w:rsidR="00B24E4B" w:rsidRDefault="00B24E4B">
      <w:pPr>
        <w:numPr>
          <w:ilvl w:val="0"/>
          <w:numId w:val="6"/>
        </w:numPr>
        <w:pBdr>
          <w:top w:val="nil"/>
          <w:left w:val="nil"/>
          <w:bottom w:val="nil"/>
          <w:right w:val="nil"/>
          <w:between w:val="nil"/>
        </w:pBdr>
        <w:spacing w:line="240" w:lineRule="auto"/>
        <w:jc w:val="left"/>
      </w:pPr>
      <w:r>
        <w:rPr>
          <w:b/>
          <w:bCs/>
        </w:rPr>
        <w:t>QROC</w:t>
      </w:r>
    </w:p>
    <w:p w14:paraId="063CE22D" w14:textId="77777777" w:rsidR="00B24E4B" w:rsidRDefault="00B24E4B" w:rsidP="00B24E4B">
      <w:r>
        <w:t>Quelle est la première hypothèse diagnostique</w:t>
      </w:r>
      <w:r>
        <w:rPr>
          <w:rFonts w:ascii="Arial" w:eastAsia="Arial" w:hAnsi="Arial" w:cs="Arial"/>
        </w:rPr>
        <w:t> </w:t>
      </w:r>
      <w:r>
        <w:t>?</w:t>
      </w:r>
    </w:p>
    <w:p w14:paraId="68BD9423" w14:textId="77777777" w:rsidR="00B24E4B" w:rsidRDefault="00B24E4B" w:rsidP="00B24E4B"/>
    <w:p w14:paraId="4BE900F8" w14:textId="77777777" w:rsidR="00B24E4B" w:rsidRDefault="00B24E4B">
      <w:pPr>
        <w:numPr>
          <w:ilvl w:val="0"/>
          <w:numId w:val="6"/>
        </w:numPr>
        <w:pBdr>
          <w:top w:val="nil"/>
          <w:left w:val="nil"/>
          <w:bottom w:val="nil"/>
          <w:right w:val="nil"/>
          <w:between w:val="nil"/>
        </w:pBdr>
        <w:spacing w:line="240" w:lineRule="auto"/>
        <w:jc w:val="left"/>
      </w:pPr>
      <w:r>
        <w:rPr>
          <w:b/>
          <w:bCs/>
        </w:rPr>
        <w:t>QROC</w:t>
      </w:r>
    </w:p>
    <w:p w14:paraId="44D70668" w14:textId="77777777" w:rsidR="00B24E4B" w:rsidRDefault="00B24E4B" w:rsidP="00B24E4B">
      <w:r>
        <w:t>Si l’hépatomégalie douloureuse et l’hypercalcémie avaient été absentes, quelle aurait été la première hypothèse diagnostique</w:t>
      </w:r>
      <w:r>
        <w:rPr>
          <w:rFonts w:ascii="Arial" w:eastAsia="Arial" w:hAnsi="Arial" w:cs="Arial"/>
        </w:rPr>
        <w:t> </w:t>
      </w:r>
      <w:r>
        <w:t>?</w:t>
      </w:r>
    </w:p>
    <w:p w14:paraId="081D953B" w14:textId="77777777" w:rsidR="00B24E4B" w:rsidRDefault="00B24E4B" w:rsidP="00B24E4B">
      <w:pPr>
        <w:rPr>
          <w:b/>
          <w:bCs/>
          <w:color w:val="3366FF"/>
        </w:rPr>
      </w:pPr>
    </w:p>
    <w:p w14:paraId="71F2BCEA" w14:textId="77777777" w:rsidR="00B24E4B" w:rsidRDefault="00B24E4B" w:rsidP="00B24E4B">
      <w:pPr>
        <w:rPr>
          <w:b/>
          <w:bCs/>
          <w:color w:val="3366FF"/>
        </w:rPr>
      </w:pPr>
      <w:r>
        <w:lastRenderedPageBreak/>
        <w:br w:type="page"/>
      </w:r>
    </w:p>
    <w:p w14:paraId="08465DF7" w14:textId="77777777" w:rsidR="00B24E4B" w:rsidRDefault="00B24E4B" w:rsidP="00B24E4B">
      <w:pPr>
        <w:rPr>
          <w:b/>
          <w:bCs/>
          <w:color w:val="0070C0"/>
          <w:sz w:val="24"/>
          <w:szCs w:val="24"/>
        </w:rPr>
      </w:pPr>
      <w:r>
        <w:rPr>
          <w:b/>
          <w:bCs/>
          <w:color w:val="0070C0"/>
          <w:sz w:val="24"/>
          <w:szCs w:val="24"/>
        </w:rPr>
        <w:lastRenderedPageBreak/>
        <w:t>REPONSES</w:t>
      </w:r>
    </w:p>
    <w:p w14:paraId="0E8F7113" w14:textId="77777777" w:rsidR="00B24E4B" w:rsidRDefault="00B24E4B" w:rsidP="00B24E4B">
      <w:pPr>
        <w:jc w:val="center"/>
        <w:rPr>
          <w:b/>
          <w:bCs/>
          <w:color w:val="3366FF"/>
        </w:rPr>
      </w:pPr>
    </w:p>
    <w:p w14:paraId="2FF19D0D" w14:textId="77777777" w:rsidR="00B24E4B" w:rsidRDefault="00B24E4B" w:rsidP="00B24E4B">
      <w:pPr>
        <w:rPr>
          <w:b/>
          <w:bCs/>
          <w:color w:val="0070C0"/>
        </w:rPr>
      </w:pPr>
      <w:r>
        <w:rPr>
          <w:b/>
          <w:bCs/>
          <w:color w:val="0070C0"/>
        </w:rPr>
        <w:t>DCP</w:t>
      </w:r>
    </w:p>
    <w:p w14:paraId="6322C992" w14:textId="77777777" w:rsidR="00B24E4B" w:rsidRDefault="00B24E4B">
      <w:pPr>
        <w:numPr>
          <w:ilvl w:val="0"/>
          <w:numId w:val="7"/>
        </w:numPr>
        <w:pBdr>
          <w:top w:val="nil"/>
          <w:left w:val="nil"/>
          <w:bottom w:val="nil"/>
          <w:right w:val="nil"/>
          <w:between w:val="nil"/>
        </w:pBdr>
        <w:spacing w:line="240" w:lineRule="auto"/>
        <w:jc w:val="left"/>
      </w:pPr>
      <w:r>
        <w:rPr>
          <w:b/>
          <w:bCs/>
        </w:rPr>
        <w:t>QRU</w:t>
      </w:r>
    </w:p>
    <w:p w14:paraId="489BDBAD" w14:textId="77777777" w:rsidR="00B24E4B" w:rsidRDefault="00B24E4B" w:rsidP="00B24E4B">
      <w:r>
        <w:t>Réponse : B</w:t>
      </w:r>
    </w:p>
    <w:p w14:paraId="1E475C6F" w14:textId="77777777" w:rsidR="00B24E4B" w:rsidRDefault="00B24E4B" w:rsidP="00B24E4B">
      <w:r>
        <w:t>Commentaire : pas de piège ici</w:t>
      </w:r>
    </w:p>
    <w:p w14:paraId="32B1C6F9" w14:textId="77777777" w:rsidR="00B24E4B" w:rsidRDefault="00B24E4B" w:rsidP="00B24E4B"/>
    <w:p w14:paraId="692AFE38" w14:textId="77777777" w:rsidR="00B24E4B" w:rsidRDefault="00B24E4B">
      <w:pPr>
        <w:numPr>
          <w:ilvl w:val="0"/>
          <w:numId w:val="7"/>
        </w:numPr>
        <w:pBdr>
          <w:top w:val="nil"/>
          <w:left w:val="nil"/>
          <w:bottom w:val="nil"/>
          <w:right w:val="nil"/>
          <w:between w:val="nil"/>
        </w:pBdr>
        <w:spacing w:line="240" w:lineRule="auto"/>
        <w:jc w:val="left"/>
      </w:pPr>
      <w:r>
        <w:rPr>
          <w:b/>
          <w:bCs/>
        </w:rPr>
        <w:t>QROC</w:t>
      </w:r>
    </w:p>
    <w:p w14:paraId="31679A4A" w14:textId="77777777" w:rsidR="00B24E4B" w:rsidRDefault="00B24E4B" w:rsidP="00B24E4B">
      <w:r>
        <w:t>Réponse : crépitants/râles crépitants/crépitants velcro/crépitants secs</w:t>
      </w:r>
    </w:p>
    <w:p w14:paraId="6E96CA98" w14:textId="77777777" w:rsidR="00B24E4B" w:rsidRDefault="00B24E4B" w:rsidP="00B24E4B">
      <w:r>
        <w:t>Commentaire : pas de piège ici</w:t>
      </w:r>
    </w:p>
    <w:p w14:paraId="29E70E86" w14:textId="77777777" w:rsidR="00B24E4B" w:rsidRDefault="00B24E4B" w:rsidP="00B24E4B"/>
    <w:p w14:paraId="2024F456" w14:textId="77777777" w:rsidR="00B24E4B" w:rsidRDefault="00B24E4B">
      <w:pPr>
        <w:numPr>
          <w:ilvl w:val="0"/>
          <w:numId w:val="7"/>
        </w:numPr>
        <w:pBdr>
          <w:top w:val="nil"/>
          <w:left w:val="nil"/>
          <w:bottom w:val="nil"/>
          <w:right w:val="nil"/>
          <w:between w:val="nil"/>
        </w:pBdr>
        <w:spacing w:line="240" w:lineRule="auto"/>
        <w:jc w:val="left"/>
      </w:pPr>
      <w:r>
        <w:rPr>
          <w:b/>
          <w:bCs/>
        </w:rPr>
        <w:t>QRU</w:t>
      </w:r>
    </w:p>
    <w:p w14:paraId="44BE4FEC" w14:textId="77777777" w:rsidR="00B24E4B" w:rsidRDefault="00B24E4B" w:rsidP="00B24E4B">
      <w:r>
        <w:t>Réponse : E</w:t>
      </w:r>
    </w:p>
    <w:p w14:paraId="540CF1EA" w14:textId="77777777" w:rsidR="00B24E4B" w:rsidRDefault="00B24E4B" w:rsidP="00B24E4B">
      <w:r>
        <w:t>Commentaire : pas de piège ici</w:t>
      </w:r>
    </w:p>
    <w:p w14:paraId="0FA98E67" w14:textId="77777777" w:rsidR="00B24E4B" w:rsidRDefault="00B24E4B" w:rsidP="00B24E4B"/>
    <w:p w14:paraId="76C8CA93" w14:textId="77777777" w:rsidR="00B24E4B" w:rsidRDefault="00B24E4B">
      <w:pPr>
        <w:numPr>
          <w:ilvl w:val="0"/>
          <w:numId w:val="7"/>
        </w:numPr>
        <w:pBdr>
          <w:top w:val="nil"/>
          <w:left w:val="nil"/>
          <w:bottom w:val="nil"/>
          <w:right w:val="nil"/>
          <w:between w:val="nil"/>
        </w:pBdr>
        <w:spacing w:line="240" w:lineRule="auto"/>
        <w:jc w:val="left"/>
      </w:pPr>
      <w:r>
        <w:rPr>
          <w:b/>
          <w:bCs/>
        </w:rPr>
        <w:t>QRP (deux réponses)</w:t>
      </w:r>
    </w:p>
    <w:p w14:paraId="10105C58" w14:textId="77777777" w:rsidR="00B24E4B" w:rsidRDefault="00B24E4B" w:rsidP="00B24E4B">
      <w:r>
        <w:t>Réponse : DF</w:t>
      </w:r>
    </w:p>
    <w:p w14:paraId="5EB36805" w14:textId="77777777" w:rsidR="00B24E4B" w:rsidRDefault="00B24E4B" w:rsidP="00B24E4B">
      <w:r>
        <w:t>Commentaire : pas de piège ici</w:t>
      </w:r>
    </w:p>
    <w:p w14:paraId="23AA6FAB" w14:textId="77777777" w:rsidR="00B24E4B" w:rsidRDefault="00B24E4B" w:rsidP="00B24E4B"/>
    <w:p w14:paraId="5C8AC385" w14:textId="77777777" w:rsidR="00B24E4B" w:rsidRDefault="00B24E4B">
      <w:pPr>
        <w:numPr>
          <w:ilvl w:val="0"/>
          <w:numId w:val="7"/>
        </w:numPr>
        <w:pBdr>
          <w:top w:val="nil"/>
          <w:left w:val="nil"/>
          <w:bottom w:val="nil"/>
          <w:right w:val="nil"/>
          <w:between w:val="nil"/>
        </w:pBdr>
        <w:spacing w:line="240" w:lineRule="auto"/>
        <w:jc w:val="left"/>
      </w:pPr>
      <w:r>
        <w:rPr>
          <w:b/>
          <w:bCs/>
        </w:rPr>
        <w:t>QROC</w:t>
      </w:r>
    </w:p>
    <w:p w14:paraId="527B9B55" w14:textId="77777777" w:rsidR="00B24E4B" w:rsidRDefault="00B24E4B" w:rsidP="00B24E4B">
      <w:r>
        <w:t>Réponse : miliaire tuberculeuse/tuberculose miliaire</w:t>
      </w:r>
    </w:p>
    <w:p w14:paraId="6B02F9CC" w14:textId="77777777" w:rsidR="00B24E4B" w:rsidRDefault="00B24E4B" w:rsidP="00B24E4B"/>
    <w:p w14:paraId="6C35F2DB" w14:textId="77777777" w:rsidR="00B24E4B" w:rsidRDefault="00B24E4B" w:rsidP="00B24E4B">
      <w:pPr>
        <w:rPr>
          <w:b/>
          <w:bCs/>
          <w:color w:val="0070C0"/>
        </w:rPr>
      </w:pPr>
      <w:r>
        <w:rPr>
          <w:b/>
          <w:bCs/>
          <w:color w:val="0070C0"/>
        </w:rPr>
        <w:t>DCP</w:t>
      </w:r>
    </w:p>
    <w:p w14:paraId="6CB29D30" w14:textId="77777777" w:rsidR="00B24E4B" w:rsidRDefault="00B24E4B" w:rsidP="00B24E4B">
      <w:pPr>
        <w:rPr>
          <w:b/>
          <w:bCs/>
          <w:color w:val="0070C0"/>
        </w:rPr>
      </w:pPr>
    </w:p>
    <w:p w14:paraId="1B452E5B" w14:textId="77777777" w:rsidR="00B24E4B" w:rsidRDefault="00B24E4B">
      <w:pPr>
        <w:numPr>
          <w:ilvl w:val="0"/>
          <w:numId w:val="7"/>
        </w:numPr>
        <w:pBdr>
          <w:top w:val="nil"/>
          <w:left w:val="nil"/>
          <w:bottom w:val="nil"/>
          <w:right w:val="nil"/>
          <w:between w:val="nil"/>
        </w:pBdr>
        <w:spacing w:line="240" w:lineRule="auto"/>
        <w:jc w:val="left"/>
      </w:pPr>
      <w:r>
        <w:rPr>
          <w:b/>
          <w:bCs/>
        </w:rPr>
        <w:t>QROC</w:t>
      </w:r>
    </w:p>
    <w:p w14:paraId="48100C89" w14:textId="77777777" w:rsidR="00B24E4B" w:rsidRDefault="00B24E4B" w:rsidP="00B24E4B">
      <w:r>
        <w:t>Réponse : nodule/micronodule</w:t>
      </w:r>
    </w:p>
    <w:p w14:paraId="2ABDB571" w14:textId="77777777" w:rsidR="00B24E4B" w:rsidRDefault="00B24E4B" w:rsidP="00B24E4B"/>
    <w:p w14:paraId="4AE68971" w14:textId="77777777" w:rsidR="00B24E4B" w:rsidRDefault="00B24E4B">
      <w:pPr>
        <w:numPr>
          <w:ilvl w:val="0"/>
          <w:numId w:val="7"/>
        </w:numPr>
        <w:pBdr>
          <w:top w:val="nil"/>
          <w:left w:val="nil"/>
          <w:bottom w:val="nil"/>
          <w:right w:val="nil"/>
          <w:between w:val="nil"/>
        </w:pBdr>
        <w:spacing w:line="240" w:lineRule="auto"/>
        <w:jc w:val="left"/>
      </w:pPr>
      <w:r>
        <w:rPr>
          <w:b/>
          <w:bCs/>
        </w:rPr>
        <w:t>QROC</w:t>
      </w:r>
    </w:p>
    <w:p w14:paraId="09338248" w14:textId="77777777" w:rsidR="00B24E4B" w:rsidRDefault="00B24E4B" w:rsidP="00B24E4B">
      <w:r>
        <w:t>Réponse : métastases pulmonaires/miliaire carcinomateuse</w:t>
      </w:r>
    </w:p>
    <w:p w14:paraId="1819A98C" w14:textId="77777777" w:rsidR="00B24E4B" w:rsidRDefault="00B24E4B" w:rsidP="00B24E4B"/>
    <w:p w14:paraId="2B8A2BD7" w14:textId="77777777" w:rsidR="00B24E4B" w:rsidRDefault="00B24E4B">
      <w:pPr>
        <w:numPr>
          <w:ilvl w:val="0"/>
          <w:numId w:val="7"/>
        </w:numPr>
        <w:pBdr>
          <w:top w:val="nil"/>
          <w:left w:val="nil"/>
          <w:bottom w:val="nil"/>
          <w:right w:val="nil"/>
          <w:between w:val="nil"/>
        </w:pBdr>
        <w:spacing w:line="240" w:lineRule="auto"/>
        <w:jc w:val="left"/>
      </w:pPr>
      <w:r>
        <w:rPr>
          <w:b/>
          <w:bCs/>
        </w:rPr>
        <w:t>QROC</w:t>
      </w:r>
    </w:p>
    <w:p w14:paraId="6EC0919F" w14:textId="77777777" w:rsidR="00B24E4B" w:rsidRDefault="00B24E4B" w:rsidP="00B24E4B">
      <w:r>
        <w:t>Réponse : tuberculose/miliaire tuberculeuse</w:t>
      </w:r>
    </w:p>
    <w:p w14:paraId="15B96620" w14:textId="0D977FDF" w:rsidR="00F75368" w:rsidRDefault="00F75368" w:rsidP="00B24E4B"/>
    <w:sectPr w:rsidR="00F75368" w:rsidSect="00876EF8">
      <w:headerReference w:type="even" r:id="rId47"/>
      <w:headerReference w:type="default" r:id="rId48"/>
      <w:footerReference w:type="even" r:id="rId49"/>
      <w:footerReference w:type="default" r:id="rId50"/>
      <w:headerReference w:type="first" r:id="rId51"/>
      <w:footerReference w:type="first" r:id="rId52"/>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1D067" w14:textId="77777777" w:rsidR="000626F1" w:rsidRDefault="000626F1" w:rsidP="00B24E4B">
      <w:pPr>
        <w:spacing w:line="240" w:lineRule="auto"/>
      </w:pPr>
      <w:r>
        <w:separator/>
      </w:r>
    </w:p>
  </w:endnote>
  <w:endnote w:type="continuationSeparator" w:id="0">
    <w:p w14:paraId="683CF765" w14:textId="77777777" w:rsidR="000626F1" w:rsidRDefault="000626F1" w:rsidP="00B24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C45110" w14:textId="77777777" w:rsidR="004B3369" w:rsidRDefault="004B3369">
    <w:pPr>
      <w:pStyle w:val="Pieddepag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F84E06" w14:textId="77777777" w:rsidR="004B3369" w:rsidRDefault="004B3369">
    <w:pPr>
      <w:pStyle w:val="Pieddepag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20D95" w14:textId="77777777" w:rsidR="004B3369" w:rsidRDefault="004B3369">
    <w:pPr>
      <w:pStyle w:val="Pieddepag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A3C6C" w14:textId="77777777" w:rsidR="000626F1" w:rsidRDefault="000626F1" w:rsidP="00B24E4B">
      <w:pPr>
        <w:spacing w:line="240" w:lineRule="auto"/>
      </w:pPr>
      <w:r>
        <w:separator/>
      </w:r>
    </w:p>
  </w:footnote>
  <w:footnote w:type="continuationSeparator" w:id="0">
    <w:p w14:paraId="5E04D397" w14:textId="77777777" w:rsidR="000626F1" w:rsidRDefault="000626F1" w:rsidP="00B24E4B">
      <w:pPr>
        <w:spacing w:line="240" w:lineRule="auto"/>
      </w:pPr>
      <w:r>
        <w:continuationSeparator/>
      </w:r>
    </w:p>
  </w:footnote>
  <w:footnote w:id="1">
    <w:p w14:paraId="499DAC75" w14:textId="77777777" w:rsidR="00B24E4B" w:rsidRDefault="00B24E4B" w:rsidP="00D02748">
      <w:pPr>
        <w:pStyle w:val="pieddepage"/>
      </w:pPr>
      <w:r>
        <w:rPr>
          <w:vertAlign w:val="superscript"/>
        </w:rPr>
        <w:footnoteRef/>
      </w:r>
      <w:r>
        <w:t xml:space="preserve"> On parle d’opacités réticulaires quand les opacités linéaires s’entrecroisent et donnent un aspect en filet (réseau).</w:t>
      </w:r>
    </w:p>
  </w:footnote>
  <w:footnote w:id="2">
    <w:p w14:paraId="40EDE071" w14:textId="77777777" w:rsidR="00B24E4B" w:rsidRDefault="00B24E4B" w:rsidP="00D02748">
      <w:pPr>
        <w:pStyle w:val="pieddepage"/>
      </w:pPr>
      <w:r>
        <w:rPr>
          <w:vertAlign w:val="superscript"/>
        </w:rPr>
        <w:footnoteRef/>
      </w:r>
      <w:r>
        <w:t xml:space="preserve"> Il ne s’agit pas à proprement de bronchectasies car la paroi bronchique est normale ; elles résultent de la traction exercée sur les parois bronchiques quand la rétraction élastique du parenchyme augmente (fibrose)…</w:t>
      </w:r>
    </w:p>
  </w:footnote>
  <w:footnote w:id="3">
    <w:p w14:paraId="00C82406" w14:textId="77777777" w:rsidR="00B24E4B" w:rsidRDefault="00B24E4B" w:rsidP="001C2618">
      <w:pPr>
        <w:pStyle w:val="pieddepage"/>
      </w:pPr>
      <w:r>
        <w:rPr>
          <w:vertAlign w:val="superscript"/>
        </w:rPr>
        <w:footnoteRef/>
      </w:r>
      <w:r>
        <w:t xml:space="preserve"> Anticorps de type IgG dirigés contre l’antigène responsable des PHS (déjections d’oiseaux, notamment de pigeons, moisissures du foin,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C22E41" w14:textId="77777777" w:rsidR="004B3369" w:rsidRDefault="004B336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015F3" w14:textId="77777777" w:rsidR="004B3369" w:rsidRPr="00F201C7" w:rsidRDefault="004B3369" w:rsidP="004B3369">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31829FD3" w14:textId="77777777" w:rsidR="004B3369" w:rsidRDefault="004B336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4D0BA" w14:textId="77777777" w:rsidR="004B3369" w:rsidRDefault="004B336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81E1B"/>
    <w:multiLevelType w:val="multilevel"/>
    <w:tmpl w:val="662AECF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80EE0"/>
    <w:multiLevelType w:val="multilevel"/>
    <w:tmpl w:val="FAC4F8F6"/>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811898"/>
    <w:multiLevelType w:val="multilevel"/>
    <w:tmpl w:val="9DAAF24E"/>
    <w:lvl w:ilvl="0">
      <w:start w:val="1"/>
      <w:numFmt w:val="bullet"/>
      <w:lvlText w:val=""/>
      <w:lvlJc w:val="left"/>
      <w:pPr>
        <w:ind w:left="1428" w:hanging="360"/>
      </w:pPr>
      <w:rPr>
        <w:rFonts w:ascii="Wingdings 2" w:hAnsi="Wingdings 2" w:hint="default"/>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1BE55792"/>
    <w:multiLevelType w:val="multilevel"/>
    <w:tmpl w:val="64F8E1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CF17E73"/>
    <w:multiLevelType w:val="multilevel"/>
    <w:tmpl w:val="0A966D78"/>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3871FCE"/>
    <w:multiLevelType w:val="multilevel"/>
    <w:tmpl w:val="45F65E10"/>
    <w:lvl w:ilvl="0">
      <w:start w:val="1"/>
      <w:numFmt w:val="bullet"/>
      <w:lvlText w:val=""/>
      <w:lvlJc w:val="left"/>
      <w:pPr>
        <w:ind w:left="720" w:hanging="360"/>
      </w:pPr>
      <w:rPr>
        <w:rFonts w:ascii="Wingdings 2" w:hAnsi="Wingdings 2" w:hint="default"/>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3F30E1"/>
    <w:multiLevelType w:val="hybridMultilevel"/>
    <w:tmpl w:val="7E2605FC"/>
    <w:lvl w:ilvl="0" w:tplc="CE2A988E">
      <w:start w:val="1"/>
      <w:numFmt w:val="decimal"/>
      <w:pStyle w:val="1titre"/>
      <w:lvlText w:val="%1."/>
      <w:lvlJc w:val="left"/>
      <w:pPr>
        <w:ind w:left="720" w:hanging="360"/>
      </w:pPr>
      <w:rPr>
        <w:rFonts w:hint="default"/>
        <w:color w:val="000000" w:themeColor="text1"/>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C557ACE"/>
    <w:multiLevelType w:val="multilevel"/>
    <w:tmpl w:val="27D46A8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3A604D"/>
    <w:multiLevelType w:val="multilevel"/>
    <w:tmpl w:val="CE6EF270"/>
    <w:lvl w:ilvl="0">
      <w:start w:val="1"/>
      <w:numFmt w:val="bullet"/>
      <w:lvlText w:val=""/>
      <w:lvlJc w:val="left"/>
      <w:pPr>
        <w:ind w:left="1068" w:hanging="360"/>
      </w:pPr>
      <w:rPr>
        <w:rFonts w:ascii="Wingdings 2" w:hAnsi="Wingdings 2" w:hint="default"/>
        <w:color w:val="00000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9" w15:restartNumberingAfterBreak="0">
    <w:nsid w:val="3BFE3D43"/>
    <w:multiLevelType w:val="multilevel"/>
    <w:tmpl w:val="96CEC8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pStyle w:val="Titre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594896"/>
    <w:multiLevelType w:val="multilevel"/>
    <w:tmpl w:val="4718D3C2"/>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183E55"/>
    <w:multiLevelType w:val="multilevel"/>
    <w:tmpl w:val="F1B69C34"/>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4EA12EB8"/>
    <w:multiLevelType w:val="multilevel"/>
    <w:tmpl w:val="5A223694"/>
    <w:lvl w:ilvl="0">
      <w:start w:val="1"/>
      <w:numFmt w:val="bullet"/>
      <w:lvlText w:val=""/>
      <w:lvlJc w:val="left"/>
      <w:pPr>
        <w:ind w:left="1068" w:hanging="360"/>
      </w:pPr>
      <w:rPr>
        <w:rFonts w:ascii="Wingdings 2" w:hAnsi="Wingdings 2" w:hint="default"/>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3" w15:restartNumberingAfterBreak="0">
    <w:nsid w:val="4EAF5603"/>
    <w:multiLevelType w:val="multilevel"/>
    <w:tmpl w:val="029A3164"/>
    <w:lvl w:ilvl="0">
      <w:start w:val="1"/>
      <w:numFmt w:val="bullet"/>
      <w:lvlText w:val="•"/>
      <w:lvlJc w:val="left"/>
      <w:pPr>
        <w:ind w:left="1068" w:hanging="360"/>
      </w:pPr>
      <w:rPr>
        <w:rFonts w:ascii="Noto Sans Symbols" w:eastAsia="Noto Sans Symbols" w:hAnsi="Noto Sans Symbols" w:cs="Noto Sans Symbols"/>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4" w15:restartNumberingAfterBreak="0">
    <w:nsid w:val="560A03C0"/>
    <w:multiLevelType w:val="multilevel"/>
    <w:tmpl w:val="92B488E4"/>
    <w:lvl w:ilvl="0">
      <w:start w:val="1"/>
      <w:numFmt w:val="bullet"/>
      <w:lvlText w:val=""/>
      <w:lvlJc w:val="left"/>
      <w:pPr>
        <w:ind w:left="1068" w:hanging="360"/>
      </w:pPr>
      <w:rPr>
        <w:rFonts w:ascii="Wingdings 2" w:hAnsi="Wingdings 2" w:hint="default"/>
        <w:color w:val="00000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5" w15:restartNumberingAfterBreak="0">
    <w:nsid w:val="5F186C71"/>
    <w:multiLevelType w:val="multilevel"/>
    <w:tmpl w:val="D8D049F6"/>
    <w:lvl w:ilvl="0">
      <w:start w:val="1"/>
      <w:numFmt w:val="bullet"/>
      <w:lvlText w:val="•"/>
      <w:lvlJc w:val="left"/>
      <w:pPr>
        <w:ind w:left="1068" w:hanging="360"/>
      </w:pPr>
      <w:rPr>
        <w:rFonts w:ascii="Noto Sans Symbols" w:eastAsia="Noto Sans Symbols" w:hAnsi="Noto Sans Symbols" w:cs="Noto Sans Symbols"/>
        <w:color w:val="000000"/>
        <w:sz w:val="12"/>
        <w:szCs w:val="12"/>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6" w15:restartNumberingAfterBreak="0">
    <w:nsid w:val="67FE3F84"/>
    <w:multiLevelType w:val="multilevel"/>
    <w:tmpl w:val="DF6CEDDE"/>
    <w:lvl w:ilvl="0">
      <w:start w:val="1"/>
      <w:numFmt w:val="bullet"/>
      <w:lvlText w:val="o"/>
      <w:lvlJc w:val="left"/>
      <w:pPr>
        <w:ind w:left="1428" w:hanging="360"/>
      </w:pPr>
      <w:rPr>
        <w:rFonts w:ascii="Courier New" w:eastAsia="Courier New" w:hAnsi="Courier New" w:cs="Courier New"/>
        <w:color w:val="0070C0"/>
        <w:sz w:val="20"/>
        <w:szCs w:val="20"/>
      </w:rPr>
    </w:lvl>
    <w:lvl w:ilvl="1">
      <w:start w:val="1"/>
      <w:numFmt w:val="bullet"/>
      <w:lvlText w:val="●"/>
      <w:lvlJc w:val="left"/>
      <w:pPr>
        <w:ind w:left="3192" w:hanging="360"/>
      </w:pPr>
      <w:rPr>
        <w:rFonts w:ascii="Noto Sans Symbols" w:eastAsia="Noto Sans Symbols" w:hAnsi="Noto Sans Symbols" w:cs="Noto Sans Symbols"/>
        <w:sz w:val="20"/>
        <w:szCs w:val="20"/>
      </w:rPr>
    </w:lvl>
    <w:lvl w:ilvl="2">
      <w:start w:val="1"/>
      <w:numFmt w:val="lowerRoman"/>
      <w:lvlText w:val="%3."/>
      <w:lvlJc w:val="right"/>
      <w:pPr>
        <w:ind w:left="3912" w:hanging="180"/>
      </w:pPr>
    </w:lvl>
    <w:lvl w:ilvl="3">
      <w:start w:val="1"/>
      <w:numFmt w:val="decimal"/>
      <w:lvlText w:val="%4."/>
      <w:lvlJc w:val="left"/>
      <w:pPr>
        <w:ind w:left="4632" w:hanging="360"/>
      </w:pPr>
    </w:lvl>
    <w:lvl w:ilvl="4">
      <w:start w:val="1"/>
      <w:numFmt w:val="lowerLetter"/>
      <w:lvlText w:val="%5."/>
      <w:lvlJc w:val="left"/>
      <w:pPr>
        <w:ind w:left="5352" w:hanging="360"/>
      </w:pPr>
    </w:lvl>
    <w:lvl w:ilvl="5">
      <w:start w:val="1"/>
      <w:numFmt w:val="lowerRoman"/>
      <w:lvlText w:val="%6."/>
      <w:lvlJc w:val="right"/>
      <w:pPr>
        <w:ind w:left="6072" w:hanging="180"/>
      </w:pPr>
    </w:lvl>
    <w:lvl w:ilvl="6">
      <w:start w:val="1"/>
      <w:numFmt w:val="decimal"/>
      <w:lvlText w:val="%7."/>
      <w:lvlJc w:val="left"/>
      <w:pPr>
        <w:ind w:left="6792" w:hanging="360"/>
      </w:pPr>
    </w:lvl>
    <w:lvl w:ilvl="7">
      <w:start w:val="1"/>
      <w:numFmt w:val="lowerLetter"/>
      <w:lvlText w:val="%8."/>
      <w:lvlJc w:val="left"/>
      <w:pPr>
        <w:ind w:left="7512" w:hanging="360"/>
      </w:pPr>
    </w:lvl>
    <w:lvl w:ilvl="8">
      <w:start w:val="1"/>
      <w:numFmt w:val="lowerRoman"/>
      <w:lvlText w:val="%9."/>
      <w:lvlJc w:val="right"/>
      <w:pPr>
        <w:ind w:left="8232" w:hanging="180"/>
      </w:pPr>
    </w:lvl>
  </w:abstractNum>
  <w:abstractNum w:abstractNumId="17" w15:restartNumberingAfterBreak="0">
    <w:nsid w:val="6E9C387A"/>
    <w:multiLevelType w:val="multilevel"/>
    <w:tmpl w:val="8AC4EFA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787742F7"/>
    <w:multiLevelType w:val="multilevel"/>
    <w:tmpl w:val="6E900C34"/>
    <w:lvl w:ilvl="0">
      <w:start w:val="1"/>
      <w:numFmt w:val="bullet"/>
      <w:lvlText w:val="•"/>
      <w:lvlJc w:val="left"/>
      <w:pPr>
        <w:ind w:left="1068" w:hanging="360"/>
      </w:pPr>
      <w:rPr>
        <w:rFonts w:ascii="Noto Sans Symbols" w:eastAsia="Noto Sans Symbols" w:hAnsi="Noto Sans Symbols" w:cs="Noto Sans Symbols"/>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9" w15:restartNumberingAfterBreak="0">
    <w:nsid w:val="7F692767"/>
    <w:multiLevelType w:val="hybridMultilevel"/>
    <w:tmpl w:val="4C2EF8F6"/>
    <w:lvl w:ilvl="0" w:tplc="91504562">
      <w:start w:val="1"/>
      <w:numFmt w:val="decimal"/>
      <w:pStyle w:val="pointscls1"/>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976450999">
    <w:abstractNumId w:val="1"/>
  </w:num>
  <w:num w:numId="2" w16cid:durableId="1579822130">
    <w:abstractNumId w:val="6"/>
  </w:num>
  <w:num w:numId="3" w16cid:durableId="2103211215">
    <w:abstractNumId w:val="19"/>
  </w:num>
  <w:num w:numId="4" w16cid:durableId="762844049">
    <w:abstractNumId w:val="9"/>
  </w:num>
  <w:num w:numId="5" w16cid:durableId="441344543">
    <w:abstractNumId w:val="0"/>
  </w:num>
  <w:num w:numId="6" w16cid:durableId="1488325624">
    <w:abstractNumId w:val="4"/>
  </w:num>
  <w:num w:numId="7" w16cid:durableId="1698308685">
    <w:abstractNumId w:val="17"/>
  </w:num>
  <w:num w:numId="8" w16cid:durableId="2135251152">
    <w:abstractNumId w:val="5"/>
  </w:num>
  <w:num w:numId="9" w16cid:durableId="1824277082">
    <w:abstractNumId w:val="8"/>
  </w:num>
  <w:num w:numId="10" w16cid:durableId="573197458">
    <w:abstractNumId w:val="14"/>
  </w:num>
  <w:num w:numId="11" w16cid:durableId="1612279443">
    <w:abstractNumId w:val="15"/>
  </w:num>
  <w:num w:numId="12" w16cid:durableId="974797429">
    <w:abstractNumId w:val="18"/>
  </w:num>
  <w:num w:numId="13" w16cid:durableId="1876037036">
    <w:abstractNumId w:val="16"/>
  </w:num>
  <w:num w:numId="14" w16cid:durableId="1956600470">
    <w:abstractNumId w:val="2"/>
  </w:num>
  <w:num w:numId="15" w16cid:durableId="1450511709">
    <w:abstractNumId w:val="13"/>
  </w:num>
  <w:num w:numId="16" w16cid:durableId="1844007841">
    <w:abstractNumId w:val="12"/>
  </w:num>
  <w:num w:numId="17" w16cid:durableId="159927092">
    <w:abstractNumId w:val="10"/>
  </w:num>
  <w:num w:numId="18" w16cid:durableId="1113016256">
    <w:abstractNumId w:val="3"/>
  </w:num>
  <w:num w:numId="19" w16cid:durableId="1159687922">
    <w:abstractNumId w:val="11"/>
  </w:num>
  <w:num w:numId="20" w16cid:durableId="1981880156">
    <w:abstractNumId w:val="7"/>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626F1"/>
    <w:rsid w:val="00083536"/>
    <w:rsid w:val="000B56A5"/>
    <w:rsid w:val="000E568F"/>
    <w:rsid w:val="0010541F"/>
    <w:rsid w:val="00114750"/>
    <w:rsid w:val="001B08D6"/>
    <w:rsid w:val="001C2618"/>
    <w:rsid w:val="001C54DE"/>
    <w:rsid w:val="001D386C"/>
    <w:rsid w:val="001D48B0"/>
    <w:rsid w:val="00236555"/>
    <w:rsid w:val="002C5A5E"/>
    <w:rsid w:val="002C7C57"/>
    <w:rsid w:val="00306201"/>
    <w:rsid w:val="00362251"/>
    <w:rsid w:val="00375B9C"/>
    <w:rsid w:val="003C3137"/>
    <w:rsid w:val="003D376E"/>
    <w:rsid w:val="003E5332"/>
    <w:rsid w:val="0041733F"/>
    <w:rsid w:val="00447337"/>
    <w:rsid w:val="00454A58"/>
    <w:rsid w:val="00462C2B"/>
    <w:rsid w:val="00475741"/>
    <w:rsid w:val="004B3369"/>
    <w:rsid w:val="004B3B0C"/>
    <w:rsid w:val="004B4A90"/>
    <w:rsid w:val="004D552E"/>
    <w:rsid w:val="005478B4"/>
    <w:rsid w:val="005645B3"/>
    <w:rsid w:val="005B6A3A"/>
    <w:rsid w:val="005F05D0"/>
    <w:rsid w:val="00614CBE"/>
    <w:rsid w:val="00665E5D"/>
    <w:rsid w:val="00696E6A"/>
    <w:rsid w:val="006F3E0E"/>
    <w:rsid w:val="00711BBF"/>
    <w:rsid w:val="00717C5F"/>
    <w:rsid w:val="00740926"/>
    <w:rsid w:val="00760B5C"/>
    <w:rsid w:val="00776EA2"/>
    <w:rsid w:val="007F6BF8"/>
    <w:rsid w:val="00822CB5"/>
    <w:rsid w:val="0082796C"/>
    <w:rsid w:val="008541CD"/>
    <w:rsid w:val="0087650C"/>
    <w:rsid w:val="00876EF8"/>
    <w:rsid w:val="0088205E"/>
    <w:rsid w:val="00895A52"/>
    <w:rsid w:val="00896114"/>
    <w:rsid w:val="008964D8"/>
    <w:rsid w:val="0089667B"/>
    <w:rsid w:val="008B41F0"/>
    <w:rsid w:val="008D0B6D"/>
    <w:rsid w:val="008D7B43"/>
    <w:rsid w:val="008E6467"/>
    <w:rsid w:val="00907A92"/>
    <w:rsid w:val="009175F9"/>
    <w:rsid w:val="00930986"/>
    <w:rsid w:val="00942BB1"/>
    <w:rsid w:val="00995C77"/>
    <w:rsid w:val="009D6997"/>
    <w:rsid w:val="009E29E0"/>
    <w:rsid w:val="00A50182"/>
    <w:rsid w:val="00A54E85"/>
    <w:rsid w:val="00A65C23"/>
    <w:rsid w:val="00AC56AB"/>
    <w:rsid w:val="00AD3F49"/>
    <w:rsid w:val="00AF2941"/>
    <w:rsid w:val="00B24E4B"/>
    <w:rsid w:val="00B33C89"/>
    <w:rsid w:val="00B63810"/>
    <w:rsid w:val="00BC1F3F"/>
    <w:rsid w:val="00BC5580"/>
    <w:rsid w:val="00BE1ECC"/>
    <w:rsid w:val="00C2589B"/>
    <w:rsid w:val="00C65E3C"/>
    <w:rsid w:val="00CC4FD4"/>
    <w:rsid w:val="00D02748"/>
    <w:rsid w:val="00D12181"/>
    <w:rsid w:val="00D4011F"/>
    <w:rsid w:val="00D55DF5"/>
    <w:rsid w:val="00E22E24"/>
    <w:rsid w:val="00E420F7"/>
    <w:rsid w:val="00E54D0A"/>
    <w:rsid w:val="00E84981"/>
    <w:rsid w:val="00E97955"/>
    <w:rsid w:val="00EC1890"/>
    <w:rsid w:val="00ED0F5F"/>
    <w:rsid w:val="00EE0D03"/>
    <w:rsid w:val="00F03B9C"/>
    <w:rsid w:val="00F75368"/>
    <w:rsid w:val="00F90151"/>
    <w:rsid w:val="00FB180E"/>
    <w:rsid w:val="00FE57EC"/>
    <w:rsid w:val="00FF4F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Titre4"/>
    <w:next w:val="Normal"/>
    <w:link w:val="Titre5Car"/>
    <w:uiPriority w:val="9"/>
    <w:unhideWhenUsed/>
    <w:qFormat/>
    <w:rsid w:val="00AD3F49"/>
    <w:pPr>
      <w:numPr>
        <w:ilvl w:val="3"/>
      </w:numPr>
      <w:ind w:left="1985" w:hanging="905"/>
      <w:outlineLvl w:val="4"/>
    </w:p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rsid w:val="00AD3F49"/>
    <w:rPr>
      <w:rFonts w:ascii="Trebuchet MS" w:eastAsia="Trebuchet MS" w:hAnsi="Trebuchet MS" w:cs="Trebuchet MS"/>
      <w:b/>
      <w:bCs/>
      <w:color w:val="000000"/>
      <w:kern w:val="0"/>
      <w:szCs w:val="20"/>
      <w:lang w:val="fr" w:eastAsia="fr-FR"/>
      <w14:ligatures w14:val="none"/>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
    <w:name w:val="points clés 1"/>
    <w:basedOn w:val="Normal"/>
    <w:link w:val="pointscls1Car"/>
    <w:qFormat/>
    <w:rsid w:val="006F3E0E"/>
    <w:pPr>
      <w:numPr>
        <w:numId w:val="3"/>
      </w:numPr>
      <w:pBdr>
        <w:top w:val="single" w:sz="4" w:space="1" w:color="747474" w:themeColor="background2" w:themeShade="80"/>
        <w:left w:val="single" w:sz="4" w:space="4" w:color="747474" w:themeColor="background2" w:themeShade="80"/>
        <w:bottom w:val="single" w:sz="4" w:space="0" w:color="747474" w:themeColor="background2" w:themeShade="80"/>
        <w:right w:val="single" w:sz="4" w:space="4" w:color="747474" w:themeColor="background2" w:themeShade="80"/>
      </w:pBdr>
      <w:spacing w:before="40" w:line="276" w:lineRule="auto"/>
      <w:ind w:left="426" w:right="141" w:hanging="284"/>
    </w:pPr>
    <w:rPr>
      <w:sz w:val="18"/>
      <w:szCs w:val="18"/>
    </w:rPr>
  </w:style>
  <w:style w:type="character" w:customStyle="1" w:styleId="pointscls1Car">
    <w:name w:val="points clés 1 Car"/>
    <w:basedOn w:val="Policepardfaut"/>
    <w:link w:val="pointscls1"/>
    <w:rsid w:val="006F3E0E"/>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34"/>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table" w:styleId="Grilledutableau">
    <w:name w:val="Table Grid"/>
    <w:basedOn w:val="TableauNormal"/>
    <w:uiPriority w:val="39"/>
    <w:rsid w:val="00A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6F3E0E"/>
    <w:pPr>
      <w:jc w:val="both"/>
    </w:pPr>
    <w:rPr>
      <w:rFonts w:ascii="Trebuchet MS" w:eastAsia="Trebuchet MS" w:hAnsi="Trebuchet MS" w:cs="Trebuchet MS"/>
      <w:kern w:val="0"/>
      <w:szCs w:val="20"/>
      <w:lang w:val="fr" w:eastAsia="fr-FR"/>
      <w14:ligatures w14:val="none"/>
    </w:rPr>
    <w:tblPr>
      <w:tblCellMar>
        <w:top w:w="100" w:type="dxa"/>
        <w:left w:w="100" w:type="dxa"/>
        <w:bottom w:w="100" w:type="dxa"/>
        <w:right w:w="100" w:type="dxa"/>
      </w:tblCellMar>
    </w:tblPr>
  </w:style>
  <w:style w:type="paragraph" w:customStyle="1" w:styleId="pieddepage">
    <w:name w:val="pied de page"/>
    <w:basedOn w:val="Normal"/>
    <w:link w:val="pieddepageCar"/>
    <w:qFormat/>
    <w:rsid w:val="00E97955"/>
    <w:pPr>
      <w:pBdr>
        <w:top w:val="nil"/>
        <w:left w:val="nil"/>
        <w:bottom w:val="nil"/>
        <w:right w:val="nil"/>
        <w:between w:val="nil"/>
      </w:pBdr>
      <w:spacing w:line="240" w:lineRule="auto"/>
    </w:pPr>
    <w:rPr>
      <w:rFonts w:ascii="Arial" w:eastAsia="Arial" w:hAnsi="Arial" w:cs="Arial"/>
      <w:sz w:val="16"/>
      <w:szCs w:val="16"/>
    </w:rPr>
  </w:style>
  <w:style w:type="character" w:customStyle="1" w:styleId="pieddepageCar">
    <w:name w:val="pied de page Car"/>
    <w:basedOn w:val="Policepardfaut"/>
    <w:link w:val="pieddepage"/>
    <w:rsid w:val="00E97955"/>
    <w:rPr>
      <w:rFonts w:ascii="Arial" w:eastAsia="Arial" w:hAnsi="Arial" w:cs="Arial"/>
      <w:color w:val="000000"/>
      <w:kern w:val="0"/>
      <w:sz w:val="16"/>
      <w:szCs w:val="16"/>
      <w:lang w:val="fr" w:eastAsia="fr-FR"/>
      <w14:ligatures w14:val="none"/>
    </w:rPr>
  </w:style>
  <w:style w:type="paragraph" w:styleId="En-tte">
    <w:name w:val="header"/>
    <w:aliases w:val="Car"/>
    <w:basedOn w:val="Normal"/>
    <w:link w:val="En-tteCar"/>
    <w:unhideWhenUsed/>
    <w:rsid w:val="004B3369"/>
    <w:pPr>
      <w:tabs>
        <w:tab w:val="center" w:pos="4536"/>
        <w:tab w:val="right" w:pos="9072"/>
      </w:tabs>
      <w:spacing w:line="240" w:lineRule="auto"/>
    </w:pPr>
  </w:style>
  <w:style w:type="character" w:customStyle="1" w:styleId="En-tteCar">
    <w:name w:val="En-tête Car"/>
    <w:aliases w:val="Car Car"/>
    <w:basedOn w:val="Policepardfaut"/>
    <w:link w:val="En-tte"/>
    <w:rsid w:val="004B3369"/>
    <w:rPr>
      <w:rFonts w:ascii="Trebuchet MS" w:eastAsia="Trebuchet MS" w:hAnsi="Trebuchet MS" w:cs="Trebuchet MS"/>
      <w:color w:val="000000"/>
      <w:kern w:val="0"/>
      <w:szCs w:val="20"/>
      <w:lang w:val="fr" w:eastAsia="fr-FR"/>
      <w14:ligatures w14:val="none"/>
    </w:rPr>
  </w:style>
  <w:style w:type="paragraph" w:styleId="Pieddepage0">
    <w:name w:val="footer"/>
    <w:basedOn w:val="Normal"/>
    <w:link w:val="PieddepageCar0"/>
    <w:uiPriority w:val="99"/>
    <w:unhideWhenUsed/>
    <w:rsid w:val="004B3369"/>
    <w:pPr>
      <w:tabs>
        <w:tab w:val="center" w:pos="4536"/>
        <w:tab w:val="right" w:pos="9072"/>
      </w:tabs>
      <w:spacing w:line="240" w:lineRule="auto"/>
    </w:pPr>
  </w:style>
  <w:style w:type="character" w:customStyle="1" w:styleId="PieddepageCar0">
    <w:name w:val="Pied de page Car"/>
    <w:basedOn w:val="Policepardfaut"/>
    <w:link w:val="Pieddepage0"/>
    <w:uiPriority w:val="99"/>
    <w:rsid w:val="004B3369"/>
    <w:rPr>
      <w:rFonts w:ascii="Trebuchet MS" w:eastAsia="Trebuchet MS" w:hAnsi="Trebuchet MS" w:cs="Trebuchet M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png"/><Relationship Id="rId42" Type="http://schemas.openxmlformats.org/officeDocument/2006/relationships/image" Target="media/image33.jp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neumotox.com" TargetMode="External"/><Relationship Id="rId29" Type="http://schemas.openxmlformats.org/officeDocument/2006/relationships/image" Target="media/image20.jp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eg"/><Relationship Id="rId43" Type="http://schemas.openxmlformats.org/officeDocument/2006/relationships/image" Target="media/image34.jpg"/><Relationship Id="rId48"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neumotox.com" TargetMode="External"/><Relationship Id="rId23" Type="http://schemas.openxmlformats.org/officeDocument/2006/relationships/image" Target="media/image14.pn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31</Pages>
  <Words>5168</Words>
  <Characters>31736</Characters>
  <Application>Microsoft Office Word</Application>
  <DocSecurity>0</DocSecurity>
  <Lines>991</Lines>
  <Paragraphs>585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64</cp:revision>
  <dcterms:created xsi:type="dcterms:W3CDTF">2026-06-02T14:47:00Z</dcterms:created>
  <dcterms:modified xsi:type="dcterms:W3CDTF">2026-09-11T11:57:00Z</dcterms:modified>
</cp:coreProperties>
</file>