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385511" w14:textId="26AC6965" w:rsidR="00E84981" w:rsidRDefault="00AC5BA0" w:rsidP="00362251">
      <w:pPr>
        <w:rPr>
          <w:color w:val="2E74B5"/>
          <w:sz w:val="44"/>
          <w:szCs w:val="44"/>
        </w:rPr>
      </w:pPr>
      <w:bookmarkStart w:id="0" w:name="_heading=h.1i89k7blplbp" w:colFirst="0" w:colLast="0"/>
      <w:bookmarkEnd w:id="0"/>
      <w:r w:rsidRPr="00357D58">
        <w:rPr>
          <w:noProof/>
        </w:rPr>
        <w:drawing>
          <wp:anchor distT="0" distB="0" distL="114300" distR="114300" simplePos="0" relativeHeight="251926528" behindDoc="0" locked="0" layoutInCell="1" allowOverlap="1" wp14:anchorId="3F53FF37" wp14:editId="6913B160">
            <wp:simplePos x="0" y="0"/>
            <wp:positionH relativeFrom="column">
              <wp:posOffset>-704996</wp:posOffset>
            </wp:positionH>
            <wp:positionV relativeFrom="paragraph">
              <wp:posOffset>-851578</wp:posOffset>
            </wp:positionV>
            <wp:extent cx="950400" cy="1296000"/>
            <wp:effectExtent l="0" t="0" r="2540" b="0"/>
            <wp:wrapNone/>
            <wp:docPr id="329665740" name="Image 3296657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0400" cy="129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F3E0E">
        <w:rPr>
          <w:noProof/>
        </w:rPr>
        <w:drawing>
          <wp:anchor distT="0" distB="0" distL="114300" distR="114300" simplePos="0" relativeHeight="251892736" behindDoc="0" locked="0" layoutInCell="1" hidden="0" allowOverlap="1" wp14:anchorId="5FD76B83" wp14:editId="052B5407">
            <wp:simplePos x="0" y="0"/>
            <wp:positionH relativeFrom="margin">
              <wp:align>right</wp:align>
            </wp:positionH>
            <wp:positionV relativeFrom="paragraph">
              <wp:posOffset>497</wp:posOffset>
            </wp:positionV>
            <wp:extent cx="1081586" cy="1440000"/>
            <wp:effectExtent l="0" t="0" r="4445" b="8255"/>
            <wp:wrapSquare wrapText="bothSides" distT="0" distB="0" distL="114300" distR="114300"/>
            <wp:docPr id="1436124676"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9"/>
                    <a:srcRect/>
                    <a:stretch>
                      <a:fillRect/>
                    </a:stretch>
                  </pic:blipFill>
                  <pic:spPr>
                    <a:xfrm>
                      <a:off x="0" y="0"/>
                      <a:ext cx="1081586" cy="1440000"/>
                    </a:xfrm>
                    <a:prstGeom prst="rect">
                      <a:avLst/>
                    </a:prstGeom>
                    <a:ln/>
                  </pic:spPr>
                </pic:pic>
              </a:graphicData>
            </a:graphic>
          </wp:anchor>
        </w:drawing>
      </w:r>
    </w:p>
    <w:p w14:paraId="3B8B012C" w14:textId="71F53966" w:rsidR="00876EF8" w:rsidRPr="00A54E85" w:rsidRDefault="00876EF8" w:rsidP="00362251">
      <w:pPr>
        <w:rPr>
          <w:color w:val="2E74B5"/>
          <w:sz w:val="14"/>
          <w:szCs w:val="14"/>
        </w:rPr>
      </w:pPr>
      <w:bookmarkStart w:id="1" w:name="_heading=h.okbxcyd5wsjy" w:colFirst="0" w:colLast="0"/>
      <w:bookmarkEnd w:id="1"/>
    </w:p>
    <w:p w14:paraId="30F39325" w14:textId="236E25DB" w:rsidR="00876EF8" w:rsidRPr="00E84981" w:rsidRDefault="00E84981" w:rsidP="00E84981">
      <w:pPr>
        <w:pStyle w:val="Titre1"/>
      </w:pPr>
      <w:r w:rsidRPr="00E84981">
        <w:t>Item </w:t>
      </w:r>
      <w:bookmarkStart w:id="2" w:name="_heading=h.j7k05ddw17s6" w:colFirst="0" w:colLast="0"/>
      <w:bookmarkEnd w:id="2"/>
      <w:r w:rsidR="006F3E0E">
        <w:t>209 – Bronchopneumopathie chronique obstructive (BPCO)</w:t>
      </w:r>
    </w:p>
    <w:p w14:paraId="58CCE89C" w14:textId="77777777" w:rsidR="00876EF8" w:rsidRDefault="00876EF8" w:rsidP="00362251"/>
    <w:p w14:paraId="1D7886DB" w14:textId="77777777" w:rsidR="00E84981" w:rsidRDefault="00E84981" w:rsidP="00362251">
      <w:pPr>
        <w:rPr>
          <w:sz w:val="10"/>
          <w:szCs w:val="10"/>
        </w:rPr>
      </w:pPr>
    </w:p>
    <w:p w14:paraId="42228953" w14:textId="77777777" w:rsidR="00717C5F" w:rsidRPr="00E84981" w:rsidRDefault="00717C5F" w:rsidP="00362251">
      <w:pPr>
        <w:rPr>
          <w:sz w:val="10"/>
          <w:szCs w:val="10"/>
        </w:rPr>
      </w:pPr>
    </w:p>
    <w:tbl>
      <w:tblPr>
        <w:tblW w:w="9012" w:type="dxa"/>
        <w:tblInd w:w="55"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ayout w:type="fixed"/>
        <w:tblLook w:val="0400" w:firstRow="0" w:lastRow="0" w:firstColumn="0" w:lastColumn="0" w:noHBand="0" w:noVBand="1"/>
      </w:tblPr>
      <w:tblGrid>
        <w:gridCol w:w="640"/>
        <w:gridCol w:w="2419"/>
        <w:gridCol w:w="5953"/>
      </w:tblGrid>
      <w:tr w:rsidR="0087650C" w:rsidRPr="00A54E85" w14:paraId="38EB26A0" w14:textId="77777777" w:rsidTr="006F3E0E">
        <w:trPr>
          <w:trHeight w:val="201"/>
        </w:trPr>
        <w:tc>
          <w:tcPr>
            <w:tcW w:w="640" w:type="dxa"/>
            <w:shd w:val="clear" w:color="auto" w:fill="D1D1D1" w:themeFill="background2" w:themeFillShade="E6"/>
            <w:vAlign w:val="center"/>
          </w:tcPr>
          <w:p w14:paraId="4E8BCBCE" w14:textId="77777777" w:rsidR="0087650C" w:rsidRPr="00A54E85" w:rsidRDefault="0087650C" w:rsidP="00F44AC4">
            <w:pPr>
              <w:spacing w:line="240" w:lineRule="auto"/>
              <w:jc w:val="center"/>
              <w:rPr>
                <w:rFonts w:ascii="Calibri" w:eastAsia="Calibri" w:hAnsi="Calibri" w:cs="Calibri"/>
                <w:b/>
                <w:bCs/>
                <w:color w:val="000000" w:themeColor="text1"/>
              </w:rPr>
            </w:pPr>
            <w:r w:rsidRPr="00A54E85">
              <w:rPr>
                <w:rFonts w:ascii="Calibri" w:eastAsia="Calibri" w:hAnsi="Calibri" w:cs="Calibri"/>
                <w:b/>
                <w:bCs/>
                <w:color w:val="000000" w:themeColor="text1"/>
              </w:rPr>
              <w:t>Rang</w:t>
            </w:r>
          </w:p>
        </w:tc>
        <w:tc>
          <w:tcPr>
            <w:tcW w:w="2419" w:type="dxa"/>
            <w:shd w:val="clear" w:color="auto" w:fill="D1D1D1" w:themeFill="background2" w:themeFillShade="E6"/>
            <w:vAlign w:val="center"/>
          </w:tcPr>
          <w:p w14:paraId="64166F82" w14:textId="77777777" w:rsidR="0087650C" w:rsidRPr="00A54E85" w:rsidRDefault="0087650C" w:rsidP="00F44AC4">
            <w:pPr>
              <w:spacing w:line="240" w:lineRule="auto"/>
              <w:jc w:val="center"/>
              <w:rPr>
                <w:rFonts w:ascii="Calibri" w:eastAsia="Calibri" w:hAnsi="Calibri" w:cs="Calibri"/>
                <w:b/>
                <w:bCs/>
                <w:color w:val="000000" w:themeColor="text1"/>
              </w:rPr>
            </w:pPr>
            <w:r w:rsidRPr="00A54E85">
              <w:rPr>
                <w:rFonts w:ascii="Calibri" w:eastAsia="Calibri" w:hAnsi="Calibri" w:cs="Calibri"/>
                <w:b/>
                <w:bCs/>
                <w:color w:val="000000" w:themeColor="text1"/>
              </w:rPr>
              <w:t>Rubrique</w:t>
            </w:r>
          </w:p>
        </w:tc>
        <w:tc>
          <w:tcPr>
            <w:tcW w:w="5953" w:type="dxa"/>
            <w:shd w:val="clear" w:color="auto" w:fill="D1D1D1" w:themeFill="background2" w:themeFillShade="E6"/>
          </w:tcPr>
          <w:p w14:paraId="4BC0A79E" w14:textId="77777777" w:rsidR="0087650C" w:rsidRPr="00A54E85" w:rsidRDefault="0087650C" w:rsidP="00F44AC4">
            <w:pPr>
              <w:spacing w:line="240" w:lineRule="auto"/>
              <w:jc w:val="center"/>
              <w:rPr>
                <w:rFonts w:ascii="Calibri" w:eastAsia="Calibri" w:hAnsi="Calibri" w:cs="Calibri"/>
                <w:b/>
                <w:bCs/>
                <w:color w:val="000000" w:themeColor="text1"/>
              </w:rPr>
            </w:pPr>
            <w:r w:rsidRPr="00A54E85">
              <w:rPr>
                <w:rFonts w:ascii="Calibri" w:eastAsia="Calibri" w:hAnsi="Calibri" w:cs="Calibri"/>
                <w:b/>
                <w:bCs/>
                <w:color w:val="000000" w:themeColor="text1"/>
              </w:rPr>
              <w:t>Intitulé des connaissances</w:t>
            </w:r>
          </w:p>
        </w:tc>
      </w:tr>
      <w:tr w:rsidR="006F3E0E" w:rsidRPr="00A54E85" w14:paraId="544C774E" w14:textId="77777777" w:rsidTr="006F3E0E">
        <w:trPr>
          <w:trHeight w:val="32"/>
        </w:trPr>
        <w:tc>
          <w:tcPr>
            <w:tcW w:w="640" w:type="dxa"/>
            <w:vAlign w:val="center"/>
          </w:tcPr>
          <w:p w14:paraId="303593E1" w14:textId="5BE79B14" w:rsidR="006F3E0E" w:rsidRPr="00A54E85" w:rsidRDefault="006F3E0E" w:rsidP="006F3E0E">
            <w:pPr>
              <w:spacing w:line="240" w:lineRule="auto"/>
              <w:jc w:val="center"/>
              <w:rPr>
                <w:rFonts w:ascii="Calibri" w:eastAsia="Calibri" w:hAnsi="Calibri" w:cs="Calibri"/>
              </w:rPr>
            </w:pPr>
            <w:r>
              <w:rPr>
                <w:rFonts w:ascii="Calibri" w:eastAsia="Calibri" w:hAnsi="Calibri" w:cs="Calibri"/>
                <w:color w:val="0070C0"/>
              </w:rPr>
              <w:t>B</w:t>
            </w:r>
          </w:p>
        </w:tc>
        <w:tc>
          <w:tcPr>
            <w:tcW w:w="2419" w:type="dxa"/>
            <w:vAlign w:val="center"/>
          </w:tcPr>
          <w:p w14:paraId="1276EAB8" w14:textId="17670D6E" w:rsidR="006F3E0E" w:rsidRPr="00A54E85" w:rsidRDefault="006F3E0E" w:rsidP="006F3E0E">
            <w:pPr>
              <w:spacing w:line="240" w:lineRule="auto"/>
              <w:jc w:val="left"/>
              <w:rPr>
                <w:rFonts w:ascii="Calibri" w:eastAsia="Calibri" w:hAnsi="Calibri" w:cs="Calibri"/>
              </w:rPr>
            </w:pPr>
            <w:r>
              <w:rPr>
                <w:rFonts w:ascii="Calibri" w:eastAsia="Calibri" w:hAnsi="Calibri" w:cs="Calibri"/>
                <w:color w:val="0070C0"/>
              </w:rPr>
              <w:t>Contenu multimédia</w:t>
            </w:r>
          </w:p>
        </w:tc>
        <w:tc>
          <w:tcPr>
            <w:tcW w:w="5953" w:type="dxa"/>
          </w:tcPr>
          <w:p w14:paraId="77174F5C" w14:textId="713F61D7" w:rsidR="006F3E0E" w:rsidRPr="00A54E85" w:rsidRDefault="006F3E0E" w:rsidP="006F3E0E">
            <w:pPr>
              <w:spacing w:line="240" w:lineRule="auto"/>
              <w:rPr>
                <w:rFonts w:ascii="Calibri" w:eastAsia="Calibri" w:hAnsi="Calibri" w:cs="Calibri"/>
              </w:rPr>
            </w:pPr>
            <w:r>
              <w:rPr>
                <w:rFonts w:ascii="Calibri" w:eastAsia="Calibri" w:hAnsi="Calibri" w:cs="Calibri"/>
                <w:color w:val="0070C0"/>
              </w:rPr>
              <w:t>Exemple de Radiographie thoracique BPCO</w:t>
            </w:r>
          </w:p>
        </w:tc>
      </w:tr>
      <w:tr w:rsidR="006F3E0E" w:rsidRPr="00A54E85" w14:paraId="464EB220" w14:textId="77777777" w:rsidTr="006F3E0E">
        <w:trPr>
          <w:trHeight w:val="32"/>
        </w:trPr>
        <w:tc>
          <w:tcPr>
            <w:tcW w:w="640" w:type="dxa"/>
            <w:vAlign w:val="center"/>
          </w:tcPr>
          <w:p w14:paraId="1489C0FB" w14:textId="42AC86AC" w:rsidR="006F3E0E" w:rsidRPr="00A54E85" w:rsidRDefault="006F3E0E" w:rsidP="006F3E0E">
            <w:pPr>
              <w:spacing w:line="240" w:lineRule="auto"/>
              <w:jc w:val="center"/>
              <w:rPr>
                <w:rFonts w:ascii="Calibri" w:eastAsia="Calibri" w:hAnsi="Calibri" w:cs="Calibri"/>
              </w:rPr>
            </w:pPr>
            <w:r>
              <w:rPr>
                <w:rFonts w:ascii="Calibri" w:eastAsia="Calibri" w:hAnsi="Calibri" w:cs="Calibri"/>
              </w:rPr>
              <w:t>A</w:t>
            </w:r>
          </w:p>
        </w:tc>
        <w:tc>
          <w:tcPr>
            <w:tcW w:w="2419" w:type="dxa"/>
            <w:vAlign w:val="center"/>
          </w:tcPr>
          <w:p w14:paraId="03BD2844" w14:textId="68D6DA35" w:rsidR="006F3E0E" w:rsidRPr="00A54E85" w:rsidRDefault="006F3E0E" w:rsidP="006F3E0E">
            <w:pPr>
              <w:spacing w:line="240" w:lineRule="auto"/>
              <w:jc w:val="left"/>
              <w:rPr>
                <w:rFonts w:ascii="Calibri" w:eastAsia="Calibri" w:hAnsi="Calibri" w:cs="Calibri"/>
              </w:rPr>
            </w:pPr>
            <w:r>
              <w:rPr>
                <w:rFonts w:ascii="Calibri" w:eastAsia="Calibri" w:hAnsi="Calibri" w:cs="Calibri"/>
              </w:rPr>
              <w:t>Définition</w:t>
            </w:r>
          </w:p>
        </w:tc>
        <w:tc>
          <w:tcPr>
            <w:tcW w:w="5953" w:type="dxa"/>
          </w:tcPr>
          <w:p w14:paraId="0ABE6C55" w14:textId="1FA23987" w:rsidR="006F3E0E" w:rsidRPr="00A54E85" w:rsidRDefault="006F3E0E" w:rsidP="006F3E0E">
            <w:pPr>
              <w:spacing w:line="240" w:lineRule="auto"/>
              <w:rPr>
                <w:rFonts w:ascii="Calibri" w:eastAsia="Calibri" w:hAnsi="Calibri" w:cs="Calibri"/>
              </w:rPr>
            </w:pPr>
            <w:r>
              <w:rPr>
                <w:rFonts w:ascii="Calibri" w:eastAsia="Calibri" w:hAnsi="Calibri" w:cs="Calibri"/>
              </w:rPr>
              <w:t>Connaître la définition de la BPCO, de la bronchite chronique et de l’emphysème</w:t>
            </w:r>
          </w:p>
        </w:tc>
      </w:tr>
      <w:tr w:rsidR="006F3E0E" w:rsidRPr="00A54E85" w14:paraId="6D286967" w14:textId="77777777" w:rsidTr="006F3E0E">
        <w:trPr>
          <w:trHeight w:val="201"/>
        </w:trPr>
        <w:tc>
          <w:tcPr>
            <w:tcW w:w="640" w:type="dxa"/>
            <w:vAlign w:val="center"/>
          </w:tcPr>
          <w:p w14:paraId="541446C5" w14:textId="7DC4959E" w:rsidR="006F3E0E" w:rsidRPr="00A54E85" w:rsidRDefault="006F3E0E" w:rsidP="006F3E0E">
            <w:pPr>
              <w:spacing w:line="240" w:lineRule="auto"/>
              <w:jc w:val="center"/>
              <w:rPr>
                <w:rFonts w:ascii="Calibri" w:eastAsia="Calibri" w:hAnsi="Calibri" w:cs="Calibri"/>
                <w:i/>
                <w:iCs/>
                <w:color w:val="2E74B5"/>
              </w:rPr>
            </w:pPr>
            <w:r>
              <w:rPr>
                <w:rFonts w:ascii="Calibri" w:eastAsia="Calibri" w:hAnsi="Calibri" w:cs="Calibri"/>
              </w:rPr>
              <w:t>A</w:t>
            </w:r>
          </w:p>
        </w:tc>
        <w:tc>
          <w:tcPr>
            <w:tcW w:w="2419" w:type="dxa"/>
            <w:vAlign w:val="center"/>
          </w:tcPr>
          <w:p w14:paraId="28EBE8E8" w14:textId="77112995" w:rsidR="006F3E0E" w:rsidRPr="00A54E85" w:rsidRDefault="006F3E0E" w:rsidP="006F3E0E">
            <w:pPr>
              <w:spacing w:line="240" w:lineRule="auto"/>
              <w:jc w:val="left"/>
              <w:rPr>
                <w:rFonts w:ascii="Calibri" w:eastAsia="Calibri" w:hAnsi="Calibri" w:cs="Calibri"/>
                <w:i/>
                <w:iCs/>
                <w:color w:val="2E74B5"/>
              </w:rPr>
            </w:pPr>
            <w:r>
              <w:rPr>
                <w:rFonts w:ascii="Calibri" w:eastAsia="Calibri" w:hAnsi="Calibri" w:cs="Calibri"/>
              </w:rPr>
              <w:t>Définition</w:t>
            </w:r>
          </w:p>
        </w:tc>
        <w:tc>
          <w:tcPr>
            <w:tcW w:w="5953" w:type="dxa"/>
          </w:tcPr>
          <w:p w14:paraId="7D52D0FD" w14:textId="74E8BAD4" w:rsidR="006F3E0E" w:rsidRPr="00A54E85" w:rsidRDefault="006F3E0E" w:rsidP="006F3E0E">
            <w:pPr>
              <w:spacing w:line="240" w:lineRule="auto"/>
              <w:rPr>
                <w:rFonts w:ascii="Calibri" w:eastAsia="Calibri" w:hAnsi="Calibri" w:cs="Calibri"/>
                <w:i/>
                <w:iCs/>
                <w:color w:val="2E74B5"/>
              </w:rPr>
            </w:pPr>
            <w:r>
              <w:rPr>
                <w:rFonts w:ascii="Calibri" w:eastAsia="Calibri" w:hAnsi="Calibri" w:cs="Calibri"/>
              </w:rPr>
              <w:t>Connaître le principal facteur de risque et les comorbidités fréquemment associées à la BPCO</w:t>
            </w:r>
          </w:p>
        </w:tc>
      </w:tr>
      <w:tr w:rsidR="006F3E0E" w:rsidRPr="00A54E85" w14:paraId="39CC79FB" w14:textId="77777777" w:rsidTr="006F3E0E">
        <w:trPr>
          <w:trHeight w:val="201"/>
        </w:trPr>
        <w:tc>
          <w:tcPr>
            <w:tcW w:w="640" w:type="dxa"/>
            <w:vAlign w:val="center"/>
          </w:tcPr>
          <w:p w14:paraId="4260790C" w14:textId="00DC7A18" w:rsidR="006F3E0E" w:rsidRPr="00A54E85" w:rsidRDefault="006F3E0E" w:rsidP="006F3E0E">
            <w:pPr>
              <w:spacing w:line="240" w:lineRule="auto"/>
              <w:jc w:val="center"/>
              <w:rPr>
                <w:rFonts w:ascii="Calibri" w:eastAsia="Calibri" w:hAnsi="Calibri" w:cs="Calibri"/>
              </w:rPr>
            </w:pPr>
            <w:r>
              <w:rPr>
                <w:rFonts w:ascii="Calibri" w:eastAsia="Calibri" w:hAnsi="Calibri" w:cs="Calibri"/>
                <w:color w:val="0070C0"/>
              </w:rPr>
              <w:t>B</w:t>
            </w:r>
          </w:p>
        </w:tc>
        <w:tc>
          <w:tcPr>
            <w:tcW w:w="2419" w:type="dxa"/>
            <w:vAlign w:val="center"/>
          </w:tcPr>
          <w:p w14:paraId="0A10991B" w14:textId="5319E57C" w:rsidR="006F3E0E" w:rsidRPr="00A54E85" w:rsidRDefault="006F3E0E" w:rsidP="006F3E0E">
            <w:pPr>
              <w:spacing w:line="240" w:lineRule="auto"/>
              <w:jc w:val="left"/>
              <w:rPr>
                <w:rFonts w:ascii="Calibri" w:eastAsia="Calibri" w:hAnsi="Calibri" w:cs="Calibri"/>
              </w:rPr>
            </w:pPr>
            <w:r>
              <w:rPr>
                <w:rFonts w:ascii="Calibri" w:eastAsia="Calibri" w:hAnsi="Calibri" w:cs="Calibri"/>
                <w:color w:val="0070C0"/>
              </w:rPr>
              <w:t>Épidémiologie</w:t>
            </w:r>
          </w:p>
        </w:tc>
        <w:tc>
          <w:tcPr>
            <w:tcW w:w="5953" w:type="dxa"/>
          </w:tcPr>
          <w:p w14:paraId="39CE48D2" w14:textId="59F8B627" w:rsidR="006F3E0E" w:rsidRPr="00A54E85" w:rsidRDefault="006F3E0E" w:rsidP="006F3E0E">
            <w:pPr>
              <w:spacing w:line="240" w:lineRule="auto"/>
              <w:rPr>
                <w:rFonts w:ascii="Calibri" w:eastAsia="Calibri" w:hAnsi="Calibri" w:cs="Calibri"/>
              </w:rPr>
            </w:pPr>
            <w:r>
              <w:rPr>
                <w:rFonts w:ascii="Calibri" w:eastAsia="Calibri" w:hAnsi="Calibri" w:cs="Calibri"/>
                <w:color w:val="0070C0"/>
              </w:rPr>
              <w:t>Connaître l’épidémiologie de la BPCO</w:t>
            </w:r>
          </w:p>
        </w:tc>
      </w:tr>
      <w:tr w:rsidR="006F3E0E" w:rsidRPr="00A54E85" w14:paraId="74C87BC5" w14:textId="77777777" w:rsidTr="006F3E0E">
        <w:trPr>
          <w:trHeight w:val="201"/>
        </w:trPr>
        <w:tc>
          <w:tcPr>
            <w:tcW w:w="640" w:type="dxa"/>
            <w:vAlign w:val="center"/>
          </w:tcPr>
          <w:p w14:paraId="747055EA" w14:textId="44D463CB" w:rsidR="006F3E0E" w:rsidRPr="00A54E85" w:rsidRDefault="006F3E0E" w:rsidP="006F3E0E">
            <w:pPr>
              <w:spacing w:line="240" w:lineRule="auto"/>
              <w:jc w:val="center"/>
              <w:rPr>
                <w:rFonts w:ascii="Calibri" w:eastAsia="Calibri" w:hAnsi="Calibri" w:cs="Calibri"/>
                <w:color w:val="2E74B5"/>
              </w:rPr>
            </w:pPr>
            <w:r>
              <w:rPr>
                <w:rFonts w:ascii="Calibri" w:eastAsia="Calibri" w:hAnsi="Calibri" w:cs="Calibri"/>
              </w:rPr>
              <w:t>A</w:t>
            </w:r>
          </w:p>
        </w:tc>
        <w:tc>
          <w:tcPr>
            <w:tcW w:w="2419" w:type="dxa"/>
            <w:vAlign w:val="center"/>
          </w:tcPr>
          <w:p w14:paraId="149CFA01" w14:textId="1BFA8C45" w:rsidR="006F3E0E" w:rsidRPr="00A54E85" w:rsidRDefault="006F3E0E" w:rsidP="006F3E0E">
            <w:pPr>
              <w:spacing w:line="240" w:lineRule="auto"/>
              <w:jc w:val="left"/>
              <w:rPr>
                <w:rFonts w:ascii="Calibri" w:eastAsia="Calibri" w:hAnsi="Calibri" w:cs="Calibri"/>
                <w:color w:val="2E74B5"/>
              </w:rPr>
            </w:pPr>
            <w:r>
              <w:rPr>
                <w:rFonts w:ascii="Calibri" w:eastAsia="Calibri" w:hAnsi="Calibri" w:cs="Calibri"/>
              </w:rPr>
              <w:t>Diagnostic positif</w:t>
            </w:r>
          </w:p>
        </w:tc>
        <w:tc>
          <w:tcPr>
            <w:tcW w:w="5953" w:type="dxa"/>
          </w:tcPr>
          <w:p w14:paraId="652FC5EA" w14:textId="43AB6D2F" w:rsidR="006F3E0E" w:rsidRPr="00A54E85" w:rsidRDefault="006F3E0E" w:rsidP="006F3E0E">
            <w:pPr>
              <w:spacing w:line="240" w:lineRule="auto"/>
              <w:rPr>
                <w:rFonts w:ascii="Calibri" w:eastAsia="Calibri" w:hAnsi="Calibri" w:cs="Calibri"/>
                <w:color w:val="2E74B5"/>
              </w:rPr>
            </w:pPr>
            <w:r>
              <w:rPr>
                <w:rFonts w:ascii="Calibri" w:eastAsia="Calibri" w:hAnsi="Calibri" w:cs="Calibri"/>
              </w:rPr>
              <w:t>Connaître les éléments du diagnostic positif et du diagnostic différentiel</w:t>
            </w:r>
          </w:p>
        </w:tc>
      </w:tr>
      <w:tr w:rsidR="006F3E0E" w:rsidRPr="00A54E85" w14:paraId="491B4C61" w14:textId="77777777" w:rsidTr="006F3E0E">
        <w:trPr>
          <w:trHeight w:val="201"/>
        </w:trPr>
        <w:tc>
          <w:tcPr>
            <w:tcW w:w="640" w:type="dxa"/>
            <w:vAlign w:val="center"/>
          </w:tcPr>
          <w:p w14:paraId="4A4125A2" w14:textId="6A673F43" w:rsidR="006F3E0E" w:rsidRPr="00A54E85" w:rsidRDefault="006F3E0E" w:rsidP="006F3E0E">
            <w:pPr>
              <w:spacing w:line="240" w:lineRule="auto"/>
              <w:jc w:val="center"/>
              <w:rPr>
                <w:rFonts w:ascii="Calibri" w:eastAsia="Calibri" w:hAnsi="Calibri" w:cs="Calibri"/>
                <w:color w:val="2E74B5"/>
              </w:rPr>
            </w:pPr>
            <w:r>
              <w:rPr>
                <w:rFonts w:ascii="Calibri" w:eastAsia="Calibri" w:hAnsi="Calibri" w:cs="Calibri"/>
                <w:color w:val="0070C0"/>
              </w:rPr>
              <w:t>B</w:t>
            </w:r>
          </w:p>
        </w:tc>
        <w:tc>
          <w:tcPr>
            <w:tcW w:w="2419" w:type="dxa"/>
            <w:vAlign w:val="center"/>
          </w:tcPr>
          <w:p w14:paraId="404D9570" w14:textId="21B294A3" w:rsidR="006F3E0E" w:rsidRPr="00A54E85" w:rsidRDefault="006F3E0E" w:rsidP="006F3E0E">
            <w:pPr>
              <w:spacing w:line="240" w:lineRule="auto"/>
              <w:jc w:val="left"/>
              <w:rPr>
                <w:rFonts w:ascii="Calibri" w:eastAsia="Calibri" w:hAnsi="Calibri" w:cs="Calibri"/>
                <w:color w:val="2E74B5"/>
              </w:rPr>
            </w:pPr>
            <w:r>
              <w:rPr>
                <w:rFonts w:ascii="Calibri" w:eastAsia="Calibri" w:hAnsi="Calibri" w:cs="Calibri"/>
                <w:color w:val="0070C0"/>
              </w:rPr>
              <w:t>Étiologies</w:t>
            </w:r>
          </w:p>
        </w:tc>
        <w:tc>
          <w:tcPr>
            <w:tcW w:w="5953" w:type="dxa"/>
          </w:tcPr>
          <w:p w14:paraId="7B6ABE81" w14:textId="379575A8" w:rsidR="006F3E0E" w:rsidRPr="00A54E85" w:rsidRDefault="006F3E0E" w:rsidP="006F3E0E">
            <w:pPr>
              <w:spacing w:line="240" w:lineRule="auto"/>
              <w:rPr>
                <w:rFonts w:ascii="Calibri" w:eastAsia="Calibri" w:hAnsi="Calibri" w:cs="Calibri"/>
                <w:color w:val="2E74B5"/>
              </w:rPr>
            </w:pPr>
            <w:r>
              <w:rPr>
                <w:rFonts w:ascii="Calibri" w:eastAsia="Calibri" w:hAnsi="Calibri" w:cs="Calibri"/>
                <w:color w:val="0070C0"/>
              </w:rPr>
              <w:t>Connaître les facteurs précipitants d’une exacerbation de BPCO</w:t>
            </w:r>
          </w:p>
        </w:tc>
      </w:tr>
      <w:tr w:rsidR="006F3E0E" w:rsidRPr="00A54E85" w14:paraId="4414EA75" w14:textId="77777777" w:rsidTr="006F3E0E">
        <w:trPr>
          <w:trHeight w:val="201"/>
        </w:trPr>
        <w:tc>
          <w:tcPr>
            <w:tcW w:w="640" w:type="dxa"/>
            <w:vAlign w:val="center"/>
          </w:tcPr>
          <w:p w14:paraId="374E0645" w14:textId="62DE9038" w:rsidR="006F3E0E" w:rsidRPr="00A54E85" w:rsidRDefault="006F3E0E" w:rsidP="006F3E0E">
            <w:pPr>
              <w:spacing w:line="240" w:lineRule="auto"/>
              <w:jc w:val="center"/>
              <w:rPr>
                <w:rFonts w:ascii="Calibri" w:eastAsia="Calibri" w:hAnsi="Calibri" w:cs="Calibri"/>
                <w:i/>
                <w:iCs/>
                <w:color w:val="2E74B5"/>
              </w:rPr>
            </w:pPr>
            <w:r>
              <w:rPr>
                <w:rFonts w:ascii="Calibri" w:eastAsia="Calibri" w:hAnsi="Calibri" w:cs="Calibri"/>
              </w:rPr>
              <w:t>A</w:t>
            </w:r>
          </w:p>
        </w:tc>
        <w:tc>
          <w:tcPr>
            <w:tcW w:w="2419" w:type="dxa"/>
            <w:vAlign w:val="center"/>
          </w:tcPr>
          <w:p w14:paraId="47536786" w14:textId="7A816D92" w:rsidR="006F3E0E" w:rsidRPr="00A54E85" w:rsidRDefault="006F3E0E" w:rsidP="006F3E0E">
            <w:pPr>
              <w:spacing w:line="240" w:lineRule="auto"/>
              <w:jc w:val="left"/>
              <w:rPr>
                <w:rFonts w:ascii="Calibri" w:eastAsia="Calibri" w:hAnsi="Calibri" w:cs="Calibri"/>
                <w:i/>
                <w:iCs/>
                <w:color w:val="2E74B5"/>
              </w:rPr>
            </w:pPr>
            <w:r>
              <w:rPr>
                <w:rFonts w:ascii="Calibri" w:eastAsia="Calibri" w:hAnsi="Calibri" w:cs="Calibri"/>
              </w:rPr>
              <w:t>Examens complémentaires</w:t>
            </w:r>
          </w:p>
        </w:tc>
        <w:tc>
          <w:tcPr>
            <w:tcW w:w="5953" w:type="dxa"/>
          </w:tcPr>
          <w:p w14:paraId="65B74D14" w14:textId="327942B4" w:rsidR="006F3E0E" w:rsidRPr="00A54E85" w:rsidRDefault="006F3E0E" w:rsidP="006F3E0E">
            <w:pPr>
              <w:spacing w:line="240" w:lineRule="auto"/>
              <w:rPr>
                <w:rFonts w:ascii="Calibri" w:eastAsia="Calibri" w:hAnsi="Calibri" w:cs="Calibri"/>
                <w:i/>
                <w:iCs/>
                <w:color w:val="2E74B5"/>
              </w:rPr>
            </w:pPr>
            <w:r>
              <w:rPr>
                <w:rFonts w:ascii="Calibri" w:eastAsia="Calibri" w:hAnsi="Calibri" w:cs="Calibri"/>
              </w:rPr>
              <w:t xml:space="preserve">Savoir rechercher les signes paracliniques de sévérité (long </w:t>
            </w:r>
            <w:proofErr w:type="gramStart"/>
            <w:r>
              <w:rPr>
                <w:rFonts w:ascii="Calibri" w:eastAsia="Calibri" w:hAnsi="Calibri" w:cs="Calibri"/>
              </w:rPr>
              <w:t>cours)/</w:t>
            </w:r>
            <w:proofErr w:type="gramEnd"/>
            <w:r>
              <w:rPr>
                <w:rFonts w:ascii="Calibri" w:eastAsia="Calibri" w:hAnsi="Calibri" w:cs="Calibri"/>
              </w:rPr>
              <w:t>gravité (aigu)</w:t>
            </w:r>
          </w:p>
        </w:tc>
      </w:tr>
      <w:tr w:rsidR="006F3E0E" w:rsidRPr="00A54E85" w14:paraId="770A2B74" w14:textId="77777777" w:rsidTr="006F3E0E">
        <w:trPr>
          <w:trHeight w:val="201"/>
        </w:trPr>
        <w:tc>
          <w:tcPr>
            <w:tcW w:w="640" w:type="dxa"/>
            <w:vAlign w:val="center"/>
          </w:tcPr>
          <w:p w14:paraId="774C2E64" w14:textId="479FF8AA" w:rsidR="006F3E0E" w:rsidRPr="00A54E85" w:rsidRDefault="006F3E0E" w:rsidP="006F3E0E">
            <w:pPr>
              <w:spacing w:line="240" w:lineRule="auto"/>
              <w:jc w:val="center"/>
              <w:rPr>
                <w:rFonts w:ascii="Calibri" w:eastAsia="Calibri" w:hAnsi="Calibri" w:cs="Calibri"/>
              </w:rPr>
            </w:pPr>
            <w:r>
              <w:rPr>
                <w:rFonts w:ascii="Calibri" w:eastAsia="Calibri" w:hAnsi="Calibri" w:cs="Calibri"/>
                <w:color w:val="0070C0"/>
              </w:rPr>
              <w:t>B</w:t>
            </w:r>
          </w:p>
        </w:tc>
        <w:tc>
          <w:tcPr>
            <w:tcW w:w="2419" w:type="dxa"/>
            <w:vAlign w:val="center"/>
          </w:tcPr>
          <w:p w14:paraId="409CA63E" w14:textId="07EE146E" w:rsidR="006F3E0E" w:rsidRPr="00A54E85" w:rsidRDefault="006F3E0E" w:rsidP="006F3E0E">
            <w:pPr>
              <w:spacing w:line="240" w:lineRule="auto"/>
              <w:jc w:val="left"/>
              <w:rPr>
                <w:rFonts w:ascii="Calibri" w:eastAsia="Calibri" w:hAnsi="Calibri" w:cs="Calibri"/>
              </w:rPr>
            </w:pPr>
            <w:r>
              <w:rPr>
                <w:rFonts w:ascii="Calibri" w:eastAsia="Calibri" w:hAnsi="Calibri" w:cs="Calibri"/>
                <w:color w:val="0070C0"/>
              </w:rPr>
              <w:t>Examens complémentaires</w:t>
            </w:r>
          </w:p>
        </w:tc>
        <w:tc>
          <w:tcPr>
            <w:tcW w:w="5953" w:type="dxa"/>
          </w:tcPr>
          <w:p w14:paraId="54A2725D" w14:textId="3360AD00" w:rsidR="006F3E0E" w:rsidRPr="00A54E85" w:rsidRDefault="006F3E0E" w:rsidP="006F3E0E">
            <w:pPr>
              <w:spacing w:line="240" w:lineRule="auto"/>
              <w:rPr>
                <w:rFonts w:ascii="Calibri" w:eastAsia="Calibri" w:hAnsi="Calibri" w:cs="Calibri"/>
              </w:rPr>
            </w:pPr>
            <w:r>
              <w:rPr>
                <w:rFonts w:ascii="Calibri" w:eastAsia="Calibri" w:hAnsi="Calibri" w:cs="Calibri"/>
                <w:color w:val="0070C0"/>
              </w:rPr>
              <w:t>Savoir monitorer la tolérance du traitement</w:t>
            </w:r>
          </w:p>
        </w:tc>
      </w:tr>
      <w:tr w:rsidR="006F3E0E" w:rsidRPr="00A54E85" w14:paraId="6959E82F" w14:textId="77777777" w:rsidTr="006F3E0E">
        <w:trPr>
          <w:trHeight w:val="201"/>
        </w:trPr>
        <w:tc>
          <w:tcPr>
            <w:tcW w:w="640" w:type="dxa"/>
            <w:vAlign w:val="center"/>
          </w:tcPr>
          <w:p w14:paraId="4E1EE5DA" w14:textId="1EB4CA8B" w:rsidR="006F3E0E" w:rsidRPr="00A54E85" w:rsidRDefault="006F3E0E" w:rsidP="006F3E0E">
            <w:pPr>
              <w:spacing w:line="240" w:lineRule="auto"/>
              <w:jc w:val="center"/>
              <w:rPr>
                <w:rFonts w:ascii="Calibri" w:eastAsia="Calibri" w:hAnsi="Calibri" w:cs="Calibri"/>
                <w:color w:val="2E74B5"/>
              </w:rPr>
            </w:pPr>
            <w:r>
              <w:rPr>
                <w:rFonts w:ascii="Calibri" w:eastAsia="Calibri" w:hAnsi="Calibri" w:cs="Calibri"/>
                <w:color w:val="0070C0"/>
              </w:rPr>
              <w:t>B</w:t>
            </w:r>
          </w:p>
        </w:tc>
        <w:tc>
          <w:tcPr>
            <w:tcW w:w="2419" w:type="dxa"/>
            <w:vAlign w:val="center"/>
          </w:tcPr>
          <w:p w14:paraId="1264C9BE" w14:textId="3AE38E1D" w:rsidR="006F3E0E" w:rsidRPr="00A54E85" w:rsidRDefault="006F3E0E" w:rsidP="006F3E0E">
            <w:pPr>
              <w:spacing w:line="240" w:lineRule="auto"/>
              <w:jc w:val="left"/>
              <w:rPr>
                <w:rFonts w:ascii="Calibri" w:eastAsia="Calibri" w:hAnsi="Calibri" w:cs="Calibri"/>
                <w:color w:val="2E74B5"/>
              </w:rPr>
            </w:pPr>
            <w:r>
              <w:rPr>
                <w:rFonts w:ascii="Calibri" w:eastAsia="Calibri" w:hAnsi="Calibri" w:cs="Calibri"/>
                <w:color w:val="0070C0"/>
              </w:rPr>
              <w:t>Examens complémentaires</w:t>
            </w:r>
          </w:p>
        </w:tc>
        <w:tc>
          <w:tcPr>
            <w:tcW w:w="5953" w:type="dxa"/>
          </w:tcPr>
          <w:p w14:paraId="3F9C46EE" w14:textId="2B106A84" w:rsidR="006F3E0E" w:rsidRPr="00A54E85" w:rsidRDefault="006F3E0E" w:rsidP="006F3E0E">
            <w:pPr>
              <w:spacing w:line="240" w:lineRule="auto"/>
              <w:rPr>
                <w:rFonts w:ascii="Calibri" w:eastAsia="Calibri" w:hAnsi="Calibri" w:cs="Calibri"/>
                <w:color w:val="2E74B5"/>
              </w:rPr>
            </w:pPr>
            <w:r>
              <w:rPr>
                <w:rFonts w:ascii="Calibri" w:eastAsia="Calibri" w:hAnsi="Calibri" w:cs="Calibri"/>
                <w:color w:val="0070C0"/>
              </w:rPr>
              <w:t>Connaître les indications des examens d’imagerie devant une BPCO</w:t>
            </w:r>
          </w:p>
        </w:tc>
      </w:tr>
      <w:tr w:rsidR="006F3E0E" w:rsidRPr="00A54E85" w14:paraId="0E632BB6" w14:textId="77777777" w:rsidTr="006F3E0E">
        <w:trPr>
          <w:trHeight w:val="201"/>
        </w:trPr>
        <w:tc>
          <w:tcPr>
            <w:tcW w:w="640" w:type="dxa"/>
            <w:vAlign w:val="center"/>
          </w:tcPr>
          <w:p w14:paraId="20386550" w14:textId="4FB54F93" w:rsidR="006F3E0E" w:rsidRPr="00A54E85" w:rsidRDefault="006F3E0E" w:rsidP="006F3E0E">
            <w:pPr>
              <w:spacing w:line="240" w:lineRule="auto"/>
              <w:jc w:val="center"/>
              <w:rPr>
                <w:rFonts w:ascii="Calibri" w:hAnsi="Calibri" w:cs="Calibri"/>
                <w:color w:val="0070C0"/>
              </w:rPr>
            </w:pPr>
            <w:r>
              <w:rPr>
                <w:rFonts w:ascii="Calibri" w:eastAsia="Calibri" w:hAnsi="Calibri" w:cs="Calibri"/>
                <w:color w:val="0070C0"/>
              </w:rPr>
              <w:t>B</w:t>
            </w:r>
          </w:p>
        </w:tc>
        <w:tc>
          <w:tcPr>
            <w:tcW w:w="2419" w:type="dxa"/>
            <w:vAlign w:val="center"/>
          </w:tcPr>
          <w:p w14:paraId="2E937A91" w14:textId="08FABBFD" w:rsidR="006F3E0E" w:rsidRPr="00A54E85" w:rsidRDefault="006F3E0E" w:rsidP="006F3E0E">
            <w:pPr>
              <w:spacing w:line="240" w:lineRule="auto"/>
              <w:jc w:val="left"/>
              <w:rPr>
                <w:rFonts w:ascii="Calibri" w:hAnsi="Calibri" w:cs="Calibri"/>
                <w:color w:val="0070C0"/>
              </w:rPr>
            </w:pPr>
            <w:r>
              <w:rPr>
                <w:rFonts w:ascii="Calibri" w:eastAsia="Calibri" w:hAnsi="Calibri" w:cs="Calibri"/>
                <w:color w:val="0070C0"/>
              </w:rPr>
              <w:t>Examens complémentaires</w:t>
            </w:r>
          </w:p>
        </w:tc>
        <w:tc>
          <w:tcPr>
            <w:tcW w:w="5953" w:type="dxa"/>
          </w:tcPr>
          <w:p w14:paraId="6AD1D19C" w14:textId="2D3A0954" w:rsidR="006F3E0E" w:rsidRPr="00A54E85" w:rsidRDefault="006F3E0E" w:rsidP="006F3E0E">
            <w:pPr>
              <w:spacing w:line="240" w:lineRule="auto"/>
              <w:rPr>
                <w:rFonts w:ascii="Calibri" w:hAnsi="Calibri" w:cs="Calibri"/>
                <w:color w:val="0070C0"/>
              </w:rPr>
            </w:pPr>
            <w:r>
              <w:rPr>
                <w:rFonts w:ascii="Calibri" w:eastAsia="Calibri" w:hAnsi="Calibri" w:cs="Calibri"/>
                <w:color w:val="0070C0"/>
              </w:rPr>
              <w:t>Connaître l’objectif de l’imagerie dans l’exploration d’une bronchopneumopathie chronique obstructive</w:t>
            </w:r>
          </w:p>
        </w:tc>
      </w:tr>
      <w:tr w:rsidR="006F3E0E" w:rsidRPr="00A54E85" w14:paraId="4D6371BC" w14:textId="77777777" w:rsidTr="006F3E0E">
        <w:trPr>
          <w:trHeight w:val="201"/>
        </w:trPr>
        <w:tc>
          <w:tcPr>
            <w:tcW w:w="640" w:type="dxa"/>
            <w:vAlign w:val="center"/>
          </w:tcPr>
          <w:p w14:paraId="680D62D0" w14:textId="4A8A889D" w:rsidR="006F3E0E" w:rsidRPr="00A54E85" w:rsidRDefault="006F3E0E" w:rsidP="006F3E0E">
            <w:pPr>
              <w:spacing w:line="240" w:lineRule="auto"/>
              <w:jc w:val="center"/>
              <w:rPr>
                <w:rFonts w:ascii="Calibri" w:hAnsi="Calibri" w:cs="Calibri"/>
                <w:color w:val="0070C0"/>
              </w:rPr>
            </w:pPr>
            <w:r>
              <w:rPr>
                <w:rFonts w:ascii="Calibri" w:eastAsia="Calibri" w:hAnsi="Calibri" w:cs="Calibri"/>
                <w:color w:val="0070C0"/>
              </w:rPr>
              <w:t>B</w:t>
            </w:r>
          </w:p>
        </w:tc>
        <w:tc>
          <w:tcPr>
            <w:tcW w:w="2419" w:type="dxa"/>
            <w:vAlign w:val="center"/>
          </w:tcPr>
          <w:p w14:paraId="6494AD1D" w14:textId="20EF20C7" w:rsidR="006F3E0E" w:rsidRPr="00A54E85" w:rsidRDefault="006F3E0E" w:rsidP="006F3E0E">
            <w:pPr>
              <w:spacing w:line="240" w:lineRule="auto"/>
              <w:jc w:val="left"/>
              <w:rPr>
                <w:rFonts w:ascii="Calibri" w:hAnsi="Calibri" w:cs="Calibri"/>
                <w:color w:val="0070C0"/>
              </w:rPr>
            </w:pPr>
            <w:r>
              <w:rPr>
                <w:rFonts w:ascii="Calibri" w:eastAsia="Calibri" w:hAnsi="Calibri" w:cs="Calibri"/>
                <w:color w:val="0070C0"/>
              </w:rPr>
              <w:t>Examens complémentaires</w:t>
            </w:r>
          </w:p>
        </w:tc>
        <w:tc>
          <w:tcPr>
            <w:tcW w:w="5953" w:type="dxa"/>
          </w:tcPr>
          <w:p w14:paraId="36C20C6D" w14:textId="0FEE85EA" w:rsidR="006F3E0E" w:rsidRPr="00A54E85" w:rsidRDefault="006F3E0E" w:rsidP="006F3E0E">
            <w:pPr>
              <w:spacing w:line="240" w:lineRule="auto"/>
              <w:rPr>
                <w:rFonts w:ascii="Calibri" w:hAnsi="Calibri" w:cs="Calibri"/>
                <w:color w:val="0070C0"/>
              </w:rPr>
            </w:pPr>
            <w:r>
              <w:rPr>
                <w:rFonts w:ascii="Calibri" w:eastAsia="Calibri" w:hAnsi="Calibri" w:cs="Calibri"/>
                <w:color w:val="0070C0"/>
              </w:rPr>
              <w:t>Connaître la sémiologie radiologique d’une bronchopneumopathie chronique obstructive</w:t>
            </w:r>
          </w:p>
        </w:tc>
      </w:tr>
      <w:tr w:rsidR="006F3E0E" w:rsidRPr="00A54E85" w14:paraId="78B177F8" w14:textId="77777777" w:rsidTr="006F3E0E">
        <w:trPr>
          <w:trHeight w:val="201"/>
        </w:trPr>
        <w:tc>
          <w:tcPr>
            <w:tcW w:w="640" w:type="dxa"/>
            <w:vAlign w:val="center"/>
          </w:tcPr>
          <w:p w14:paraId="71CE24D9" w14:textId="68598418" w:rsidR="006F3E0E" w:rsidRPr="00A54E85" w:rsidRDefault="006F3E0E" w:rsidP="006F3E0E">
            <w:pPr>
              <w:spacing w:line="240" w:lineRule="auto"/>
              <w:jc w:val="center"/>
              <w:rPr>
                <w:rFonts w:ascii="Calibri" w:hAnsi="Calibri" w:cs="Calibri"/>
                <w:color w:val="0070C0"/>
              </w:rPr>
            </w:pPr>
            <w:r>
              <w:rPr>
                <w:rFonts w:ascii="Calibri" w:eastAsia="Calibri" w:hAnsi="Calibri" w:cs="Calibri"/>
              </w:rPr>
              <w:t>A</w:t>
            </w:r>
          </w:p>
        </w:tc>
        <w:tc>
          <w:tcPr>
            <w:tcW w:w="2419" w:type="dxa"/>
            <w:vAlign w:val="center"/>
          </w:tcPr>
          <w:p w14:paraId="0C688DE0" w14:textId="67674CB3" w:rsidR="006F3E0E" w:rsidRPr="00A54E85" w:rsidRDefault="006F3E0E" w:rsidP="006F3E0E">
            <w:pPr>
              <w:spacing w:line="240" w:lineRule="auto"/>
              <w:jc w:val="left"/>
              <w:rPr>
                <w:rFonts w:ascii="Calibri" w:hAnsi="Calibri" w:cs="Calibri"/>
                <w:color w:val="0070C0"/>
              </w:rPr>
            </w:pPr>
            <w:r>
              <w:rPr>
                <w:rFonts w:ascii="Calibri" w:eastAsia="Calibri" w:hAnsi="Calibri" w:cs="Calibri"/>
              </w:rPr>
              <w:t>Identification de l’urgence</w:t>
            </w:r>
          </w:p>
        </w:tc>
        <w:tc>
          <w:tcPr>
            <w:tcW w:w="5953" w:type="dxa"/>
          </w:tcPr>
          <w:p w14:paraId="2217735D" w14:textId="03B23A30" w:rsidR="006F3E0E" w:rsidRPr="00A54E85" w:rsidRDefault="006F3E0E" w:rsidP="006F3E0E">
            <w:pPr>
              <w:spacing w:line="240" w:lineRule="auto"/>
              <w:rPr>
                <w:rFonts w:ascii="Calibri" w:hAnsi="Calibri" w:cs="Calibri"/>
                <w:color w:val="0070C0"/>
              </w:rPr>
            </w:pPr>
            <w:r>
              <w:rPr>
                <w:rFonts w:ascii="Calibri" w:eastAsia="Calibri" w:hAnsi="Calibri" w:cs="Calibri"/>
              </w:rPr>
              <w:t>Identifier une exacerbation/décompensation de BPCO, en évaluer les signes de gravité</w:t>
            </w:r>
          </w:p>
        </w:tc>
      </w:tr>
      <w:tr w:rsidR="006F3E0E" w:rsidRPr="00A54E85" w14:paraId="20119EFC" w14:textId="77777777" w:rsidTr="006F3E0E">
        <w:trPr>
          <w:trHeight w:val="201"/>
        </w:trPr>
        <w:tc>
          <w:tcPr>
            <w:tcW w:w="640" w:type="dxa"/>
            <w:vAlign w:val="center"/>
          </w:tcPr>
          <w:p w14:paraId="28E1CD18" w14:textId="5F0CE8A3" w:rsidR="006F3E0E" w:rsidRDefault="006F3E0E" w:rsidP="006F3E0E">
            <w:pPr>
              <w:spacing w:line="240" w:lineRule="auto"/>
              <w:jc w:val="center"/>
              <w:rPr>
                <w:rFonts w:ascii="Calibri" w:eastAsia="Calibri" w:hAnsi="Calibri" w:cs="Calibri"/>
              </w:rPr>
            </w:pPr>
            <w:r>
              <w:rPr>
                <w:rFonts w:ascii="Calibri" w:eastAsia="Calibri" w:hAnsi="Calibri" w:cs="Calibri"/>
              </w:rPr>
              <w:t>A</w:t>
            </w:r>
          </w:p>
        </w:tc>
        <w:tc>
          <w:tcPr>
            <w:tcW w:w="2419" w:type="dxa"/>
            <w:vAlign w:val="center"/>
          </w:tcPr>
          <w:p w14:paraId="7985DE11" w14:textId="0D458CCF" w:rsidR="006F3E0E" w:rsidRDefault="006F3E0E" w:rsidP="006F3E0E">
            <w:pPr>
              <w:spacing w:line="240" w:lineRule="auto"/>
              <w:jc w:val="left"/>
              <w:rPr>
                <w:rFonts w:ascii="Calibri" w:eastAsia="Calibri" w:hAnsi="Calibri" w:cs="Calibri"/>
              </w:rPr>
            </w:pPr>
            <w:r>
              <w:rPr>
                <w:rFonts w:ascii="Calibri" w:eastAsia="Calibri" w:hAnsi="Calibri" w:cs="Calibri"/>
              </w:rPr>
              <w:t>Prise en charge</w:t>
            </w:r>
          </w:p>
        </w:tc>
        <w:tc>
          <w:tcPr>
            <w:tcW w:w="5953" w:type="dxa"/>
          </w:tcPr>
          <w:p w14:paraId="1FA535E7" w14:textId="4037A1A3" w:rsidR="006F3E0E" w:rsidRDefault="006F3E0E" w:rsidP="006F3E0E">
            <w:pPr>
              <w:spacing w:line="240" w:lineRule="auto"/>
              <w:rPr>
                <w:rFonts w:ascii="Calibri" w:eastAsia="Calibri" w:hAnsi="Calibri" w:cs="Calibri"/>
              </w:rPr>
            </w:pPr>
            <w:r>
              <w:rPr>
                <w:rFonts w:ascii="Calibri" w:eastAsia="Calibri" w:hAnsi="Calibri" w:cs="Calibri"/>
              </w:rPr>
              <w:t>Connaître les principes de l’initiation du traitement symptomatique en urgence</w:t>
            </w:r>
          </w:p>
        </w:tc>
      </w:tr>
      <w:tr w:rsidR="006F3E0E" w:rsidRPr="00A54E85" w14:paraId="0A789E4C" w14:textId="77777777" w:rsidTr="006F3E0E">
        <w:trPr>
          <w:trHeight w:val="201"/>
        </w:trPr>
        <w:tc>
          <w:tcPr>
            <w:tcW w:w="640" w:type="dxa"/>
            <w:vAlign w:val="center"/>
          </w:tcPr>
          <w:p w14:paraId="0957D5C7" w14:textId="505D8840" w:rsidR="006F3E0E" w:rsidRDefault="006F3E0E" w:rsidP="006F3E0E">
            <w:pPr>
              <w:spacing w:line="240" w:lineRule="auto"/>
              <w:jc w:val="center"/>
              <w:rPr>
                <w:rFonts w:ascii="Calibri" w:eastAsia="Calibri" w:hAnsi="Calibri" w:cs="Calibri"/>
              </w:rPr>
            </w:pPr>
            <w:r>
              <w:rPr>
                <w:rFonts w:ascii="Calibri" w:eastAsia="Calibri" w:hAnsi="Calibri" w:cs="Calibri"/>
              </w:rPr>
              <w:t>A</w:t>
            </w:r>
          </w:p>
        </w:tc>
        <w:tc>
          <w:tcPr>
            <w:tcW w:w="2419" w:type="dxa"/>
            <w:vAlign w:val="center"/>
          </w:tcPr>
          <w:p w14:paraId="09B0DBFC" w14:textId="2F40D365" w:rsidR="006F3E0E" w:rsidRDefault="006F3E0E" w:rsidP="006F3E0E">
            <w:pPr>
              <w:spacing w:line="240" w:lineRule="auto"/>
              <w:jc w:val="left"/>
              <w:rPr>
                <w:rFonts w:ascii="Calibri" w:eastAsia="Calibri" w:hAnsi="Calibri" w:cs="Calibri"/>
              </w:rPr>
            </w:pPr>
            <w:r>
              <w:rPr>
                <w:rFonts w:ascii="Calibri" w:eastAsia="Calibri" w:hAnsi="Calibri" w:cs="Calibri"/>
              </w:rPr>
              <w:t>Prise en charge</w:t>
            </w:r>
          </w:p>
        </w:tc>
        <w:tc>
          <w:tcPr>
            <w:tcW w:w="5953" w:type="dxa"/>
          </w:tcPr>
          <w:p w14:paraId="60F3F7DC" w14:textId="64FAA2DB" w:rsidR="006F3E0E" w:rsidRDefault="006F3E0E" w:rsidP="006F3E0E">
            <w:pPr>
              <w:spacing w:line="240" w:lineRule="auto"/>
              <w:rPr>
                <w:rFonts w:ascii="Calibri" w:eastAsia="Calibri" w:hAnsi="Calibri" w:cs="Calibri"/>
              </w:rPr>
            </w:pPr>
            <w:r>
              <w:rPr>
                <w:rFonts w:ascii="Calibri" w:eastAsia="Calibri" w:hAnsi="Calibri" w:cs="Calibri"/>
              </w:rPr>
              <w:t>Connaître les principes de prise en charge de l’exacerbation et du traitement de fond</w:t>
            </w:r>
          </w:p>
        </w:tc>
      </w:tr>
    </w:tbl>
    <w:p w14:paraId="4E3A47D8" w14:textId="77777777" w:rsidR="00A54E85" w:rsidRDefault="00A54E85" w:rsidP="00362251"/>
    <w:p w14:paraId="7657FCE3" w14:textId="77C85099" w:rsidR="006F3E0E" w:rsidRPr="006F3E0E" w:rsidRDefault="006F3E0E" w:rsidP="00362251">
      <w:pPr>
        <w:rPr>
          <w:b/>
          <w:bCs/>
        </w:rPr>
      </w:pPr>
      <w:r>
        <w:rPr>
          <w:b/>
          <w:bCs/>
        </w:rPr>
        <w:t>N.B. : les aspects pédiatriques de cet item ne sont pas traités dans ce chapitre.</w:t>
      </w:r>
    </w:p>
    <w:p w14:paraId="57811E0F" w14:textId="77777777" w:rsidR="006F3E0E" w:rsidRDefault="006F3E0E" w:rsidP="00362251"/>
    <w:p w14:paraId="7F04C889" w14:textId="47959A67" w:rsidR="00717C5F" w:rsidRDefault="00876EF8" w:rsidP="00717C5F">
      <w:pPr>
        <w:jc w:val="center"/>
        <w:rPr>
          <w:color w:val="0070C0"/>
        </w:rPr>
      </w:pPr>
      <w:r w:rsidRPr="00362251">
        <w:rPr>
          <w:noProof/>
          <w:color w:val="0070C0"/>
        </w:rPr>
        <w:drawing>
          <wp:anchor distT="0" distB="0" distL="114300" distR="114300" simplePos="0" relativeHeight="251659264" behindDoc="0" locked="0" layoutInCell="1" hidden="0" allowOverlap="1" wp14:anchorId="6E037DFD" wp14:editId="2B6F045A">
            <wp:simplePos x="0" y="0"/>
            <wp:positionH relativeFrom="column">
              <wp:posOffset>987587</wp:posOffset>
            </wp:positionH>
            <wp:positionV relativeFrom="paragraph">
              <wp:posOffset>9525</wp:posOffset>
            </wp:positionV>
            <wp:extent cx="153670" cy="137160"/>
            <wp:effectExtent l="0" t="0" r="0" b="0"/>
            <wp:wrapNone/>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Pr="00362251">
        <w:rPr>
          <w:color w:val="0070C0"/>
        </w:rPr>
        <w:t>Les objectifs de rang B apparaissent en bleu dans le texte.</w:t>
      </w:r>
    </w:p>
    <w:p w14:paraId="358057FC" w14:textId="77777777" w:rsidR="00A54E85" w:rsidRDefault="00A54E85" w:rsidP="00A54E85">
      <w:pPr>
        <w:spacing w:line="240" w:lineRule="auto"/>
        <w:jc w:val="center"/>
        <w:rPr>
          <w:i/>
          <w:iCs/>
          <w:color w:val="2E74B5"/>
        </w:rPr>
      </w:pPr>
    </w:p>
    <w:p w14:paraId="0E076E5D" w14:textId="77777777" w:rsidR="006F3E0E" w:rsidRDefault="006F3E0E" w:rsidP="006F3E0E">
      <w:r>
        <w:t>Le Collège des Enseignants de Pneumologie insiste également sur la nécessité de connaître les items suivants :</w:t>
      </w:r>
    </w:p>
    <w:tbl>
      <w:tblPr>
        <w:tblW w:w="9012" w:type="dxa"/>
        <w:tblInd w:w="55"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ayout w:type="fixed"/>
        <w:tblLook w:val="0400" w:firstRow="0" w:lastRow="0" w:firstColumn="0" w:lastColumn="0" w:noHBand="0" w:noVBand="1"/>
      </w:tblPr>
      <w:tblGrid>
        <w:gridCol w:w="631"/>
        <w:gridCol w:w="2389"/>
        <w:gridCol w:w="5992"/>
      </w:tblGrid>
      <w:tr w:rsidR="006F3E0E" w14:paraId="7C549878" w14:textId="77777777" w:rsidTr="006F3E0E">
        <w:trPr>
          <w:trHeight w:val="201"/>
        </w:trPr>
        <w:tc>
          <w:tcPr>
            <w:tcW w:w="631" w:type="dxa"/>
          </w:tcPr>
          <w:p w14:paraId="4E219BA8" w14:textId="77777777" w:rsidR="006F3E0E" w:rsidRDefault="006F3E0E" w:rsidP="0094705B">
            <w:pPr>
              <w:spacing w:line="240" w:lineRule="auto"/>
              <w:jc w:val="center"/>
              <w:rPr>
                <w:rFonts w:ascii="Calibri" w:eastAsia="Calibri" w:hAnsi="Calibri" w:cs="Calibri"/>
                <w:color w:val="0070C0"/>
              </w:rPr>
            </w:pPr>
            <w:r>
              <w:rPr>
                <w:rFonts w:ascii="Calibri" w:eastAsia="Calibri" w:hAnsi="Calibri" w:cs="Calibri"/>
                <w:color w:val="0070C0"/>
              </w:rPr>
              <w:t>B</w:t>
            </w:r>
          </w:p>
        </w:tc>
        <w:tc>
          <w:tcPr>
            <w:tcW w:w="2389" w:type="dxa"/>
          </w:tcPr>
          <w:p w14:paraId="7A5D6CDF" w14:textId="77777777" w:rsidR="006F3E0E" w:rsidRDefault="006F3E0E" w:rsidP="0094705B">
            <w:pPr>
              <w:spacing w:line="240" w:lineRule="auto"/>
              <w:jc w:val="left"/>
              <w:rPr>
                <w:rFonts w:ascii="Calibri" w:eastAsia="Calibri" w:hAnsi="Calibri" w:cs="Calibri"/>
                <w:color w:val="0070C0"/>
              </w:rPr>
            </w:pPr>
            <w:r>
              <w:rPr>
                <w:rFonts w:ascii="Calibri" w:eastAsia="Calibri" w:hAnsi="Calibri" w:cs="Calibri"/>
                <w:color w:val="0070C0"/>
              </w:rPr>
              <w:t>Prise en charge</w:t>
            </w:r>
          </w:p>
        </w:tc>
        <w:tc>
          <w:tcPr>
            <w:tcW w:w="5992" w:type="dxa"/>
          </w:tcPr>
          <w:p w14:paraId="6D2695FA" w14:textId="77777777" w:rsidR="006F3E0E" w:rsidRDefault="006F3E0E" w:rsidP="0094705B">
            <w:pPr>
              <w:spacing w:line="240" w:lineRule="auto"/>
              <w:rPr>
                <w:rFonts w:ascii="Calibri" w:eastAsia="Calibri" w:hAnsi="Calibri" w:cs="Calibri"/>
                <w:color w:val="0070C0"/>
              </w:rPr>
            </w:pPr>
            <w:r>
              <w:rPr>
                <w:rFonts w:ascii="Calibri" w:eastAsia="Calibri" w:hAnsi="Calibri" w:cs="Calibri"/>
                <w:color w:val="0070C0"/>
              </w:rPr>
              <w:t>Savoir monitorer la tolérance du traitement</w:t>
            </w:r>
          </w:p>
        </w:tc>
      </w:tr>
      <w:tr w:rsidR="006F3E0E" w14:paraId="57A69BE7" w14:textId="77777777" w:rsidTr="006F3E0E">
        <w:trPr>
          <w:trHeight w:val="201"/>
        </w:trPr>
        <w:tc>
          <w:tcPr>
            <w:tcW w:w="631" w:type="dxa"/>
          </w:tcPr>
          <w:p w14:paraId="546A2F26" w14:textId="77777777" w:rsidR="006F3E0E" w:rsidRDefault="006F3E0E" w:rsidP="0094705B">
            <w:pPr>
              <w:spacing w:line="240" w:lineRule="auto"/>
              <w:jc w:val="center"/>
              <w:rPr>
                <w:rFonts w:ascii="Calibri" w:eastAsia="Calibri" w:hAnsi="Calibri" w:cs="Calibri"/>
                <w:color w:val="0070C0"/>
              </w:rPr>
            </w:pPr>
            <w:r>
              <w:rPr>
                <w:rFonts w:ascii="Calibri" w:eastAsia="Calibri" w:hAnsi="Calibri" w:cs="Calibri"/>
                <w:color w:val="0070C0"/>
              </w:rPr>
              <w:t>B</w:t>
            </w:r>
          </w:p>
        </w:tc>
        <w:tc>
          <w:tcPr>
            <w:tcW w:w="2389" w:type="dxa"/>
          </w:tcPr>
          <w:p w14:paraId="089FB2E1" w14:textId="77777777" w:rsidR="006F3E0E" w:rsidRDefault="006F3E0E" w:rsidP="0094705B">
            <w:pPr>
              <w:spacing w:line="240" w:lineRule="auto"/>
              <w:jc w:val="left"/>
              <w:rPr>
                <w:rFonts w:ascii="Calibri" w:eastAsia="Calibri" w:hAnsi="Calibri" w:cs="Calibri"/>
                <w:color w:val="0070C0"/>
              </w:rPr>
            </w:pPr>
            <w:r>
              <w:rPr>
                <w:rFonts w:ascii="Calibri" w:eastAsia="Calibri" w:hAnsi="Calibri" w:cs="Calibri"/>
                <w:color w:val="0070C0"/>
              </w:rPr>
              <w:t>Ex. complémentaires</w:t>
            </w:r>
          </w:p>
        </w:tc>
        <w:tc>
          <w:tcPr>
            <w:tcW w:w="5992" w:type="dxa"/>
          </w:tcPr>
          <w:p w14:paraId="719E0EB1" w14:textId="77777777" w:rsidR="006F3E0E" w:rsidRDefault="006F3E0E" w:rsidP="0094705B">
            <w:pPr>
              <w:spacing w:line="240" w:lineRule="auto"/>
              <w:rPr>
                <w:rFonts w:ascii="Calibri" w:eastAsia="Calibri" w:hAnsi="Calibri" w:cs="Calibri"/>
                <w:color w:val="0070C0"/>
              </w:rPr>
            </w:pPr>
            <w:r>
              <w:rPr>
                <w:rFonts w:ascii="Calibri" w:eastAsia="Calibri" w:hAnsi="Calibri" w:cs="Calibri"/>
                <w:color w:val="0070C0"/>
              </w:rPr>
              <w:t>Connaître l’objectif de l’imagerie dans l’exploration d’une BPCO</w:t>
            </w:r>
          </w:p>
        </w:tc>
      </w:tr>
    </w:tbl>
    <w:p w14:paraId="6205A7E9" w14:textId="50B18442" w:rsidR="006F3E0E" w:rsidRDefault="006F3E0E" w:rsidP="006F3E0E">
      <w:pPr>
        <w:spacing w:line="240" w:lineRule="auto"/>
        <w:rPr>
          <w:color w:val="2E74B5"/>
        </w:rPr>
      </w:pPr>
    </w:p>
    <w:p w14:paraId="41255819" w14:textId="38D5AAA6" w:rsidR="006F3E0E" w:rsidRPr="006F3E0E" w:rsidRDefault="006F3E0E" w:rsidP="006F3E0E">
      <w:pPr>
        <w:spacing w:after="160"/>
        <w:jc w:val="left"/>
        <w:rPr>
          <w:color w:val="2E74B5"/>
        </w:rPr>
      </w:pPr>
      <w:r>
        <w:rPr>
          <w:color w:val="2E74B5"/>
        </w:rPr>
        <w:br w:type="page"/>
      </w:r>
    </w:p>
    <w:p w14:paraId="1A91D4E0" w14:textId="77777777" w:rsidR="00896114" w:rsidRDefault="00876EF8" w:rsidP="00896114">
      <w:pPr>
        <w:pStyle w:val="Pointscls"/>
      </w:pPr>
      <w:r>
        <w:lastRenderedPageBreak/>
        <w:t>Points clés</w:t>
      </w:r>
    </w:p>
    <w:p w14:paraId="154C4405" w14:textId="77777777" w:rsidR="006F3E0E" w:rsidRPr="006F3E0E" w:rsidRDefault="006F3E0E" w:rsidP="006F3E0E">
      <w:pPr>
        <w:pStyle w:val="pointscls1"/>
        <w:rPr>
          <w:color w:val="0070C0"/>
        </w:rPr>
      </w:pPr>
      <w:r w:rsidRPr="006F3E0E">
        <w:rPr>
          <w:color w:val="0070C0"/>
        </w:rPr>
        <w:t>La BPCO est une maladie fréquente, source de morbidité (handicap ventilatoire, comorbidités extra-respiratoires, exacerbations), de mortalité et de dépenses de santé élevées.</w:t>
      </w:r>
    </w:p>
    <w:p w14:paraId="29DA2AE4" w14:textId="77777777" w:rsidR="006F3E0E" w:rsidRDefault="006F3E0E" w:rsidP="006F3E0E">
      <w:pPr>
        <w:pStyle w:val="pointscls1"/>
      </w:pPr>
      <w:r w:rsidRPr="006F3E0E">
        <w:t>Elle est définie par la présence de sym</w:t>
      </w:r>
      <w:r>
        <w:t xml:space="preserve">ptômes respiratoires chroniques (au moins un parmi dyspnée, toux, expectoration, ou infections respiratoires basses répétées) </w:t>
      </w:r>
      <w:r>
        <w:rPr>
          <w:b/>
          <w:bCs/>
          <w:u w:val="single"/>
        </w:rPr>
        <w:t>ET</w:t>
      </w:r>
      <w:r>
        <w:t xml:space="preserve"> d’un trouble ventilatoire obstructif non complètement réversible aux EFR réalisés à l’état stable : VEMS/CVF &lt; 70 % après bronchodilatateur (test de réversibilité). </w:t>
      </w:r>
    </w:p>
    <w:p w14:paraId="31AC33B6" w14:textId="77777777" w:rsidR="006F3E0E" w:rsidRDefault="006F3E0E" w:rsidP="006F3E0E">
      <w:pPr>
        <w:pStyle w:val="pointscls1"/>
      </w:pPr>
      <w:r>
        <w:t>Le principal facteur de risque en France est de loin le tabagisme. Des expositions professionnelles peuvent également être en cause.</w:t>
      </w:r>
    </w:p>
    <w:p w14:paraId="3648A083" w14:textId="77777777" w:rsidR="006F3E0E" w:rsidRDefault="006F3E0E" w:rsidP="006F3E0E">
      <w:pPr>
        <w:pStyle w:val="pointscls1"/>
      </w:pPr>
      <w:r>
        <w:t>Le symptôme principal est la dyspnée (mais tardive et sous-estimée).</w:t>
      </w:r>
    </w:p>
    <w:p w14:paraId="1B42A1CD" w14:textId="77777777" w:rsidR="006F3E0E" w:rsidRDefault="006F3E0E" w:rsidP="006F3E0E">
      <w:pPr>
        <w:pStyle w:val="pointscls1"/>
      </w:pPr>
      <w:r>
        <w:t>Le second symptôme est la toux et expectoration et la répétition d’exacerbations (patient «</w:t>
      </w:r>
      <w:r>
        <w:rPr>
          <w:rFonts w:ascii="Arial" w:eastAsia="Arial" w:hAnsi="Arial" w:cs="Arial"/>
        </w:rPr>
        <w:t> </w:t>
      </w:r>
      <w:r>
        <w:t>exacerbateur fréquent</w:t>
      </w:r>
      <w:r>
        <w:rPr>
          <w:rFonts w:ascii="Arial" w:eastAsia="Arial" w:hAnsi="Arial" w:cs="Arial"/>
        </w:rPr>
        <w:t> </w:t>
      </w:r>
      <w:r>
        <w:t>») a un impact pronostique sur la survie et doit être systématiquement recherchée.</w:t>
      </w:r>
    </w:p>
    <w:p w14:paraId="6645F1A3" w14:textId="77777777" w:rsidR="006F3E0E" w:rsidRDefault="006F3E0E" w:rsidP="006F3E0E">
      <w:pPr>
        <w:pStyle w:val="pointscls1"/>
      </w:pPr>
      <w:r>
        <w:t>Les principaux diagnostics différentiels de la BPCO sont l’asthme et la dilatation des bronches.</w:t>
      </w:r>
    </w:p>
    <w:p w14:paraId="2453F4F3" w14:textId="2E346CCE" w:rsidR="006F3E0E" w:rsidRDefault="006F3E0E" w:rsidP="006F3E0E">
      <w:pPr>
        <w:pStyle w:val="pointscls1"/>
      </w:pPr>
      <w:r>
        <w:t>Le diagnostic et l’appréciation de la sévérité reposent sur 1) les explorations fonctionnelles respiratoires (classification spirométrique de la sévérité de l’obstruction bronchique, volumes pulmonaires, diffusion du CO), 2) le retentissement clinique (degré de dyspnée, altération de la qualité de vie, nombre d’exacerbations et leur sévérité) et 3) la présence de comorbidités.</w:t>
      </w:r>
    </w:p>
    <w:p w14:paraId="43E8D5FC" w14:textId="77777777" w:rsidR="006F3E0E" w:rsidRDefault="006F3E0E" w:rsidP="006F3E0E">
      <w:pPr>
        <w:pStyle w:val="pointscls1"/>
      </w:pPr>
      <w:r>
        <w:t>L’évaluation spirométrique de la sévérité de l’obstruction bronchique repose sur la mesure du VEMS après inhalation de broncho-dilatateurs.</w:t>
      </w:r>
    </w:p>
    <w:p w14:paraId="5665F7DE" w14:textId="77777777" w:rsidR="006F3E0E" w:rsidRDefault="006F3E0E" w:rsidP="006F3E0E">
      <w:pPr>
        <w:pStyle w:val="pointscls1"/>
      </w:pPr>
      <w:r>
        <w:t>Les comorbidités systématiquement recherchées et traitées sont : 1) cardiovasculaires, 2) cancer bronchique, 3) anxiété/dépression, 4) Dénutrition/obésité, 5) amyotrophie/ostéoporose</w:t>
      </w:r>
      <w:r>
        <w:rPr>
          <w:rFonts w:ascii="Arial" w:eastAsia="Arial" w:hAnsi="Arial" w:cs="Arial"/>
        </w:rPr>
        <w:t> </w:t>
      </w:r>
      <w:r>
        <w:t>; 6) Anémie/polyglobulie…</w:t>
      </w:r>
    </w:p>
    <w:p w14:paraId="20E2D8E4" w14:textId="77777777" w:rsidR="006F3E0E" w:rsidRDefault="006F3E0E" w:rsidP="006F3E0E">
      <w:pPr>
        <w:pStyle w:val="pointscls1"/>
      </w:pPr>
      <w:r>
        <w:t>Le traitement repose sur :</w:t>
      </w:r>
    </w:p>
    <w:p w14:paraId="39A7631E" w14:textId="77777777" w:rsidR="006F3E0E" w:rsidRDefault="006F3E0E" w:rsidP="006F3E0E">
      <w:pPr>
        <w:pStyle w:val="pointscls1"/>
        <w:numPr>
          <w:ilvl w:val="0"/>
          <w:numId w:val="0"/>
        </w:numPr>
        <w:ind w:left="142"/>
      </w:pPr>
      <w:r>
        <w:t>- Le sevrage tabagique (et/ou l’éviction des risques professionnels le cas échéant).</w:t>
      </w:r>
    </w:p>
    <w:p w14:paraId="659249E4" w14:textId="77777777" w:rsidR="006F3E0E" w:rsidRDefault="006F3E0E" w:rsidP="006F3E0E">
      <w:pPr>
        <w:pStyle w:val="pointscls1"/>
        <w:numPr>
          <w:ilvl w:val="0"/>
          <w:numId w:val="0"/>
        </w:numPr>
        <w:ind w:left="142"/>
      </w:pPr>
      <w:r>
        <w:t xml:space="preserve">- Les bronchodilatateurs inhalés (bêta-2-agonistes et anticholinergiques de courte ou de longue durée d’action, seuls ou </w:t>
      </w:r>
      <w:sdt>
        <w:sdtPr>
          <w:tag w:val="goog_rdk_0"/>
          <w:id w:val="1344149280"/>
        </w:sdtPr>
        <w:sdtContent/>
      </w:sdt>
      <w:r>
        <w:t>associés).</w:t>
      </w:r>
    </w:p>
    <w:p w14:paraId="3829A16C" w14:textId="77777777" w:rsidR="006F3E0E" w:rsidRDefault="006F3E0E" w:rsidP="006F3E0E">
      <w:pPr>
        <w:pStyle w:val="pointscls1"/>
        <w:numPr>
          <w:ilvl w:val="0"/>
          <w:numId w:val="0"/>
        </w:numPr>
        <w:ind w:left="142"/>
      </w:pPr>
      <w:r>
        <w:t>- Les associations fixes de bêta-2-agonistes de longue durée d’action et de corticostéroïdes inhalés peuvent être utilisées dans les formes avec exacerbations fréquentes malgré un traitement bronchodilatateur régulier.</w:t>
      </w:r>
    </w:p>
    <w:p w14:paraId="30226DCC" w14:textId="77777777" w:rsidR="006F3E0E" w:rsidRDefault="006F3E0E" w:rsidP="006F3E0E">
      <w:pPr>
        <w:pStyle w:val="pointscls1"/>
        <w:numPr>
          <w:ilvl w:val="0"/>
          <w:numId w:val="0"/>
        </w:numPr>
        <w:ind w:left="142"/>
      </w:pPr>
      <w:r>
        <w:t>- Les associations fixes triples (bêta-2-agoniste de longue durée d’action + anticholinergique de longue durée d’action + corticostéroïde inhalés) sont indiquées chez les patients restant symptomatiques et/ou ayant des exacerbations malgré un traitement double.</w:t>
      </w:r>
    </w:p>
    <w:p w14:paraId="33DB027A" w14:textId="77777777" w:rsidR="006F3E0E" w:rsidRDefault="006F3E0E" w:rsidP="006F3E0E">
      <w:pPr>
        <w:pStyle w:val="pointscls1"/>
        <w:numPr>
          <w:ilvl w:val="0"/>
          <w:numId w:val="0"/>
        </w:numPr>
        <w:ind w:left="426" w:hanging="284"/>
      </w:pPr>
      <w:r>
        <w:t>- Le maintien d’une activité physique régulière et d’un équilibre nutritionnel.</w:t>
      </w:r>
    </w:p>
    <w:p w14:paraId="73FAD437" w14:textId="77777777" w:rsidR="006F3E0E" w:rsidRDefault="006F3E0E" w:rsidP="006F3E0E">
      <w:pPr>
        <w:pStyle w:val="pointscls1"/>
        <w:numPr>
          <w:ilvl w:val="0"/>
          <w:numId w:val="0"/>
        </w:numPr>
        <w:ind w:left="426" w:hanging="284"/>
      </w:pPr>
      <w:r>
        <w:t>- Les vaccinations recommandées (grippe, pneumocoque, SARS-CoV2).</w:t>
      </w:r>
    </w:p>
    <w:p w14:paraId="78AC3046" w14:textId="77777777" w:rsidR="006F3E0E" w:rsidRDefault="006F3E0E" w:rsidP="006F3E0E">
      <w:pPr>
        <w:pStyle w:val="pointscls1"/>
        <w:numPr>
          <w:ilvl w:val="0"/>
          <w:numId w:val="0"/>
        </w:numPr>
        <w:ind w:left="142"/>
      </w:pPr>
      <w:r>
        <w:t>- La réadaptation respiratoire, qui réunit tous ces traitements dans un temps et un lieu dédié, doit être proposée à tout patient présentant des symptômes invalidants persistants (handicap respiratoire).</w:t>
      </w:r>
    </w:p>
    <w:p w14:paraId="00C4D5A9" w14:textId="77777777" w:rsidR="006F3E0E" w:rsidRDefault="006F3E0E" w:rsidP="006F3E0E">
      <w:pPr>
        <w:pStyle w:val="pointscls1"/>
      </w:pPr>
      <w:r>
        <w:t>En aigu : La prise en charge des exacerbations (majoration des symptômes au-delà des variations quotidiennes habituelles) débute par la recherche de critères d’hospitalisation [signes de gravité clinique et/ou contexte fragile et/ou décompensation des comorbidités associées (cardiovasculaire…)] et de la cause de l’exacerbation (la purulence de l’expectoration évoque une origine infectieuse).</w:t>
      </w:r>
    </w:p>
    <w:p w14:paraId="1A455AFC" w14:textId="77777777" w:rsidR="006F3E0E" w:rsidRDefault="006F3E0E" w:rsidP="006F3E0E">
      <w:pPr>
        <w:pStyle w:val="pointscls1"/>
      </w:pPr>
      <w:r>
        <w:t xml:space="preserve">En aigu : Le traitement des exacerbations est celui des symptômes (bronchodilatateurs) et de la cause (antibiotiques devant une expectoration purulente). Il associe parfois : </w:t>
      </w:r>
    </w:p>
    <w:p w14:paraId="71C03DED" w14:textId="77777777" w:rsidR="006F3E0E" w:rsidRDefault="006F3E0E" w:rsidP="006F3E0E">
      <w:pPr>
        <w:pStyle w:val="pointscls1"/>
        <w:numPr>
          <w:ilvl w:val="0"/>
          <w:numId w:val="0"/>
        </w:numPr>
        <w:ind w:left="142"/>
      </w:pPr>
      <w:r>
        <w:t>- Des corticostéroïdes oraux en cas de signes de gravité ou d’amélioration insuffisante après 48 h.</w:t>
      </w:r>
    </w:p>
    <w:p w14:paraId="7714A445" w14:textId="77777777" w:rsidR="006F3E0E" w:rsidRDefault="006F3E0E" w:rsidP="006F3E0E">
      <w:pPr>
        <w:pStyle w:val="pointscls1"/>
        <w:numPr>
          <w:ilvl w:val="0"/>
          <w:numId w:val="0"/>
        </w:numPr>
        <w:ind w:left="426" w:hanging="284"/>
      </w:pPr>
      <w:r>
        <w:t>- Et/ou une oxygénothérapie en cas d’hypoxémie, pour maintenir une SpO</w:t>
      </w:r>
      <w:r>
        <w:rPr>
          <w:vertAlign w:val="subscript"/>
        </w:rPr>
        <w:t>2</w:t>
      </w:r>
      <w:r>
        <w:t xml:space="preserve"> à 88-92 %.</w:t>
      </w:r>
    </w:p>
    <w:p w14:paraId="6DEED457" w14:textId="77777777" w:rsidR="006F3E0E" w:rsidRDefault="006F3E0E" w:rsidP="006F3E0E">
      <w:pPr>
        <w:pStyle w:val="pointscls1"/>
        <w:numPr>
          <w:ilvl w:val="0"/>
          <w:numId w:val="0"/>
        </w:numPr>
        <w:ind w:left="426" w:hanging="284"/>
      </w:pPr>
      <w:r>
        <w:t xml:space="preserve">- Et/ou une assistance ventilatoire mécanique en cas d’acidose respiratoire non compensée. </w:t>
      </w:r>
    </w:p>
    <w:p w14:paraId="0D118E1C" w14:textId="77777777" w:rsidR="00896114" w:rsidRDefault="00896114">
      <w:pPr>
        <w:spacing w:after="160"/>
        <w:jc w:val="left"/>
        <w:rPr>
          <w:b/>
          <w:bCs/>
          <w:color w:val="FFFFFF"/>
          <w:sz w:val="22"/>
          <w:szCs w:val="22"/>
        </w:rPr>
      </w:pPr>
      <w:r>
        <w:br w:type="page"/>
      </w:r>
    </w:p>
    <w:p w14:paraId="6AE8ED9C" w14:textId="141A29C6" w:rsidR="006F3E0E" w:rsidRDefault="006F3E0E" w:rsidP="006F3E0E">
      <w:pPr>
        <w:rPr>
          <w:b/>
          <w:bCs/>
          <w:smallCaps/>
          <w:color w:val="0070C0"/>
        </w:rPr>
      </w:pPr>
      <w:r>
        <w:rPr>
          <w:noProof/>
        </w:rPr>
        <w:lastRenderedPageBreak/>
        <w:drawing>
          <wp:anchor distT="0" distB="0" distL="114300" distR="114300" simplePos="0" relativeHeight="251894784" behindDoc="0" locked="0" layoutInCell="1" hidden="0" allowOverlap="1" wp14:anchorId="787D6C90" wp14:editId="0A01FD0D">
            <wp:simplePos x="0" y="0"/>
            <wp:positionH relativeFrom="column">
              <wp:posOffset>-258917</wp:posOffset>
            </wp:positionH>
            <wp:positionV relativeFrom="paragraph">
              <wp:posOffset>0</wp:posOffset>
            </wp:positionV>
            <wp:extent cx="153670" cy="137160"/>
            <wp:effectExtent l="0" t="0" r="0" b="0"/>
            <wp:wrapSquare wrapText="bothSides" distT="0" distB="0" distL="114300" distR="114300"/>
            <wp:docPr id="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Pr>
          <w:smallCaps/>
          <w:color w:val="0070C0"/>
        </w:rPr>
        <w:t>L</w:t>
      </w:r>
      <w:r>
        <w:rPr>
          <w:color w:val="0070C0"/>
        </w:rPr>
        <w:t>a</w:t>
      </w:r>
      <w:r>
        <w:rPr>
          <w:smallCaps/>
          <w:color w:val="0070C0"/>
        </w:rPr>
        <w:t xml:space="preserve"> BPCO </w:t>
      </w:r>
      <w:r>
        <w:rPr>
          <w:color w:val="0070C0"/>
        </w:rPr>
        <w:t>est un problème de santé publique majeur alors que cette maladie est méconnue du grand public et de nombreux professionnels de santé. En France, la BPCO concerne 5-10 % de la population des plus de 45 ans, soit entre 2,5 et 3,5 millions de sujets. En 2022, plus de 18 000 décès en France étaient liés à la BPCO. Dans les pays riches, dont la France, la BPCO est entre 3</w:t>
      </w:r>
      <w:r>
        <w:rPr>
          <w:color w:val="0070C0"/>
          <w:vertAlign w:val="superscript"/>
        </w:rPr>
        <w:t>e</w:t>
      </w:r>
      <w:r>
        <w:rPr>
          <w:color w:val="0070C0"/>
        </w:rPr>
        <w:t xml:space="preserve"> et la 5</w:t>
      </w:r>
      <w:r>
        <w:rPr>
          <w:color w:val="0070C0"/>
          <w:vertAlign w:val="superscript"/>
        </w:rPr>
        <w:t>e</w:t>
      </w:r>
      <w:r>
        <w:rPr>
          <w:color w:val="0070C0"/>
        </w:rPr>
        <w:t> cause de mortalité. C’est l’une des seules maladies chroniques où la prévalence globale est en augmentation.</w:t>
      </w:r>
    </w:p>
    <w:p w14:paraId="04F07515" w14:textId="77777777" w:rsidR="006F3E0E" w:rsidRDefault="006F3E0E" w:rsidP="006F3E0E">
      <w:pPr>
        <w:widowControl w:val="0"/>
        <w:spacing w:line="276" w:lineRule="auto"/>
        <w:rPr>
          <w:smallCaps/>
        </w:rPr>
      </w:pPr>
    </w:p>
    <w:p w14:paraId="17C86067" w14:textId="6B4A1574" w:rsidR="006F3E0E" w:rsidRDefault="006F3E0E" w:rsidP="006F3E0E">
      <w:pPr>
        <w:pStyle w:val="titredepartie"/>
      </w:pPr>
      <w:r>
        <w:t>DEFINITIONS – PHYSIOPATHOLOGIE - EPIDEMIOLOGIE</w:t>
      </w:r>
    </w:p>
    <w:p w14:paraId="7D27049D" w14:textId="77777777" w:rsidR="006F3E0E" w:rsidRDefault="006F3E0E" w:rsidP="006F3E0E">
      <w:pPr>
        <w:widowControl w:val="0"/>
        <w:spacing w:line="276" w:lineRule="auto"/>
        <w:rPr>
          <w:u w:val="single"/>
        </w:rPr>
      </w:pPr>
      <w:r>
        <w:t>«</w:t>
      </w:r>
      <w:r>
        <w:rPr>
          <w:rFonts w:ascii="Arial" w:eastAsia="Arial" w:hAnsi="Arial" w:cs="Arial"/>
        </w:rPr>
        <w:t> </w:t>
      </w:r>
      <w:r>
        <w:rPr>
          <w:b/>
          <w:bCs/>
          <w:u w:val="single"/>
        </w:rPr>
        <w:t>BPCO</w:t>
      </w:r>
      <w:r>
        <w:rPr>
          <w:u w:val="single"/>
        </w:rPr>
        <w:t> = Broncho Pneumopathie Chronique Obstructive</w:t>
      </w:r>
      <w:r>
        <w:rPr>
          <w:rFonts w:ascii="Arial" w:eastAsia="Arial" w:hAnsi="Arial" w:cs="Arial"/>
        </w:rPr>
        <w:t> </w:t>
      </w:r>
      <w:r>
        <w:t>»</w:t>
      </w:r>
    </w:p>
    <w:p w14:paraId="5CE8F9E3" w14:textId="77777777" w:rsidR="006F3E0E" w:rsidRDefault="006F3E0E" w:rsidP="006F3E0E">
      <w:pPr>
        <w:widowControl w:val="0"/>
        <w:spacing w:line="276" w:lineRule="auto"/>
      </w:pPr>
      <w:r>
        <w:t>Le nom de la maladie résume le fait que c’est une maladie respiratoire qui touche les bronches (B) et le parenchyme pulmonaire (P), qu’elle est chronique et non guérissable (C) et qu’elle se confirme avec une obstruction (O) aux examens complémentaires.</w:t>
      </w:r>
    </w:p>
    <w:p w14:paraId="70C7673B" w14:textId="77777777" w:rsidR="006F3E0E" w:rsidRDefault="006F3E0E" w:rsidP="006F3E0E">
      <w:pPr>
        <w:widowControl w:val="0"/>
        <w:spacing w:line="276" w:lineRule="auto"/>
      </w:pPr>
      <w:r>
        <w:t>- Maladie respiratoire chronique fréquente.</w:t>
      </w:r>
    </w:p>
    <w:p w14:paraId="2CD0469C" w14:textId="77777777" w:rsidR="006F3E0E" w:rsidRDefault="006F3E0E" w:rsidP="006F3E0E">
      <w:pPr>
        <w:widowControl w:val="0"/>
        <w:spacing w:line="276" w:lineRule="auto"/>
      </w:pPr>
      <w:r>
        <w:t>- Définie par :</w:t>
      </w:r>
    </w:p>
    <w:p w14:paraId="4D319208" w14:textId="77777777" w:rsidR="006F3E0E" w:rsidRDefault="006F3E0E">
      <w:pPr>
        <w:numPr>
          <w:ilvl w:val="1"/>
          <w:numId w:val="25"/>
        </w:numPr>
        <w:spacing w:line="276" w:lineRule="auto"/>
        <w:ind w:left="426" w:hanging="284"/>
      </w:pPr>
      <w:r>
        <w:rPr>
          <w:b/>
          <w:bCs/>
        </w:rPr>
        <w:t>L’existence de symptômes respiratoires chroniques</w:t>
      </w:r>
      <w:r>
        <w:t xml:space="preserve"> (au moins un parmi : toux, expectoration, dyspnée, infections respiratoires basses répétées ou traînantes) </w:t>
      </w:r>
      <w:r>
        <w:rPr>
          <w:b/>
          <w:bCs/>
          <w:u w:val="single"/>
        </w:rPr>
        <w:t>ET</w:t>
      </w:r>
    </w:p>
    <w:p w14:paraId="01BC2210" w14:textId="77777777" w:rsidR="006F3E0E" w:rsidRDefault="006F3E0E">
      <w:pPr>
        <w:numPr>
          <w:ilvl w:val="1"/>
          <w:numId w:val="25"/>
        </w:numPr>
        <w:spacing w:line="276" w:lineRule="auto"/>
        <w:ind w:left="426" w:hanging="284"/>
      </w:pPr>
      <w:r>
        <w:rPr>
          <w:b/>
          <w:bCs/>
        </w:rPr>
        <w:t>Une obstruction permanente des voies aériennes</w:t>
      </w:r>
      <w:r>
        <w:t xml:space="preserve"> = trouble ventilatoire obstructif (TVO) non complètement réversible (voir chapitre examen complémentaire </w:t>
      </w:r>
      <w:r>
        <w:rPr>
          <w:i/>
          <w:iCs/>
        </w:rPr>
        <w:t>infra</w:t>
      </w:r>
      <w:r>
        <w:t>).</w:t>
      </w:r>
    </w:p>
    <w:p w14:paraId="29737B88" w14:textId="77777777" w:rsidR="006F3E0E" w:rsidRDefault="006F3E0E" w:rsidP="006F3E0E">
      <w:pPr>
        <w:spacing w:line="276" w:lineRule="auto"/>
        <w:rPr>
          <w:u w:val="single"/>
        </w:rPr>
      </w:pPr>
    </w:p>
    <w:p w14:paraId="4E56E155" w14:textId="77777777" w:rsidR="006F3E0E" w:rsidRDefault="006F3E0E" w:rsidP="006F3E0E">
      <w:pPr>
        <w:spacing w:line="276" w:lineRule="auto"/>
        <w:rPr>
          <w:b/>
          <w:bCs/>
          <w:u w:val="single"/>
        </w:rPr>
      </w:pPr>
      <w:r>
        <w:rPr>
          <w:b/>
          <w:bCs/>
        </w:rPr>
        <w:t>«</w:t>
      </w:r>
      <w:r>
        <w:rPr>
          <w:rFonts w:ascii="Arial" w:eastAsia="Arial" w:hAnsi="Arial" w:cs="Arial"/>
          <w:b/>
          <w:bCs/>
        </w:rPr>
        <w:t> </w:t>
      </w:r>
      <w:r>
        <w:rPr>
          <w:b/>
          <w:bCs/>
          <w:u w:val="single"/>
        </w:rPr>
        <w:t>Exacerbation aiguë de BPCO</w:t>
      </w:r>
      <w:r>
        <w:rPr>
          <w:rFonts w:ascii="Arial" w:eastAsia="Arial" w:hAnsi="Arial" w:cs="Arial"/>
          <w:b/>
          <w:bCs/>
        </w:rPr>
        <w:t> </w:t>
      </w:r>
      <w:r>
        <w:rPr>
          <w:b/>
          <w:bCs/>
        </w:rPr>
        <w:t>»</w:t>
      </w:r>
    </w:p>
    <w:p w14:paraId="760F4AF3" w14:textId="77777777" w:rsidR="006F3E0E" w:rsidRDefault="006F3E0E" w:rsidP="006F3E0E">
      <w:pPr>
        <w:spacing w:line="276" w:lineRule="auto"/>
      </w:pPr>
      <w:r>
        <w:t>Évènement caractérisé par une augmentation de la dyspnée et/ou de la toux et des expectorations qui s’aggravent sur moins de 14 jours, pouvant s’associer à une tachypnée et/ou une tachycardie, et qui est souvent associé avec une augmentation de l’inflammation locale et systémique en lien avec une infection, la pollution ou une autre agression des voies aériennes.</w:t>
      </w:r>
    </w:p>
    <w:p w14:paraId="43BB3AA6" w14:textId="77777777" w:rsidR="006F3E0E" w:rsidRDefault="006F3E0E" w:rsidP="006F3E0E">
      <w:pPr>
        <w:widowControl w:val="0"/>
        <w:spacing w:line="276" w:lineRule="auto"/>
      </w:pPr>
    </w:p>
    <w:p w14:paraId="00C5BB37" w14:textId="77777777" w:rsidR="006F3E0E" w:rsidRDefault="006F3E0E" w:rsidP="006F3E0E">
      <w:pPr>
        <w:widowControl w:val="0"/>
        <w:spacing w:line="276" w:lineRule="auto"/>
        <w:rPr>
          <w:u w:val="single"/>
        </w:rPr>
      </w:pPr>
      <w:r>
        <w:rPr>
          <w:b/>
          <w:bCs/>
        </w:rPr>
        <w:t>«</w:t>
      </w:r>
      <w:r>
        <w:rPr>
          <w:rFonts w:ascii="Arial" w:eastAsia="Arial" w:hAnsi="Arial" w:cs="Arial"/>
          <w:b/>
          <w:bCs/>
        </w:rPr>
        <w:t> </w:t>
      </w:r>
      <w:r>
        <w:rPr>
          <w:b/>
          <w:bCs/>
          <w:u w:val="single"/>
        </w:rPr>
        <w:t>Bronchite chronique</w:t>
      </w:r>
      <w:r>
        <w:rPr>
          <w:rFonts w:ascii="Arial" w:eastAsia="Arial" w:hAnsi="Arial" w:cs="Arial"/>
          <w:b/>
          <w:bCs/>
        </w:rPr>
        <w:t> </w:t>
      </w:r>
      <w:r>
        <w:rPr>
          <w:b/>
          <w:bCs/>
        </w:rPr>
        <w:t>»</w:t>
      </w:r>
      <w:r>
        <w:t xml:space="preserve"> </w:t>
      </w:r>
    </w:p>
    <w:p w14:paraId="3CABD657" w14:textId="43509C80" w:rsidR="006F3E0E" w:rsidRDefault="006F3E0E" w:rsidP="006F3E0E">
      <w:pPr>
        <w:widowControl w:val="0"/>
        <w:spacing w:line="276" w:lineRule="auto"/>
      </w:pPr>
      <w:r>
        <w:t xml:space="preserve">- Sa définition est purement clinique : toux </w:t>
      </w:r>
      <w:r>
        <w:rPr>
          <w:u w:val="single"/>
        </w:rPr>
        <w:t>productive</w:t>
      </w:r>
      <w:r>
        <w:t xml:space="preserve"> (c’est-à-dire avec expectoration) quotidienne ou quasi-quotidienne durant au moins 3 mois par an et au cours d’au moins 2 années consécutives. </w:t>
      </w:r>
    </w:p>
    <w:p w14:paraId="274AABA3" w14:textId="0690A2A9" w:rsidR="006F3E0E" w:rsidRDefault="006F3E0E" w:rsidP="006F3E0E">
      <w:pPr>
        <w:widowControl w:val="0"/>
        <w:spacing w:line="276" w:lineRule="auto"/>
        <w:rPr>
          <w:color w:val="0070C0"/>
        </w:rPr>
      </w:pPr>
      <w:r>
        <w:rPr>
          <w:noProof/>
        </w:rPr>
        <w:drawing>
          <wp:anchor distT="0" distB="0" distL="114300" distR="114300" simplePos="0" relativeHeight="251895808" behindDoc="0" locked="0" layoutInCell="1" hidden="0" allowOverlap="1" wp14:anchorId="5EB33726" wp14:editId="430FB327">
            <wp:simplePos x="0" y="0"/>
            <wp:positionH relativeFrom="column">
              <wp:posOffset>-261148</wp:posOffset>
            </wp:positionH>
            <wp:positionV relativeFrom="paragraph">
              <wp:posOffset>-4445</wp:posOffset>
            </wp:positionV>
            <wp:extent cx="153670" cy="137160"/>
            <wp:effectExtent l="0" t="0" r="0" b="0"/>
            <wp:wrapSquare wrapText="bothSides" distT="0" distB="0" distL="114300" distR="114300"/>
            <wp:docPr id="3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Pr>
          <w:color w:val="0070C0"/>
        </w:rPr>
        <w:t>- Concerne la moitié des fumeurs environ.</w:t>
      </w:r>
    </w:p>
    <w:p w14:paraId="76A75DF5" w14:textId="77777777" w:rsidR="006F3E0E" w:rsidRDefault="006F3E0E" w:rsidP="006F3E0E">
      <w:pPr>
        <w:widowControl w:val="0"/>
        <w:spacing w:line="276" w:lineRule="auto"/>
      </w:pPr>
      <w:r>
        <w:t>-</w:t>
      </w:r>
      <w:r>
        <w:rPr>
          <w:b/>
          <w:bCs/>
        </w:rPr>
        <w:t xml:space="preserve"> Peut</w:t>
      </w:r>
      <w:r>
        <w:t xml:space="preserve"> être associée à la BPCO.</w:t>
      </w:r>
    </w:p>
    <w:p w14:paraId="0DCC86BA" w14:textId="77777777" w:rsidR="006F3E0E" w:rsidRDefault="006F3E0E" w:rsidP="006F3E0E">
      <w:pPr>
        <w:widowControl w:val="0"/>
        <w:spacing w:line="276" w:lineRule="auto"/>
        <w:rPr>
          <w:b/>
          <w:bCs/>
        </w:rPr>
      </w:pPr>
      <w:r>
        <w:t xml:space="preserve">- </w:t>
      </w:r>
      <w:r>
        <w:rPr>
          <w:b/>
          <w:bCs/>
        </w:rPr>
        <w:t>Une bronchite chronique seule sans TVO n’entre pas dans la définition de la BPCO.</w:t>
      </w:r>
    </w:p>
    <w:p w14:paraId="7A5957D2" w14:textId="77777777" w:rsidR="006F3E0E" w:rsidRDefault="006F3E0E" w:rsidP="006F3E0E">
      <w:pPr>
        <w:widowControl w:val="0"/>
        <w:spacing w:line="276" w:lineRule="auto"/>
        <w:ind w:left="360"/>
      </w:pPr>
    </w:p>
    <w:p w14:paraId="508B13B7" w14:textId="77777777" w:rsidR="006F3E0E" w:rsidRDefault="006F3E0E" w:rsidP="006F3E0E">
      <w:pPr>
        <w:rPr>
          <w:b/>
          <w:bCs/>
          <w:u w:val="single"/>
        </w:rPr>
      </w:pPr>
      <w:r>
        <w:rPr>
          <w:b/>
          <w:bCs/>
        </w:rPr>
        <w:t>«</w:t>
      </w:r>
      <w:r>
        <w:rPr>
          <w:rFonts w:ascii="Arial" w:eastAsia="Arial" w:hAnsi="Arial" w:cs="Arial"/>
          <w:b/>
          <w:bCs/>
        </w:rPr>
        <w:t> </w:t>
      </w:r>
      <w:r>
        <w:rPr>
          <w:b/>
          <w:bCs/>
          <w:u w:val="single"/>
        </w:rPr>
        <w:t>Emphysème</w:t>
      </w:r>
      <w:r>
        <w:rPr>
          <w:rFonts w:ascii="Arial" w:eastAsia="Arial" w:hAnsi="Arial" w:cs="Arial"/>
          <w:b/>
          <w:bCs/>
        </w:rPr>
        <w:t> </w:t>
      </w:r>
      <w:r>
        <w:rPr>
          <w:b/>
          <w:bCs/>
        </w:rPr>
        <w:t xml:space="preserve">» </w:t>
      </w:r>
    </w:p>
    <w:p w14:paraId="02803A36" w14:textId="77777777" w:rsidR="006F3E0E" w:rsidRDefault="006F3E0E" w:rsidP="006F3E0E">
      <w:pPr>
        <w:widowControl w:val="0"/>
        <w:spacing w:line="276" w:lineRule="auto"/>
      </w:pPr>
      <w:r>
        <w:t xml:space="preserve">- Sa définition est </w:t>
      </w:r>
      <w:r>
        <w:rPr>
          <w:u w:val="single"/>
        </w:rPr>
        <w:t>anatomopathologique</w:t>
      </w:r>
      <w:r>
        <w:t> : élargissement anormal et permanent des espaces aériens distaux (au-delà des bronchioles terminales), avec destruction des parois alvéolaires, sans fibrose associée.</w:t>
      </w:r>
    </w:p>
    <w:p w14:paraId="0C45DE38" w14:textId="77777777" w:rsidR="006F3E0E" w:rsidRDefault="006F3E0E" w:rsidP="006F3E0E">
      <w:pPr>
        <w:widowControl w:val="0"/>
        <w:spacing w:line="276" w:lineRule="auto"/>
      </w:pPr>
      <w:r>
        <w:t xml:space="preserve">On peut le suspecter sur la radiographie de thorax (voir infra) et l’affirmer sur le scanner thoracique (figure 1) montrant des zones d’hypodensité traduisant une raréfaction du parenchyme pulmonaire. On peut également le suspecter sur les données fonctionnelles respiratoires (distension, altération de la diffusion alvéolo-capillaire). </w:t>
      </w:r>
    </w:p>
    <w:p w14:paraId="6F6AD173" w14:textId="238DFB56" w:rsidR="006F3E0E" w:rsidRDefault="006F3E0E" w:rsidP="006F3E0E">
      <w:pPr>
        <w:widowControl w:val="0"/>
        <w:spacing w:line="276" w:lineRule="auto"/>
        <w:rPr>
          <w:b/>
          <w:bCs/>
          <w:color w:val="0070C0"/>
        </w:rPr>
      </w:pPr>
      <w:r>
        <w:rPr>
          <w:noProof/>
        </w:rPr>
        <w:drawing>
          <wp:anchor distT="0" distB="0" distL="114300" distR="114300" simplePos="0" relativeHeight="251896832" behindDoc="0" locked="0" layoutInCell="1" hidden="0" allowOverlap="1" wp14:anchorId="66CF22DA" wp14:editId="1F063088">
            <wp:simplePos x="0" y="0"/>
            <wp:positionH relativeFrom="column">
              <wp:posOffset>-252893</wp:posOffset>
            </wp:positionH>
            <wp:positionV relativeFrom="paragraph">
              <wp:posOffset>11430</wp:posOffset>
            </wp:positionV>
            <wp:extent cx="153670" cy="137160"/>
            <wp:effectExtent l="0" t="0" r="0" b="0"/>
            <wp:wrapSquare wrapText="bothSides" distT="0" distB="0" distL="114300" distR="11430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Pr>
          <w:color w:val="0070C0"/>
        </w:rPr>
        <w:t xml:space="preserve">- </w:t>
      </w:r>
      <w:r>
        <w:rPr>
          <w:b/>
          <w:bCs/>
          <w:color w:val="0070C0"/>
        </w:rPr>
        <w:t>Un emphysème sans TVO n’entre pas dans la définition de la BPCO.</w:t>
      </w:r>
    </w:p>
    <w:p w14:paraId="6FF22812" w14:textId="77777777" w:rsidR="006F3E0E" w:rsidRDefault="006F3E0E" w:rsidP="006F3E0E">
      <w:pPr>
        <w:widowControl w:val="0"/>
        <w:rPr>
          <w:i/>
          <w:iCs/>
          <w:vertAlign w:val="superscript"/>
        </w:rPr>
      </w:pPr>
    </w:p>
    <w:p w14:paraId="37F81C79" w14:textId="77777777" w:rsidR="006F3E0E" w:rsidRDefault="006F3E0E" w:rsidP="006F3E0E">
      <w:pPr>
        <w:pStyle w:val="lgende"/>
      </w:pPr>
      <w:r>
        <w:rPr>
          <w:i/>
          <w:iCs/>
          <w:vertAlign w:val="superscript"/>
        </w:rPr>
        <w:t xml:space="preserve"> </w:t>
      </w:r>
      <w:r>
        <w:t>Figure 1 : De gauche à droite, hémichamp pulmonaire gauche au niveau de la carène d’un poumon normal, d’un emphysème centro-lobulaire (zones d’hypodensités), d’un emphysème bulleux (hypodensités confluentes et formant des bulles).</w:t>
      </w:r>
    </w:p>
    <w:p w14:paraId="44691105" w14:textId="77777777" w:rsidR="006F3E0E" w:rsidRDefault="006F3E0E" w:rsidP="006F3E0E">
      <w:pPr>
        <w:widowControl w:val="0"/>
        <w:spacing w:line="276" w:lineRule="auto"/>
        <w:jc w:val="center"/>
      </w:pPr>
      <w:r>
        <w:rPr>
          <w:noProof/>
        </w:rPr>
        <w:lastRenderedPageBreak/>
        <w:drawing>
          <wp:inline distT="0" distB="0" distL="0" distR="0" wp14:anchorId="3F89E883" wp14:editId="28A9AF5A">
            <wp:extent cx="5684155" cy="2650280"/>
            <wp:effectExtent l="0" t="0" r="0" b="0"/>
            <wp:docPr id="3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1"/>
                    <a:srcRect/>
                    <a:stretch>
                      <a:fillRect/>
                    </a:stretch>
                  </pic:blipFill>
                  <pic:spPr>
                    <a:xfrm>
                      <a:off x="0" y="0"/>
                      <a:ext cx="5684155" cy="2650280"/>
                    </a:xfrm>
                    <a:prstGeom prst="rect">
                      <a:avLst/>
                    </a:prstGeom>
                    <a:ln/>
                  </pic:spPr>
                </pic:pic>
              </a:graphicData>
            </a:graphic>
          </wp:inline>
        </w:drawing>
      </w:r>
      <w:r>
        <w:rPr>
          <w:noProof/>
        </w:rPr>
        <mc:AlternateContent>
          <mc:Choice Requires="wps">
            <w:drawing>
              <wp:anchor distT="0" distB="0" distL="114300" distR="114300" simplePos="0" relativeHeight="251897856" behindDoc="0" locked="0" layoutInCell="1" hidden="0" allowOverlap="1" wp14:anchorId="10B8C74C" wp14:editId="1BC2598C">
                <wp:simplePos x="0" y="0"/>
                <wp:positionH relativeFrom="column">
                  <wp:posOffset>3270600</wp:posOffset>
                </wp:positionH>
                <wp:positionV relativeFrom="paragraph">
                  <wp:posOffset>1214746</wp:posOffset>
                </wp:positionV>
                <wp:extent cx="259213" cy="289596"/>
                <wp:effectExtent l="0" t="0" r="0" b="0"/>
                <wp:wrapNone/>
                <wp:docPr id="1" name="Forme libre : forme 1"/>
                <wp:cNvGraphicFramePr/>
                <a:graphic xmlns:a="http://schemas.openxmlformats.org/drawingml/2006/main">
                  <a:graphicData uri="http://schemas.microsoft.com/office/word/2010/wordprocessingShape">
                    <wps:wsp>
                      <wps:cNvSpPr/>
                      <wps:spPr>
                        <a:xfrm>
                          <a:off x="5222744" y="3641552"/>
                          <a:ext cx="246513" cy="276896"/>
                        </a:xfrm>
                        <a:custGeom>
                          <a:avLst/>
                          <a:gdLst/>
                          <a:ahLst/>
                          <a:cxnLst/>
                          <a:rect l="l" t="t" r="r" b="b"/>
                          <a:pathLst>
                            <a:path w="246513" h="276896" extrusionOk="0">
                              <a:moveTo>
                                <a:pt x="85527" y="0"/>
                              </a:moveTo>
                              <a:cubicBezTo>
                                <a:pt x="83061" y="24662"/>
                                <a:pt x="89352" y="63463"/>
                                <a:pt x="66209" y="83713"/>
                              </a:cubicBezTo>
                              <a:cubicBezTo>
                                <a:pt x="54560" y="93906"/>
                                <a:pt x="27572" y="109470"/>
                                <a:pt x="27572" y="109470"/>
                              </a:cubicBezTo>
                              <a:cubicBezTo>
                                <a:pt x="6743" y="140713"/>
                                <a:pt x="-10998" y="148240"/>
                                <a:pt x="8254" y="186744"/>
                              </a:cubicBezTo>
                              <a:cubicBezTo>
                                <a:pt x="11715" y="193666"/>
                                <a:pt x="19983" y="198105"/>
                                <a:pt x="27572" y="199623"/>
                              </a:cubicBezTo>
                              <a:cubicBezTo>
                                <a:pt x="52917" y="204692"/>
                                <a:pt x="79087" y="203916"/>
                                <a:pt x="104845" y="206062"/>
                              </a:cubicBezTo>
                              <a:cubicBezTo>
                                <a:pt x="111285" y="212501"/>
                                <a:pt x="119112" y="217803"/>
                                <a:pt x="124164" y="225380"/>
                              </a:cubicBezTo>
                              <a:cubicBezTo>
                                <a:pt x="129820" y="233863"/>
                                <a:pt x="136115" y="272257"/>
                                <a:pt x="137043" y="276896"/>
                              </a:cubicBezTo>
                              <a:cubicBezTo>
                                <a:pt x="152068" y="274749"/>
                                <a:pt x="167236" y="273433"/>
                                <a:pt x="182119" y="270456"/>
                              </a:cubicBezTo>
                              <a:cubicBezTo>
                                <a:pt x="188775" y="269125"/>
                                <a:pt x="196637" y="268817"/>
                                <a:pt x="201437" y="264017"/>
                              </a:cubicBezTo>
                              <a:cubicBezTo>
                                <a:pt x="212382" y="253072"/>
                                <a:pt x="216250" y="236325"/>
                                <a:pt x="227195" y="225380"/>
                              </a:cubicBezTo>
                              <a:lnTo>
                                <a:pt x="246513" y="206062"/>
                              </a:lnTo>
                              <a:cubicBezTo>
                                <a:pt x="244139" y="189443"/>
                                <a:pt x="242627" y="159653"/>
                                <a:pt x="233634" y="141668"/>
                              </a:cubicBezTo>
                              <a:cubicBezTo>
                                <a:pt x="230173" y="134746"/>
                                <a:pt x="225710" y="128295"/>
                                <a:pt x="220755" y="122349"/>
                              </a:cubicBezTo>
                              <a:cubicBezTo>
                                <a:pt x="214925" y="115353"/>
                                <a:pt x="207267" y="110027"/>
                                <a:pt x="201437" y="103031"/>
                              </a:cubicBezTo>
                              <a:cubicBezTo>
                                <a:pt x="179032" y="76145"/>
                                <a:pt x="200953" y="87845"/>
                                <a:pt x="169240" y="77273"/>
                              </a:cubicBezTo>
                              <a:cubicBezTo>
                                <a:pt x="162800" y="70834"/>
                                <a:pt x="157882" y="62378"/>
                                <a:pt x="149921" y="57955"/>
                              </a:cubicBezTo>
                              <a:cubicBezTo>
                                <a:pt x="138054" y="51362"/>
                                <a:pt x="111285" y="45076"/>
                                <a:pt x="111285" y="45076"/>
                              </a:cubicBezTo>
                              <a:cubicBezTo>
                                <a:pt x="104845" y="47223"/>
                                <a:pt x="97614" y="47751"/>
                                <a:pt x="91966" y="51516"/>
                              </a:cubicBezTo>
                              <a:cubicBezTo>
                                <a:pt x="84389" y="56567"/>
                                <a:pt x="72648" y="70834"/>
                                <a:pt x="72648" y="70834"/>
                              </a:cubicBezTo>
                            </a:path>
                          </a:pathLst>
                        </a:custGeom>
                        <a:noFill/>
                        <a:ln w="12700" cap="flat" cmpd="sng">
                          <a:solidFill>
                            <a:srgbClr val="EE0000"/>
                          </a:solidFill>
                          <a:prstDash val="solid"/>
                          <a:miter lim="8000"/>
                          <a:headEnd type="none" w="sm" len="sm"/>
                          <a:tailEnd type="none" w="sm" len="sm"/>
                        </a:ln>
                      </wps:spPr>
                      <wps:txbx>
                        <w:txbxContent>
                          <w:p w14:paraId="7AC10C61" w14:textId="77777777" w:rsidR="006F3E0E" w:rsidRDefault="006F3E0E" w:rsidP="006F3E0E">
                            <w:pPr>
                              <w:spacing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shape w14:anchorId="10B8C74C" id="Forme libre : forme 1" o:spid="_x0000_s1026" style="position:absolute;left:0;text-align:left;margin-left:257.55pt;margin-top:95.65pt;width:20.4pt;height:22.8pt;z-index:251897856;visibility:visible;mso-wrap-style:square;mso-wrap-distance-left:9pt;mso-wrap-distance-top:0;mso-wrap-distance-right:9pt;mso-wrap-distance-bottom:0;mso-position-horizontal:absolute;mso-position-horizontal-relative:text;mso-position-vertical:absolute;mso-position-vertical-relative:text;v-text-anchor:middle" coordsize="246513,276896"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" adj="-11796480,,5400" path="m85527,c83061,24662,89352,63463,66209,83713,54560,93906,27572,109470,27572,109470,6743,140713,-10998,148240,8254,186744v3461,6922,11729,11361,19318,12879c52917,204692,79087,203916,104845,206062v6440,6439,14267,11741,19319,19318c129820,233863,136115,272257,137043,276896v15025,-2147,30193,-3463,45076,-6440c188775,269125,196637,268817,201437,264017v10945,-10945,14813,-27692,25758,-38637l246513,206062v-2374,-16619,-3886,-46409,-12879,-64394c230173,134746,225710,128295,220755,122349v-5830,-6996,-13488,-12322,-19318,-19318c179032,76145,200953,87845,169240,77273,162800,70834,157882,62378,149921,57955,138054,51362,111285,45076,111285,45076v-6440,2147,-13671,2675,-19319,6440c84389,56567,72648,70834,72648,70834e" filled="f" strokecolor="#e00" strokeweight="1pt">
                <v:stroke startarrowwidth="narrow" startarrowlength="short" endarrowwidth="narrow" endarrowlength="short" miterlimit="5243f" joinstyle="miter"/>
                <v:formulas/>
                <v:path arrowok="t" o:extrusionok="f" o:connecttype="custom" textboxrect="0,0,246513,276896"/>
                <v:textbox inset="2.53958mm,2.53958mm,2.53958mm,2.53958mm">
                  <w:txbxContent>
                    <w:p w14:paraId="7AC10C61" w14:textId="77777777" w:rsidR="006F3E0E" w:rsidRDefault="006F3E0E" w:rsidP="006F3E0E">
                      <w:pPr>
                        <w:spacing w:line="240" w:lineRule="auto"/>
                        <w:jc w:val="left"/>
                        <w:textDirection w:val="btLr"/>
                      </w:pPr>
                    </w:p>
                  </w:txbxContent>
                </v:textbox>
              </v:shape>
            </w:pict>
          </mc:Fallback>
        </mc:AlternateContent>
      </w:r>
      <w:r>
        <w:rPr>
          <w:noProof/>
        </w:rPr>
        <mc:AlternateContent>
          <mc:Choice Requires="wps">
            <w:drawing>
              <wp:anchor distT="0" distB="0" distL="114300" distR="114300" simplePos="0" relativeHeight="251898880" behindDoc="0" locked="0" layoutInCell="1" hidden="0" allowOverlap="1" wp14:anchorId="09F20669" wp14:editId="24ECA69D">
                <wp:simplePos x="0" y="0"/>
                <wp:positionH relativeFrom="column">
                  <wp:posOffset>4965986</wp:posOffset>
                </wp:positionH>
                <wp:positionV relativeFrom="paragraph">
                  <wp:posOffset>1871569</wp:posOffset>
                </wp:positionV>
                <wp:extent cx="540734" cy="656643"/>
                <wp:effectExtent l="0" t="0" r="0" b="0"/>
                <wp:wrapNone/>
                <wp:docPr id="3" name="Forme libre : forme 3"/>
                <wp:cNvGraphicFramePr/>
                <a:graphic xmlns:a="http://schemas.openxmlformats.org/drawingml/2006/main">
                  <a:graphicData uri="http://schemas.microsoft.com/office/word/2010/wordprocessingShape">
                    <wps:wsp>
                      <wps:cNvSpPr/>
                      <wps:spPr>
                        <a:xfrm>
                          <a:off x="5081983" y="3458029"/>
                          <a:ext cx="528034" cy="643943"/>
                        </a:xfrm>
                        <a:custGeom>
                          <a:avLst/>
                          <a:gdLst/>
                          <a:ahLst/>
                          <a:cxnLst/>
                          <a:rect l="l" t="t" r="r" b="b"/>
                          <a:pathLst>
                            <a:path w="528034" h="643943" extrusionOk="0">
                              <a:moveTo>
                                <a:pt x="412124" y="6439"/>
                              </a:moveTo>
                              <a:cubicBezTo>
                                <a:pt x="401392" y="8585"/>
                                <a:pt x="390723" y="11079"/>
                                <a:pt x="379927" y="12878"/>
                              </a:cubicBezTo>
                              <a:cubicBezTo>
                                <a:pt x="364956" y="15373"/>
                                <a:pt x="349852" y="17010"/>
                                <a:pt x="334851" y="19318"/>
                              </a:cubicBezTo>
                              <a:cubicBezTo>
                                <a:pt x="321946" y="21303"/>
                                <a:pt x="309093" y="23611"/>
                                <a:pt x="296214" y="25757"/>
                              </a:cubicBezTo>
                              <a:cubicBezTo>
                                <a:pt x="289775" y="30050"/>
                                <a:pt x="284009" y="35587"/>
                                <a:pt x="276896" y="38636"/>
                              </a:cubicBezTo>
                              <a:cubicBezTo>
                                <a:pt x="268761" y="42122"/>
                                <a:pt x="259648" y="42645"/>
                                <a:pt x="251138" y="45076"/>
                              </a:cubicBezTo>
                              <a:cubicBezTo>
                                <a:pt x="244612" y="46941"/>
                                <a:pt x="238259" y="49369"/>
                                <a:pt x="231820" y="51515"/>
                              </a:cubicBezTo>
                              <a:cubicBezTo>
                                <a:pt x="225381" y="55808"/>
                                <a:pt x="219615" y="61345"/>
                                <a:pt x="212502" y="64394"/>
                              </a:cubicBezTo>
                              <a:cubicBezTo>
                                <a:pt x="198690" y="70313"/>
                                <a:pt x="159162" y="74816"/>
                                <a:pt x="148107" y="77273"/>
                              </a:cubicBezTo>
                              <a:cubicBezTo>
                                <a:pt x="141481" y="78745"/>
                                <a:pt x="135228" y="81566"/>
                                <a:pt x="128789" y="83712"/>
                              </a:cubicBezTo>
                              <a:cubicBezTo>
                                <a:pt x="122350" y="90152"/>
                                <a:pt x="115062" y="95842"/>
                                <a:pt x="109471" y="103031"/>
                              </a:cubicBezTo>
                              <a:cubicBezTo>
                                <a:pt x="99968" y="115249"/>
                                <a:pt x="83713" y="141667"/>
                                <a:pt x="83713" y="141667"/>
                              </a:cubicBezTo>
                              <a:cubicBezTo>
                                <a:pt x="61654" y="229895"/>
                                <a:pt x="93358" y="95662"/>
                                <a:pt x="70834" y="328411"/>
                              </a:cubicBezTo>
                              <a:cubicBezTo>
                                <a:pt x="69526" y="341923"/>
                                <a:pt x="62248" y="354168"/>
                                <a:pt x="57955" y="367047"/>
                              </a:cubicBezTo>
                              <a:cubicBezTo>
                                <a:pt x="51694" y="385830"/>
                                <a:pt x="50007" y="393932"/>
                                <a:pt x="38637" y="412124"/>
                              </a:cubicBezTo>
                              <a:cubicBezTo>
                                <a:pt x="32949" y="421225"/>
                                <a:pt x="25758" y="429295"/>
                                <a:pt x="19319" y="437881"/>
                              </a:cubicBezTo>
                              <a:cubicBezTo>
                                <a:pt x="17172" y="446467"/>
                                <a:pt x="15422" y="455162"/>
                                <a:pt x="12879" y="463639"/>
                              </a:cubicBezTo>
                              <a:cubicBezTo>
                                <a:pt x="8978" y="476642"/>
                                <a:pt x="0" y="502276"/>
                                <a:pt x="0" y="502276"/>
                              </a:cubicBezTo>
                              <a:cubicBezTo>
                                <a:pt x="2147" y="538766"/>
                                <a:pt x="2803" y="575374"/>
                                <a:pt x="6440" y="611746"/>
                              </a:cubicBezTo>
                              <a:cubicBezTo>
                                <a:pt x="7115" y="618500"/>
                                <a:pt x="8639" y="625764"/>
                                <a:pt x="12879" y="631064"/>
                              </a:cubicBezTo>
                              <a:cubicBezTo>
                                <a:pt x="17714" y="637107"/>
                                <a:pt x="25758" y="639650"/>
                                <a:pt x="32197" y="643943"/>
                              </a:cubicBezTo>
                              <a:cubicBezTo>
                                <a:pt x="62248" y="641797"/>
                                <a:pt x="92406" y="640831"/>
                                <a:pt x="122349" y="637504"/>
                              </a:cubicBezTo>
                              <a:cubicBezTo>
                                <a:pt x="134472" y="636157"/>
                                <a:pt x="155219" y="628693"/>
                                <a:pt x="167426" y="624625"/>
                              </a:cubicBezTo>
                              <a:cubicBezTo>
                                <a:pt x="173865" y="620332"/>
                                <a:pt x="179822" y="615207"/>
                                <a:pt x="186744" y="611746"/>
                              </a:cubicBezTo>
                              <a:cubicBezTo>
                                <a:pt x="192815" y="608710"/>
                                <a:pt x="200414" y="609072"/>
                                <a:pt x="206062" y="605307"/>
                              </a:cubicBezTo>
                              <a:cubicBezTo>
                                <a:pt x="218823" y="596800"/>
                                <a:pt x="236586" y="571588"/>
                                <a:pt x="244699" y="560231"/>
                              </a:cubicBezTo>
                              <a:cubicBezTo>
                                <a:pt x="249198" y="553933"/>
                                <a:pt x="252623" y="546858"/>
                                <a:pt x="257578" y="540912"/>
                              </a:cubicBezTo>
                              <a:cubicBezTo>
                                <a:pt x="263408" y="533916"/>
                                <a:pt x="270457" y="528033"/>
                                <a:pt x="276896" y="521594"/>
                              </a:cubicBezTo>
                              <a:cubicBezTo>
                                <a:pt x="293078" y="473045"/>
                                <a:pt x="271251" y="532881"/>
                                <a:pt x="296214" y="482957"/>
                              </a:cubicBezTo>
                              <a:cubicBezTo>
                                <a:pt x="322873" y="429641"/>
                                <a:pt x="278627" y="499679"/>
                                <a:pt x="315533" y="444321"/>
                              </a:cubicBezTo>
                              <a:cubicBezTo>
                                <a:pt x="331717" y="395765"/>
                                <a:pt x="309886" y="455613"/>
                                <a:pt x="334851" y="405684"/>
                              </a:cubicBezTo>
                              <a:cubicBezTo>
                                <a:pt x="337887" y="399613"/>
                                <a:pt x="338907" y="392721"/>
                                <a:pt x="341290" y="386366"/>
                              </a:cubicBezTo>
                              <a:cubicBezTo>
                                <a:pt x="345349" y="375543"/>
                                <a:pt x="350110" y="364992"/>
                                <a:pt x="354169" y="354169"/>
                              </a:cubicBezTo>
                              <a:cubicBezTo>
                                <a:pt x="356552" y="347813"/>
                                <a:pt x="356844" y="340498"/>
                                <a:pt x="360609" y="334850"/>
                              </a:cubicBezTo>
                              <a:cubicBezTo>
                                <a:pt x="365660" y="327273"/>
                                <a:pt x="374336" y="322720"/>
                                <a:pt x="379927" y="315532"/>
                              </a:cubicBezTo>
                              <a:cubicBezTo>
                                <a:pt x="389430" y="303314"/>
                                <a:pt x="405685" y="276895"/>
                                <a:pt x="405685" y="276895"/>
                              </a:cubicBezTo>
                              <a:cubicBezTo>
                                <a:pt x="417999" y="239950"/>
                                <a:pt x="403305" y="274435"/>
                                <a:pt x="431442" y="238259"/>
                              </a:cubicBezTo>
                              <a:cubicBezTo>
                                <a:pt x="440945" y="226041"/>
                                <a:pt x="448614" y="212501"/>
                                <a:pt x="457200" y="199622"/>
                              </a:cubicBezTo>
                              <a:lnTo>
                                <a:pt x="470079" y="180304"/>
                              </a:lnTo>
                              <a:lnTo>
                                <a:pt x="482958" y="160986"/>
                              </a:lnTo>
                              <a:cubicBezTo>
                                <a:pt x="499139" y="112437"/>
                                <a:pt x="477314" y="172270"/>
                                <a:pt x="502276" y="122349"/>
                              </a:cubicBezTo>
                              <a:cubicBezTo>
                                <a:pt x="505312" y="116278"/>
                                <a:pt x="506930" y="109580"/>
                                <a:pt x="508716" y="103031"/>
                              </a:cubicBezTo>
                              <a:cubicBezTo>
                                <a:pt x="530510" y="23124"/>
                                <a:pt x="513211" y="76669"/>
                                <a:pt x="528034" y="32197"/>
                              </a:cubicBezTo>
                              <a:cubicBezTo>
                                <a:pt x="525888" y="23611"/>
                                <a:pt x="527124" y="13350"/>
                                <a:pt x="521595" y="6439"/>
                              </a:cubicBezTo>
                              <a:cubicBezTo>
                                <a:pt x="517355" y="1139"/>
                                <a:pt x="509064" y="0"/>
                                <a:pt x="502276" y="0"/>
                              </a:cubicBezTo>
                              <a:cubicBezTo>
                                <a:pt x="446426" y="0"/>
                                <a:pt x="390659" y="4293"/>
                                <a:pt x="334851" y="6439"/>
                              </a:cubicBezTo>
                              <a:cubicBezTo>
                                <a:pt x="326265" y="8585"/>
                                <a:pt x="317570" y="10335"/>
                                <a:pt x="309093" y="12878"/>
                              </a:cubicBezTo>
                              <a:cubicBezTo>
                                <a:pt x="296090" y="16779"/>
                                <a:pt x="270457" y="25757"/>
                                <a:pt x="270457" y="25757"/>
                              </a:cubicBezTo>
                              <a:lnTo>
                                <a:pt x="231820" y="51515"/>
                              </a:lnTo>
                              <a:cubicBezTo>
                                <a:pt x="210716" y="65585"/>
                                <a:pt x="220241" y="64394"/>
                                <a:pt x="206062" y="64394"/>
                              </a:cubicBezTo>
                            </a:path>
                          </a:pathLst>
                        </a:custGeom>
                        <a:noFill/>
                        <a:ln w="12700" cap="flat" cmpd="sng">
                          <a:solidFill>
                            <a:srgbClr val="EE0000"/>
                          </a:solidFill>
                          <a:prstDash val="solid"/>
                          <a:miter lim="8000"/>
                          <a:headEnd type="none" w="sm" len="sm"/>
                          <a:tailEnd type="none" w="sm" len="sm"/>
                        </a:ln>
                      </wps:spPr>
                      <wps:txbx>
                        <w:txbxContent>
                          <w:p w14:paraId="6253BADE" w14:textId="77777777" w:rsidR="006F3E0E" w:rsidRDefault="006F3E0E" w:rsidP="006F3E0E">
                            <w:pPr>
                              <w:spacing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shape w14:anchorId="09F20669" id="Forme libre : forme 3" o:spid="_x0000_s1027" style="position:absolute;left:0;text-align:left;margin-left:391pt;margin-top:147.35pt;width:42.6pt;height:51.7pt;z-index:251898880;visibility:visible;mso-wrap-style:square;mso-wrap-distance-left:9pt;mso-wrap-distance-top:0;mso-wrap-distance-right:9pt;mso-wrap-distance-bottom:0;mso-position-horizontal:absolute;mso-position-horizontal-relative:text;mso-position-vertical:absolute;mso-position-vertical-relative:text;v-text-anchor:middle" coordsize="528034,643943"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" adj="-11796480,,5400" path="m412124,6439v-10732,2146,-21401,4640,-32197,6439c364956,15373,349852,17010,334851,19318v-12905,1985,-25758,4293,-38637,6439c289775,30050,284009,35587,276896,38636v-8135,3486,-17248,4009,-25758,6440c244612,46941,238259,49369,231820,51515v-6439,4293,-12205,9830,-19318,12879c198690,70313,159162,74816,148107,77273v-6626,1472,-12879,4293,-19318,6439c122350,90152,115062,95842,109471,103031v-9503,12218,-25758,38636,-25758,38636c61654,229895,93358,95662,70834,328411v-1308,13512,-8586,25757,-12879,38636c51694,385830,50007,393932,38637,412124v-5688,9101,-12879,17171,-19318,25757c17172,446467,15422,455162,12879,463639,8978,476642,,502276,,502276v2147,36490,2803,73098,6440,109470c7115,618500,8639,625764,12879,631064v4835,6043,12879,8586,19318,12879c62248,641797,92406,640831,122349,637504v12123,-1347,32870,-8811,45077,-12879c173865,620332,179822,615207,186744,611746v6071,-3036,13670,-2674,19318,-6439c218823,596800,236586,571588,244699,560231v4499,-6298,7924,-13373,12879,-19319c263408,533916,270457,528033,276896,521594v16182,-48549,-5645,11287,19318,-38637c322873,429641,278627,499679,315533,444321v16184,-48556,-5647,11292,19318,-38637c337887,399613,338907,392721,341290,386366v4059,-10823,8820,-21374,12879,-32197c356552,347813,356844,340498,360609,334850v5051,-7577,13727,-12130,19318,-19318c389430,303314,405685,276895,405685,276895v12314,-36945,-2380,-2460,25757,-38636c440945,226041,448614,212501,457200,199622r12879,-19318l482958,160986v16181,-48549,-5644,11284,19318,-38637c505312,116278,506930,109580,508716,103031v21794,-79907,4495,-26362,19318,-70834c525888,23611,527124,13350,521595,6439,517355,1139,509064,,502276,,446426,,390659,4293,334851,6439v-8586,2146,-17281,3896,-25758,6439c296090,16779,270457,25757,270457,25757l231820,51515c210716,65585,220241,64394,206062,64394e" filled="f" strokecolor="#e00" strokeweight="1pt">
                <v:stroke startarrowwidth="narrow" startarrowlength="short" endarrowwidth="narrow" endarrowlength="short" miterlimit="5243f" joinstyle="miter"/>
                <v:formulas/>
                <v:path arrowok="t" o:extrusionok="f" o:connecttype="custom" textboxrect="0,0,528034,643943"/>
                <v:textbox inset="2.53958mm,2.53958mm,2.53958mm,2.53958mm">
                  <w:txbxContent>
                    <w:p w14:paraId="6253BADE" w14:textId="77777777" w:rsidR="006F3E0E" w:rsidRDefault="006F3E0E" w:rsidP="006F3E0E">
                      <w:pPr>
                        <w:spacing w:line="240" w:lineRule="auto"/>
                        <w:jc w:val="left"/>
                        <w:textDirection w:val="btLr"/>
                      </w:pPr>
                    </w:p>
                  </w:txbxContent>
                </v:textbox>
              </v:shape>
            </w:pict>
          </mc:Fallback>
        </mc:AlternateContent>
      </w:r>
    </w:p>
    <w:p w14:paraId="685CA948" w14:textId="77777777" w:rsidR="006F3E0E" w:rsidRDefault="006F3E0E" w:rsidP="006F3E0E">
      <w:pPr>
        <w:widowControl w:val="0"/>
        <w:spacing w:line="276" w:lineRule="auto"/>
      </w:pPr>
    </w:p>
    <w:p w14:paraId="69B12011" w14:textId="6B0F7620" w:rsidR="006F3E0E" w:rsidRDefault="006F3E0E" w:rsidP="006F3E0E">
      <w:pPr>
        <w:pStyle w:val="titredepartie"/>
      </w:pPr>
      <w:r>
        <w:t>STRATEGIE DIAGNOSTIQUE DEVANT UNE BPCO</w:t>
      </w:r>
    </w:p>
    <w:p w14:paraId="4B28294E" w14:textId="7B06E820" w:rsidR="006F3E0E" w:rsidRDefault="006F3E0E" w:rsidP="006F3E0E">
      <w:pPr>
        <w:pStyle w:val="titredesous-partie"/>
      </w:pPr>
      <w:r>
        <w:rPr>
          <w:noProof/>
        </w:rPr>
        <w:drawing>
          <wp:anchor distT="0" distB="0" distL="114300" distR="114300" simplePos="0" relativeHeight="251899904" behindDoc="0" locked="0" layoutInCell="1" hidden="0" allowOverlap="1" wp14:anchorId="25C09EEB" wp14:editId="5ADD574D">
            <wp:simplePos x="0" y="0"/>
            <wp:positionH relativeFrom="column">
              <wp:posOffset>-262890</wp:posOffset>
            </wp:positionH>
            <wp:positionV relativeFrom="paragraph">
              <wp:posOffset>334645</wp:posOffset>
            </wp:positionV>
            <wp:extent cx="153670" cy="137160"/>
            <wp:effectExtent l="0" t="0" r="0" b="0"/>
            <wp:wrapSquare wrapText="bothSides" distT="0" distB="0" distL="114300" distR="11430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Pr>
          <w:shd w:val="clear" w:color="auto" w:fill="auto"/>
        </w:rPr>
        <w:t>MOTIF DE CONSULTATION/PRISE EN CHARGE</w:t>
      </w:r>
    </w:p>
    <w:p w14:paraId="5EC57C36" w14:textId="155F1074" w:rsidR="006F3E0E" w:rsidRDefault="006F3E0E" w:rsidP="006F3E0E">
      <w:pPr>
        <w:rPr>
          <w:b/>
          <w:bCs/>
          <w:color w:val="0070C0"/>
        </w:rPr>
      </w:pPr>
      <w:r>
        <w:rPr>
          <w:color w:val="0070C0"/>
        </w:rPr>
        <w:t>Le motif de prise en charge est peu spécifique et donne lieu à de l’errance diagnostique. Le malade rentre dans la maladie de 2 manières.</w:t>
      </w:r>
    </w:p>
    <w:p w14:paraId="593B0C84" w14:textId="77777777" w:rsidR="006F3E0E" w:rsidRDefault="006F3E0E" w:rsidP="006F3E0E">
      <w:pPr>
        <w:rPr>
          <w:b/>
          <w:bCs/>
          <w:color w:val="0070C0"/>
        </w:rPr>
      </w:pPr>
      <w:r>
        <w:rPr>
          <w:color w:val="0070C0"/>
        </w:rPr>
        <w:t>De manière chronique dans le cadre d’une dyspnée ou de bronchites à répétition.</w:t>
      </w:r>
    </w:p>
    <w:p w14:paraId="495C092E" w14:textId="77777777" w:rsidR="006F3E0E" w:rsidRDefault="006F3E0E" w:rsidP="006F3E0E">
      <w:pPr>
        <w:rPr>
          <w:b/>
          <w:bCs/>
          <w:color w:val="0070C0"/>
        </w:rPr>
      </w:pPr>
      <w:r>
        <w:rPr>
          <w:color w:val="0070C0"/>
        </w:rPr>
        <w:t>De manière aiguë avec une bronchite aiguë ou un épisode d’insuffisance respiratoire aiguë.</w:t>
      </w:r>
    </w:p>
    <w:p w14:paraId="6AD912C2" w14:textId="77777777" w:rsidR="006F3E0E" w:rsidRDefault="006F3E0E" w:rsidP="006F3E0E">
      <w:pPr>
        <w:rPr>
          <w:color w:val="0070C0"/>
        </w:rPr>
      </w:pPr>
      <w:r>
        <w:rPr>
          <w:color w:val="0070C0"/>
        </w:rPr>
        <w:t>Une autre manière, plus rare de rentrer dans la maladie, est la découverte fortuite de signes cliniques ou radiologiques.</w:t>
      </w:r>
    </w:p>
    <w:p w14:paraId="24B18FA5" w14:textId="77777777" w:rsidR="006F3E0E" w:rsidRDefault="006F3E0E" w:rsidP="006F3E0E">
      <w:pPr>
        <w:rPr>
          <w:b/>
          <w:bCs/>
          <w:color w:val="0070C0"/>
        </w:rPr>
      </w:pPr>
    </w:p>
    <w:p w14:paraId="4AE06776" w14:textId="77777777" w:rsidR="006F3E0E" w:rsidRDefault="006F3E0E" w:rsidP="006F3E0E">
      <w:pPr>
        <w:pStyle w:val="titredesous-partie"/>
      </w:pPr>
      <w:r>
        <w:rPr>
          <w:shd w:val="clear" w:color="auto" w:fill="auto"/>
        </w:rPr>
        <w:t>TERRAIN ET ATCD</w:t>
      </w:r>
    </w:p>
    <w:p w14:paraId="1DEDEE64" w14:textId="77777777" w:rsidR="006F3E0E" w:rsidRDefault="006F3E0E" w:rsidP="006F3E0E">
      <w:r>
        <w:t>La maladie prédomine chez des personnes de plus de 45 ans, exposées à un toxique pulmonaire, le tabagisme avant tout. La prédominance masculine tend à diminuer avec l’augmentation du tabagisme féminin.</w:t>
      </w:r>
    </w:p>
    <w:p w14:paraId="4BDF219C" w14:textId="77777777" w:rsidR="006F3E0E" w:rsidRDefault="006F3E0E" w:rsidP="006F3E0E"/>
    <w:p w14:paraId="4A1928C0" w14:textId="20F687E3" w:rsidR="006F3E0E" w:rsidRDefault="006F3E0E" w:rsidP="006F3E0E">
      <w:pPr>
        <w:pStyle w:val="Titre2"/>
      </w:pPr>
      <w:r>
        <w:rPr>
          <w:noProof/>
        </w:rPr>
        <w:drawing>
          <wp:anchor distT="0" distB="0" distL="114300" distR="114300" simplePos="0" relativeHeight="251900928" behindDoc="0" locked="0" layoutInCell="1" hidden="0" allowOverlap="1" wp14:anchorId="53C32009" wp14:editId="0029C388">
            <wp:simplePos x="0" y="0"/>
            <wp:positionH relativeFrom="column">
              <wp:posOffset>-273213</wp:posOffset>
            </wp:positionH>
            <wp:positionV relativeFrom="paragraph">
              <wp:posOffset>316230</wp:posOffset>
            </wp:positionV>
            <wp:extent cx="153670" cy="137160"/>
            <wp:effectExtent l="0" t="0" r="0" b="0"/>
            <wp:wrapSquare wrapText="bothSides" distT="0" distB="0" distL="114300" distR="11430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t>Facteurs de risque environnementaux</w:t>
      </w:r>
    </w:p>
    <w:p w14:paraId="423D27BD" w14:textId="202AB1DF" w:rsidR="006F3E0E" w:rsidRDefault="006F3E0E" w:rsidP="006F3E0E">
      <w:pPr>
        <w:widowControl w:val="0"/>
        <w:spacing w:line="276" w:lineRule="auto"/>
        <w:rPr>
          <w:color w:val="0070C0"/>
        </w:rPr>
      </w:pPr>
      <w:r>
        <w:rPr>
          <w:color w:val="0070C0"/>
        </w:rPr>
        <w:t xml:space="preserve">Le tabac est de loin le principal facteur de risque de la BPCO (&gt; 80 % des patients atteints de BPCO en France sont ou ont été fumeurs). </w:t>
      </w:r>
    </w:p>
    <w:p w14:paraId="3F2A5D45" w14:textId="77777777" w:rsidR="006F3E0E" w:rsidRDefault="006F3E0E" w:rsidP="006F3E0E">
      <w:pPr>
        <w:widowControl w:val="0"/>
        <w:spacing w:line="276" w:lineRule="auto"/>
        <w:rPr>
          <w:color w:val="0070C0"/>
        </w:rPr>
      </w:pPr>
      <w:r>
        <w:rPr>
          <w:color w:val="0070C0"/>
        </w:rPr>
        <w:t>L’exposition à des aérocontaminants d’origine professionnelle est incriminée dans au moins 15 % des BPCO (cf. tableaux de reconnaissance des BPCO professionnelles - item 182)</w:t>
      </w:r>
    </w:p>
    <w:p w14:paraId="5748F136" w14:textId="77777777" w:rsidR="006F3E0E" w:rsidRDefault="006F3E0E" w:rsidP="006F3E0E">
      <w:pPr>
        <w:widowControl w:val="0"/>
        <w:spacing w:line="276" w:lineRule="auto"/>
        <w:rPr>
          <w:color w:val="0070C0"/>
        </w:rPr>
      </w:pPr>
      <w:r>
        <w:rPr>
          <w:color w:val="0070C0"/>
        </w:rPr>
        <w:t>La pollution domestique (fumées de combustion de la biomasse pour le chauffage ou la cuisine dans des locaux mal ventilés) est un facteur de risque dans les pays émergents.</w:t>
      </w:r>
    </w:p>
    <w:p w14:paraId="245A99F5" w14:textId="77777777" w:rsidR="006F3E0E" w:rsidRDefault="006F3E0E" w:rsidP="006F3E0E">
      <w:pPr>
        <w:widowControl w:val="0"/>
        <w:spacing w:line="276" w:lineRule="auto"/>
        <w:rPr>
          <w:color w:val="0070C0"/>
        </w:rPr>
      </w:pPr>
      <w:r>
        <w:rPr>
          <w:color w:val="0070C0"/>
        </w:rPr>
        <w:t>L’usage du cannabis – associé au tabagisme – est également un facteur de risque de BPCO et d’emphysème</w:t>
      </w:r>
    </w:p>
    <w:p w14:paraId="42D110B7" w14:textId="77777777" w:rsidR="006F3E0E" w:rsidRDefault="006F3E0E" w:rsidP="006F3E0E">
      <w:pPr>
        <w:widowControl w:val="0"/>
        <w:spacing w:line="276" w:lineRule="auto"/>
        <w:rPr>
          <w:color w:val="0070C0"/>
        </w:rPr>
      </w:pPr>
      <w:r>
        <w:rPr>
          <w:color w:val="0070C0"/>
        </w:rPr>
        <w:t xml:space="preserve">La pollution atmosphérique particulaire joue un rôle dans le déclenchement d’exacerbations et dans l’apparition de la maladie. </w:t>
      </w:r>
    </w:p>
    <w:p w14:paraId="697B059C" w14:textId="77777777" w:rsidR="006F3E0E" w:rsidRDefault="006F3E0E" w:rsidP="006F3E0E">
      <w:pPr>
        <w:widowControl w:val="0"/>
        <w:spacing w:line="276" w:lineRule="auto"/>
        <w:rPr>
          <w:color w:val="0070C0"/>
        </w:rPr>
      </w:pPr>
      <w:r>
        <w:rPr>
          <w:color w:val="0070C0"/>
        </w:rPr>
        <w:t xml:space="preserve">Le rôle de la cigarette électronique en tant que facteur de risque de BPCO est suspecté et fait l’objet </w:t>
      </w:r>
      <w:r>
        <w:rPr>
          <w:color w:val="0070C0"/>
        </w:rPr>
        <w:lastRenderedPageBreak/>
        <w:t>d’études.</w:t>
      </w:r>
    </w:p>
    <w:p w14:paraId="2F93164D" w14:textId="77777777" w:rsidR="006F3E0E" w:rsidRDefault="006F3E0E" w:rsidP="006F3E0E">
      <w:pPr>
        <w:pBdr>
          <w:top w:val="nil"/>
          <w:left w:val="nil"/>
          <w:bottom w:val="nil"/>
          <w:right w:val="nil"/>
          <w:between w:val="nil"/>
        </w:pBdr>
        <w:spacing w:line="276" w:lineRule="auto"/>
        <w:rPr>
          <w:b/>
          <w:bCs/>
          <w:u w:val="single"/>
        </w:rPr>
      </w:pPr>
    </w:p>
    <w:p w14:paraId="38CB5FA4" w14:textId="77777777" w:rsidR="006F3E0E" w:rsidRDefault="006F3E0E" w:rsidP="006F3E0E">
      <w:pPr>
        <w:pStyle w:val="Titre2"/>
      </w:pPr>
      <w:r>
        <w:t>Facteurs génétiques</w:t>
      </w:r>
    </w:p>
    <w:p w14:paraId="6D20DDFB" w14:textId="77777777" w:rsidR="006F3E0E" w:rsidRDefault="006F3E0E" w:rsidP="006F3E0E">
      <w:pPr>
        <w:widowControl w:val="0"/>
        <w:spacing w:line="276" w:lineRule="auto"/>
        <w:rPr>
          <w:color w:val="0070C0"/>
        </w:rPr>
      </w:pPr>
      <w:r>
        <w:rPr>
          <w:color w:val="0070C0"/>
        </w:rPr>
        <w:t>Déficit en alpha-1 antitrypsine. L’emphysème pan-lobulaire qui résulte du déficit en alpha-1 antitrypsine est d’autant plus fréquent, précoce et grave qu’il existe un tabagisme actif associé.</w:t>
      </w:r>
    </w:p>
    <w:p w14:paraId="20F0EA5C" w14:textId="77777777" w:rsidR="006F3E0E" w:rsidRDefault="006F3E0E" w:rsidP="006F3E0E">
      <w:pPr>
        <w:pBdr>
          <w:top w:val="nil"/>
          <w:left w:val="nil"/>
          <w:bottom w:val="nil"/>
          <w:right w:val="nil"/>
          <w:between w:val="nil"/>
        </w:pBdr>
        <w:spacing w:line="276" w:lineRule="auto"/>
        <w:rPr>
          <w:i/>
          <w:iCs/>
        </w:rPr>
      </w:pPr>
    </w:p>
    <w:p w14:paraId="555B8EC8" w14:textId="77777777" w:rsidR="006F3E0E" w:rsidRDefault="006F3E0E" w:rsidP="006F3E0E">
      <w:pPr>
        <w:pBdr>
          <w:top w:val="nil"/>
          <w:left w:val="nil"/>
          <w:bottom w:val="nil"/>
          <w:right w:val="nil"/>
          <w:between w:val="nil"/>
        </w:pBdr>
        <w:spacing w:line="276" w:lineRule="auto"/>
        <w:rPr>
          <w:b/>
          <w:bCs/>
          <w:color w:val="0070C0"/>
        </w:rPr>
      </w:pPr>
      <w:r>
        <w:rPr>
          <w:color w:val="0070C0"/>
          <w:u w:val="single"/>
        </w:rPr>
        <w:t>Facteurs favorisants</w:t>
      </w:r>
      <w:r>
        <w:rPr>
          <w:color w:val="0070C0"/>
        </w:rPr>
        <w:t> :</w:t>
      </w:r>
    </w:p>
    <w:p w14:paraId="348173CF" w14:textId="77777777" w:rsidR="006F3E0E" w:rsidRDefault="006F3E0E" w:rsidP="006F3E0E">
      <w:pPr>
        <w:pBdr>
          <w:top w:val="nil"/>
          <w:left w:val="nil"/>
          <w:bottom w:val="nil"/>
          <w:right w:val="nil"/>
          <w:between w:val="nil"/>
        </w:pBdr>
        <w:spacing w:line="276" w:lineRule="auto"/>
        <w:rPr>
          <w:b/>
          <w:bCs/>
          <w:color w:val="0070C0"/>
          <w:u w:val="single"/>
        </w:rPr>
      </w:pPr>
      <w:r>
        <w:rPr>
          <w:color w:val="0070C0"/>
        </w:rPr>
        <w:t xml:space="preserve">1. </w:t>
      </w:r>
      <w:r>
        <w:rPr>
          <w:color w:val="0070C0"/>
          <w:u w:val="single"/>
        </w:rPr>
        <w:t>ATCD d’évènements du début de la vie altérant le développement broncho-pulmonaire</w:t>
      </w:r>
    </w:p>
    <w:p w14:paraId="6544AE47" w14:textId="77777777" w:rsidR="006F3E0E" w:rsidRDefault="006F3E0E" w:rsidP="006F3E0E">
      <w:pPr>
        <w:widowControl w:val="0"/>
        <w:spacing w:line="276" w:lineRule="auto"/>
        <w:rPr>
          <w:color w:val="0070C0"/>
        </w:rPr>
      </w:pPr>
      <w:r>
        <w:rPr>
          <w:color w:val="0070C0"/>
        </w:rPr>
        <w:t>- Prématurité, petit poids de naissance.</w:t>
      </w:r>
    </w:p>
    <w:p w14:paraId="16DED115" w14:textId="77777777" w:rsidR="006F3E0E" w:rsidRDefault="006F3E0E" w:rsidP="006F3E0E">
      <w:pPr>
        <w:widowControl w:val="0"/>
        <w:spacing w:line="276" w:lineRule="auto"/>
        <w:rPr>
          <w:color w:val="0070C0"/>
        </w:rPr>
      </w:pPr>
      <w:r>
        <w:rPr>
          <w:color w:val="0070C0"/>
        </w:rPr>
        <w:t>- Infections respiratoires de la petite enfance.</w:t>
      </w:r>
    </w:p>
    <w:p w14:paraId="7D07CCB2" w14:textId="77777777" w:rsidR="006F3E0E" w:rsidRDefault="006F3E0E" w:rsidP="006F3E0E">
      <w:pPr>
        <w:widowControl w:val="0"/>
        <w:spacing w:line="276" w:lineRule="auto"/>
        <w:rPr>
          <w:color w:val="0070C0"/>
        </w:rPr>
      </w:pPr>
      <w:r>
        <w:rPr>
          <w:color w:val="0070C0"/>
        </w:rPr>
        <w:t>- Tabagisme passif (incluant la période in utero), tabagisme actif débuté très précocement.</w:t>
      </w:r>
    </w:p>
    <w:p w14:paraId="2F44C01A" w14:textId="77777777" w:rsidR="006F3E0E" w:rsidRDefault="006F3E0E" w:rsidP="006F3E0E">
      <w:pPr>
        <w:widowControl w:val="0"/>
        <w:spacing w:line="276" w:lineRule="auto"/>
        <w:rPr>
          <w:color w:val="0070C0"/>
        </w:rPr>
      </w:pPr>
      <w:r>
        <w:rPr>
          <w:color w:val="0070C0"/>
        </w:rPr>
        <w:t>- Asthme non contrôlé.</w:t>
      </w:r>
    </w:p>
    <w:p w14:paraId="7B8A6D99" w14:textId="77777777" w:rsidR="006F3E0E" w:rsidRDefault="006F3E0E" w:rsidP="006F3E0E">
      <w:pPr>
        <w:pBdr>
          <w:top w:val="nil"/>
          <w:left w:val="nil"/>
          <w:bottom w:val="nil"/>
          <w:right w:val="nil"/>
          <w:between w:val="nil"/>
        </w:pBdr>
        <w:spacing w:line="276" w:lineRule="auto"/>
        <w:rPr>
          <w:b/>
          <w:bCs/>
          <w:color w:val="0070C0"/>
        </w:rPr>
      </w:pPr>
    </w:p>
    <w:p w14:paraId="089B83B7" w14:textId="77777777" w:rsidR="006F3E0E" w:rsidRDefault="006F3E0E" w:rsidP="006F3E0E">
      <w:pPr>
        <w:pBdr>
          <w:top w:val="nil"/>
          <w:left w:val="nil"/>
          <w:bottom w:val="nil"/>
          <w:right w:val="nil"/>
          <w:between w:val="nil"/>
        </w:pBdr>
        <w:spacing w:line="276" w:lineRule="auto"/>
        <w:rPr>
          <w:color w:val="0070C0"/>
          <w:u w:val="single"/>
        </w:rPr>
      </w:pPr>
      <w:r>
        <w:rPr>
          <w:color w:val="0070C0"/>
        </w:rPr>
        <w:t xml:space="preserve">2. </w:t>
      </w:r>
      <w:r>
        <w:rPr>
          <w:color w:val="0070C0"/>
          <w:u w:val="single"/>
        </w:rPr>
        <w:t>ATCD d’Infections</w:t>
      </w:r>
    </w:p>
    <w:p w14:paraId="5118C425" w14:textId="77777777" w:rsidR="006F3E0E" w:rsidRDefault="006F3E0E" w:rsidP="006F3E0E">
      <w:pPr>
        <w:pBdr>
          <w:top w:val="nil"/>
          <w:left w:val="nil"/>
          <w:bottom w:val="nil"/>
          <w:right w:val="nil"/>
          <w:between w:val="nil"/>
        </w:pBdr>
        <w:spacing w:line="276" w:lineRule="auto"/>
        <w:rPr>
          <w:color w:val="0070C0"/>
        </w:rPr>
      </w:pPr>
      <w:r>
        <w:rPr>
          <w:color w:val="0070C0"/>
        </w:rPr>
        <w:t>- Tuberculose.</w:t>
      </w:r>
    </w:p>
    <w:p w14:paraId="3E298FEA" w14:textId="77777777" w:rsidR="006F3E0E" w:rsidRDefault="006F3E0E" w:rsidP="006F3E0E">
      <w:pPr>
        <w:pBdr>
          <w:top w:val="nil"/>
          <w:left w:val="nil"/>
          <w:bottom w:val="nil"/>
          <w:right w:val="nil"/>
          <w:between w:val="nil"/>
        </w:pBdr>
        <w:spacing w:line="276" w:lineRule="auto"/>
        <w:rPr>
          <w:b/>
          <w:bCs/>
          <w:color w:val="0070C0"/>
          <w:u w:val="single"/>
        </w:rPr>
      </w:pPr>
      <w:r>
        <w:rPr>
          <w:color w:val="0070C0"/>
        </w:rPr>
        <w:t>- Infections par le VIH (mécanisme incertain).</w:t>
      </w:r>
    </w:p>
    <w:p w14:paraId="5B82E0FE" w14:textId="77777777" w:rsidR="006F3E0E" w:rsidRDefault="006F3E0E" w:rsidP="006F3E0E">
      <w:pPr>
        <w:pBdr>
          <w:top w:val="nil"/>
          <w:left w:val="nil"/>
          <w:bottom w:val="nil"/>
          <w:right w:val="nil"/>
          <w:between w:val="nil"/>
        </w:pBdr>
        <w:spacing w:line="276" w:lineRule="auto"/>
        <w:rPr>
          <w:i/>
          <w:iCs/>
        </w:rPr>
      </w:pPr>
    </w:p>
    <w:p w14:paraId="46FE5A12" w14:textId="77777777" w:rsidR="006F3E0E" w:rsidRDefault="006F3E0E" w:rsidP="006F3E0E">
      <w:pPr>
        <w:pStyle w:val="titredesous-partie"/>
      </w:pPr>
      <w:r>
        <w:rPr>
          <w:shd w:val="clear" w:color="auto" w:fill="auto"/>
        </w:rPr>
        <w:t xml:space="preserve">HISTOIRE DE LA MALADIE </w:t>
      </w:r>
    </w:p>
    <w:p w14:paraId="26D250AA" w14:textId="77777777" w:rsidR="006F3E0E" w:rsidRDefault="006F3E0E" w:rsidP="006F3E0E">
      <w:pPr>
        <w:widowControl w:val="0"/>
        <w:spacing w:line="276" w:lineRule="auto"/>
        <w:rPr>
          <w:color w:val="0070C0"/>
        </w:rPr>
      </w:pPr>
      <w:r>
        <w:rPr>
          <w:color w:val="0070C0"/>
        </w:rPr>
        <w:t>Le fil conducteur de l’histoire de la maladie est centré sur le(s) symptôme(s) initia(</w:t>
      </w:r>
      <w:proofErr w:type="spellStart"/>
      <w:r>
        <w:rPr>
          <w:color w:val="0070C0"/>
        </w:rPr>
        <w:t>ux</w:t>
      </w:r>
      <w:proofErr w:type="spellEnd"/>
      <w:r>
        <w:rPr>
          <w:color w:val="0070C0"/>
        </w:rPr>
        <w:t>) du malade et leur évolution sur plusieurs années (évolution de la dyspnée, de la bronchite chronique, des exacerbations…).</w:t>
      </w:r>
    </w:p>
    <w:p w14:paraId="6D6D415A" w14:textId="77777777" w:rsidR="006F3E0E" w:rsidRDefault="006F3E0E" w:rsidP="006F3E0E">
      <w:pPr>
        <w:widowControl w:val="0"/>
        <w:spacing w:line="276" w:lineRule="auto"/>
        <w:rPr>
          <w:color w:val="0070C0"/>
        </w:rPr>
      </w:pPr>
    </w:p>
    <w:p w14:paraId="1371115C" w14:textId="77777777" w:rsidR="006F3E0E" w:rsidRDefault="006F3E0E" w:rsidP="006F3E0E">
      <w:pPr>
        <w:widowControl w:val="0"/>
        <w:spacing w:line="276" w:lineRule="auto"/>
        <w:rPr>
          <w:color w:val="0070C0"/>
        </w:rPr>
      </w:pPr>
      <w:r>
        <w:rPr>
          <w:color w:val="0070C0"/>
        </w:rPr>
        <w:t>L’évolution de la BPCO est marquée par :</w:t>
      </w:r>
    </w:p>
    <w:p w14:paraId="73B3AD0B" w14:textId="77777777" w:rsidR="006F3E0E" w:rsidRDefault="006F3E0E" w:rsidP="006F3E0E">
      <w:pPr>
        <w:widowControl w:val="0"/>
        <w:spacing w:line="276" w:lineRule="auto"/>
        <w:rPr>
          <w:color w:val="0070C0"/>
        </w:rPr>
      </w:pPr>
      <w:r>
        <w:rPr>
          <w:color w:val="0070C0"/>
        </w:rPr>
        <w:t>- Un déclin accéléré de la fonction respiratoire chez certains de malades (environ 20 %). On pourrait parler de vieillissement prématuré (le déclin étant physiologique).</w:t>
      </w:r>
    </w:p>
    <w:p w14:paraId="4F0268CB" w14:textId="77777777" w:rsidR="006F3E0E" w:rsidRDefault="006F3E0E" w:rsidP="006F3E0E">
      <w:pPr>
        <w:widowControl w:val="0"/>
        <w:spacing w:line="276" w:lineRule="auto"/>
        <w:rPr>
          <w:color w:val="0070C0"/>
        </w:rPr>
      </w:pPr>
      <w:r>
        <w:rPr>
          <w:color w:val="0070C0"/>
        </w:rPr>
        <w:t xml:space="preserve">- Des exacerbations pouvant mettre en jeu le pronostic vital et majorant le déclin de la fonction respiratoire. </w:t>
      </w:r>
    </w:p>
    <w:p w14:paraId="2A7B1FDF" w14:textId="77777777" w:rsidR="006F3E0E" w:rsidRDefault="006F3E0E" w:rsidP="006F3E0E">
      <w:pPr>
        <w:widowControl w:val="0"/>
        <w:spacing w:line="276" w:lineRule="auto"/>
        <w:rPr>
          <w:color w:val="0070C0"/>
        </w:rPr>
      </w:pPr>
      <w:r>
        <w:rPr>
          <w:color w:val="0070C0"/>
        </w:rPr>
        <w:t>- Un handicap respiratoire avec réduction des activités quotidiennes et altération de la qualité de vie.</w:t>
      </w:r>
    </w:p>
    <w:p w14:paraId="5082659C" w14:textId="77777777" w:rsidR="006F3E0E" w:rsidRDefault="006F3E0E" w:rsidP="006F3E0E">
      <w:pPr>
        <w:widowControl w:val="0"/>
        <w:spacing w:line="276" w:lineRule="auto"/>
        <w:rPr>
          <w:color w:val="0070C0"/>
        </w:rPr>
      </w:pPr>
      <w:r>
        <w:rPr>
          <w:color w:val="0070C0"/>
        </w:rPr>
        <w:t>- Un risque d’évolution vers l’insuffisance respiratoire chronique pouvant s’accompagner d’hypertension pulmonaire.</w:t>
      </w:r>
    </w:p>
    <w:p w14:paraId="3580E2F8" w14:textId="77777777" w:rsidR="006F3E0E" w:rsidRDefault="006F3E0E" w:rsidP="006F3E0E">
      <w:pPr>
        <w:widowControl w:val="0"/>
        <w:spacing w:line="276" w:lineRule="auto"/>
        <w:rPr>
          <w:i/>
          <w:iCs/>
        </w:rPr>
      </w:pPr>
    </w:p>
    <w:p w14:paraId="2C902102" w14:textId="77777777" w:rsidR="006F3E0E" w:rsidRDefault="006F3E0E" w:rsidP="006F3E0E">
      <w:pPr>
        <w:widowControl w:val="0"/>
        <w:spacing w:line="276" w:lineRule="auto"/>
        <w:rPr>
          <w:color w:val="0070C0"/>
        </w:rPr>
      </w:pPr>
      <w:r>
        <w:rPr>
          <w:color w:val="0070C0"/>
        </w:rPr>
        <w:t>Les trois principaux risques de décès chez les sujets souffrant de BPCO sont</w:t>
      </w:r>
    </w:p>
    <w:p w14:paraId="304F0632" w14:textId="77777777" w:rsidR="006F3E0E" w:rsidRDefault="006F3E0E" w:rsidP="006F3E0E">
      <w:pPr>
        <w:widowControl w:val="0"/>
        <w:spacing w:line="276" w:lineRule="auto"/>
        <w:rPr>
          <w:color w:val="0070C0"/>
        </w:rPr>
      </w:pPr>
      <w:r>
        <w:rPr>
          <w:color w:val="0070C0"/>
        </w:rPr>
        <w:t>- L’insuffisance respiratoire aiguë.</w:t>
      </w:r>
    </w:p>
    <w:p w14:paraId="62AD760B" w14:textId="77777777" w:rsidR="006F3E0E" w:rsidRDefault="006F3E0E" w:rsidP="006F3E0E">
      <w:pPr>
        <w:widowControl w:val="0"/>
        <w:spacing w:line="276" w:lineRule="auto"/>
        <w:rPr>
          <w:color w:val="0070C0"/>
        </w:rPr>
      </w:pPr>
      <w:r>
        <w:rPr>
          <w:color w:val="0070C0"/>
        </w:rPr>
        <w:t>- Les causes cardiovasculaires (principalement insuffisance cardiaque, coronaropathie, AVC).</w:t>
      </w:r>
    </w:p>
    <w:p w14:paraId="33966195" w14:textId="77777777" w:rsidR="006F3E0E" w:rsidRDefault="006F3E0E" w:rsidP="006F3E0E">
      <w:pPr>
        <w:widowControl w:val="0"/>
        <w:spacing w:line="276" w:lineRule="auto"/>
        <w:rPr>
          <w:color w:val="0070C0"/>
        </w:rPr>
      </w:pPr>
      <w:r>
        <w:rPr>
          <w:color w:val="0070C0"/>
        </w:rPr>
        <w:t>- Le cancer bronchique.</w:t>
      </w:r>
    </w:p>
    <w:p w14:paraId="2B2A65F3" w14:textId="77777777" w:rsidR="006F3E0E" w:rsidRDefault="006F3E0E" w:rsidP="006F3E0E">
      <w:pPr>
        <w:widowControl w:val="0"/>
        <w:spacing w:line="276" w:lineRule="auto"/>
        <w:rPr>
          <w:color w:val="0070C0"/>
        </w:rPr>
      </w:pPr>
    </w:p>
    <w:p w14:paraId="1495E66F" w14:textId="77777777" w:rsidR="006F3E0E" w:rsidRDefault="006F3E0E" w:rsidP="006F3E0E">
      <w:pPr>
        <w:widowControl w:val="0"/>
        <w:spacing w:line="276" w:lineRule="auto"/>
        <w:rPr>
          <w:color w:val="0070C0"/>
        </w:rPr>
      </w:pPr>
      <w:r>
        <w:rPr>
          <w:color w:val="0070C0"/>
        </w:rPr>
        <w:t>D’autres paramètres sont également fortement prédictifs de la mortalité liée à la BPCO et seront à rechercher dans l’histoire de la maladie : l’intensité de la dyspnée d’effort, la dénutrition, les comorbidités, les exacerbations et la capacité à l’exercice.</w:t>
      </w:r>
    </w:p>
    <w:p w14:paraId="55B5EAEB" w14:textId="77777777" w:rsidR="006F3E0E" w:rsidRDefault="006F3E0E" w:rsidP="006F3E0E">
      <w:pPr>
        <w:widowControl w:val="0"/>
        <w:spacing w:line="276" w:lineRule="auto"/>
      </w:pPr>
    </w:p>
    <w:p w14:paraId="3F0214DC" w14:textId="77777777" w:rsidR="006F3E0E" w:rsidRDefault="006F3E0E" w:rsidP="006F3E0E">
      <w:pPr>
        <w:widowControl w:val="0"/>
        <w:spacing w:line="276" w:lineRule="auto"/>
      </w:pPr>
      <w:r>
        <w:t>La survenue de plus de 2 exacerbations par an, et/ou la survenue d’au moins 1 exacerbation grave (c’est-à-dire nécessitant une hospitalisation) définissent le phénotype «</w:t>
      </w:r>
      <w:r>
        <w:rPr>
          <w:rFonts w:ascii="Arial" w:eastAsia="Arial" w:hAnsi="Arial" w:cs="Arial"/>
        </w:rPr>
        <w:t> </w:t>
      </w:r>
      <w:r>
        <w:rPr>
          <w:b/>
          <w:bCs/>
        </w:rPr>
        <w:t>à risque d’exacerbations ».</w:t>
      </w:r>
    </w:p>
    <w:p w14:paraId="4DE70D71" w14:textId="0D82D0A6" w:rsidR="006F3E0E" w:rsidRDefault="006F3E0E" w:rsidP="006F3E0E">
      <w:pPr>
        <w:widowControl w:val="0"/>
        <w:spacing w:line="276" w:lineRule="auto"/>
        <w:rPr>
          <w:i/>
          <w:iCs/>
        </w:rPr>
      </w:pPr>
      <w:r>
        <w:rPr>
          <w:noProof/>
        </w:rPr>
        <w:drawing>
          <wp:anchor distT="0" distB="0" distL="114300" distR="114300" simplePos="0" relativeHeight="251901952" behindDoc="0" locked="0" layoutInCell="1" hidden="0" allowOverlap="1" wp14:anchorId="412C01FA" wp14:editId="71E8EB0C">
            <wp:simplePos x="0" y="0"/>
            <wp:positionH relativeFrom="column">
              <wp:posOffset>-272252</wp:posOffset>
            </wp:positionH>
            <wp:positionV relativeFrom="paragraph">
              <wp:posOffset>180340</wp:posOffset>
            </wp:positionV>
            <wp:extent cx="153670" cy="137160"/>
            <wp:effectExtent l="0" t="0" r="0" b="0"/>
            <wp:wrapSquare wrapText="bothSides" distT="0" distB="0" distL="114300" distR="11430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p>
    <w:p w14:paraId="33FB99DE" w14:textId="00F3369D" w:rsidR="006F3E0E" w:rsidRDefault="006F3E0E" w:rsidP="006F3E0E">
      <w:pPr>
        <w:widowControl w:val="0"/>
        <w:spacing w:line="276" w:lineRule="auto"/>
        <w:rPr>
          <w:color w:val="0070C0"/>
        </w:rPr>
      </w:pPr>
      <w:r>
        <w:rPr>
          <w:color w:val="0070C0"/>
        </w:rPr>
        <w:t xml:space="preserve">Si le malade a déjà eu des EFR, la sévérité du TVO appréciée par le VEMS post BD fait de cette mesure </w:t>
      </w:r>
      <w:r>
        <w:rPr>
          <w:color w:val="0070C0"/>
        </w:rPr>
        <w:lastRenderedPageBreak/>
        <w:t>simple un facteur pronostique important. La distension et l’altération de la diffusion alvéolo-capillaire, liées à un emphysème associé, sont également des facteurs pronostiques.</w:t>
      </w:r>
    </w:p>
    <w:p w14:paraId="564AB01D" w14:textId="77777777" w:rsidR="006F3E0E" w:rsidRDefault="006F3E0E" w:rsidP="006F3E0E">
      <w:pPr>
        <w:widowControl w:val="0"/>
        <w:spacing w:line="276" w:lineRule="auto"/>
        <w:rPr>
          <w:color w:val="0070C0"/>
        </w:rPr>
      </w:pPr>
      <w:r>
        <w:rPr>
          <w:color w:val="0070C0"/>
        </w:rPr>
        <w:t xml:space="preserve"> L’index BODE qui est un score composite associant </w:t>
      </w:r>
      <w:r>
        <w:rPr>
          <w:b/>
          <w:bCs/>
          <w:color w:val="0070C0"/>
          <w:u w:val="single"/>
        </w:rPr>
        <w:t>B</w:t>
      </w:r>
      <w:r>
        <w:rPr>
          <w:color w:val="0070C0"/>
        </w:rPr>
        <w:t xml:space="preserve">ody mass index (IMC), </w:t>
      </w:r>
      <w:r>
        <w:rPr>
          <w:b/>
          <w:bCs/>
          <w:color w:val="0070C0"/>
          <w:u w:val="single"/>
        </w:rPr>
        <w:t>O</w:t>
      </w:r>
      <w:r>
        <w:rPr>
          <w:color w:val="0070C0"/>
        </w:rPr>
        <w:t xml:space="preserve">bstruction (VEMS), </w:t>
      </w:r>
      <w:proofErr w:type="spellStart"/>
      <w:r>
        <w:rPr>
          <w:b/>
          <w:bCs/>
          <w:color w:val="0070C0"/>
          <w:u w:val="single"/>
        </w:rPr>
        <w:t>D</w:t>
      </w:r>
      <w:r>
        <w:rPr>
          <w:color w:val="0070C0"/>
        </w:rPr>
        <w:t>yspnea</w:t>
      </w:r>
      <w:proofErr w:type="spellEnd"/>
      <w:r>
        <w:rPr>
          <w:color w:val="0070C0"/>
        </w:rPr>
        <w:t xml:space="preserve"> (</w:t>
      </w:r>
      <w:proofErr w:type="spellStart"/>
      <w:r>
        <w:rPr>
          <w:color w:val="0070C0"/>
        </w:rPr>
        <w:t>mMRC</w:t>
      </w:r>
      <w:proofErr w:type="spellEnd"/>
      <w:r>
        <w:rPr>
          <w:color w:val="0070C0"/>
        </w:rPr>
        <w:t xml:space="preserve">) et </w:t>
      </w:r>
      <w:r>
        <w:rPr>
          <w:b/>
          <w:bCs/>
          <w:color w:val="0070C0"/>
          <w:u w:val="single"/>
        </w:rPr>
        <w:t>E</w:t>
      </w:r>
      <w:r>
        <w:rPr>
          <w:color w:val="0070C0"/>
        </w:rPr>
        <w:t>xercice (test de marche de 6 minutes) permet de préciser le pronostic à moyen terme de la maladie.</w:t>
      </w:r>
    </w:p>
    <w:p w14:paraId="0A5339E8" w14:textId="77777777" w:rsidR="006F3E0E" w:rsidRDefault="006F3E0E" w:rsidP="006F3E0E">
      <w:pPr>
        <w:widowControl w:val="0"/>
        <w:spacing w:line="276" w:lineRule="auto"/>
      </w:pPr>
    </w:p>
    <w:tbl>
      <w:tblPr>
        <w:tblW w:w="9067"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ayout w:type="fixed"/>
        <w:tblLook w:val="0400" w:firstRow="0" w:lastRow="0" w:firstColumn="0" w:lastColumn="0" w:noHBand="0" w:noVBand="1"/>
      </w:tblPr>
      <w:tblGrid>
        <w:gridCol w:w="9067"/>
      </w:tblGrid>
      <w:tr w:rsidR="006F3E0E" w14:paraId="19794BEB" w14:textId="77777777" w:rsidTr="006F3E0E">
        <w:trPr>
          <w:trHeight w:val="1077"/>
        </w:trPr>
        <w:tc>
          <w:tcPr>
            <w:tcW w:w="9067" w:type="dxa"/>
            <w:vAlign w:val="center"/>
          </w:tcPr>
          <w:p w14:paraId="35E125F1" w14:textId="77777777" w:rsidR="006F3E0E" w:rsidRDefault="006F3E0E" w:rsidP="0094705B">
            <w:pPr>
              <w:widowControl w:val="0"/>
              <w:spacing w:line="276" w:lineRule="auto"/>
            </w:pPr>
            <w:r>
              <w:t>Une histoire typique doit vous faire évoquer une BPCO :</w:t>
            </w:r>
            <w:r>
              <w:rPr>
                <w:b/>
                <w:bCs/>
                <w:i/>
                <w:iCs/>
              </w:rPr>
              <w:t xml:space="preserve"> </w:t>
            </w:r>
            <w:r>
              <w:t xml:space="preserve">un homme d’une soixantaine d’années qui consulte pour dyspnée d’effort, souvent après </w:t>
            </w:r>
            <w:proofErr w:type="gramStart"/>
            <w:r>
              <w:t>avoir été</w:t>
            </w:r>
            <w:proofErr w:type="gramEnd"/>
            <w:r>
              <w:t xml:space="preserve"> voir un cardiologue, ou au décours d’une détresse respiratoire aiguë. L’histoire de la maladie de l’individu retrouve des bronchites à répétitions, une toux et une expectoration minimisée par le malade (« </w:t>
            </w:r>
            <w:r>
              <w:rPr>
                <w:i/>
                <w:iCs/>
              </w:rPr>
              <w:t>c’est normal, je fume</w:t>
            </w:r>
            <w:r>
              <w:t> ») et une dyspnée qui a commencé aux gros efforts, puis progressivement aux escaliers ou en pente, puis à la marche à vitesse normale, puis au moindre effort.</w:t>
            </w:r>
            <w:r>
              <w:rPr>
                <w:noProof/>
              </w:rPr>
              <w:drawing>
                <wp:anchor distT="0" distB="0" distL="114300" distR="114300" simplePos="0" relativeHeight="251902976" behindDoc="0" locked="0" layoutInCell="1" hidden="0" allowOverlap="1" wp14:anchorId="5BDBFAF6" wp14:editId="213798F1">
                  <wp:simplePos x="0" y="0"/>
                  <wp:positionH relativeFrom="column">
                    <wp:posOffset>-546099</wp:posOffset>
                  </wp:positionH>
                  <wp:positionV relativeFrom="paragraph">
                    <wp:posOffset>31750</wp:posOffset>
                  </wp:positionV>
                  <wp:extent cx="656590" cy="665480"/>
                  <wp:effectExtent l="0" t="0" r="0" b="0"/>
                  <wp:wrapSquare wrapText="bothSides" distT="0" distB="0" distL="114300" distR="11430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656590" cy="665480"/>
                          </a:xfrm>
                          <a:prstGeom prst="rect">
                            <a:avLst/>
                          </a:prstGeom>
                          <a:ln/>
                        </pic:spPr>
                      </pic:pic>
                    </a:graphicData>
                  </a:graphic>
                </wp:anchor>
              </w:drawing>
            </w:r>
          </w:p>
        </w:tc>
      </w:tr>
    </w:tbl>
    <w:p w14:paraId="5D624724" w14:textId="77777777" w:rsidR="006F3E0E" w:rsidRDefault="006F3E0E" w:rsidP="006F3E0E">
      <w:pPr>
        <w:spacing w:line="276" w:lineRule="auto"/>
      </w:pPr>
    </w:p>
    <w:p w14:paraId="1E5028F1" w14:textId="77777777" w:rsidR="006F3E0E" w:rsidRDefault="006F3E0E" w:rsidP="006F3E0E">
      <w:pPr>
        <w:spacing w:line="276" w:lineRule="auto"/>
      </w:pPr>
      <w:r>
        <w:t>Au bout de l’histoire clinique, le diagnostic de BPCO :</w:t>
      </w:r>
    </w:p>
    <w:p w14:paraId="043F5882" w14:textId="77777777" w:rsidR="006F3E0E" w:rsidRDefault="006F3E0E" w:rsidP="006F3E0E">
      <w:pPr>
        <w:spacing w:line="276" w:lineRule="auto"/>
      </w:pPr>
      <w:r>
        <w:t>- Sera évoqué sur la présentation clinique (facteurs de risque, symptômes et signes respiratoires).</w:t>
      </w:r>
    </w:p>
    <w:p w14:paraId="0D331420" w14:textId="77777777" w:rsidR="006F3E0E" w:rsidRDefault="006F3E0E" w:rsidP="006F3E0E">
      <w:pPr>
        <w:spacing w:line="276" w:lineRule="auto"/>
      </w:pPr>
      <w:r>
        <w:t>- Sera confirmé dans ce contexte par la spirométrie avec test de réversibilité.</w:t>
      </w:r>
    </w:p>
    <w:p w14:paraId="7B97B922" w14:textId="77777777" w:rsidR="006F3E0E" w:rsidRDefault="006F3E0E" w:rsidP="006F3E0E">
      <w:pPr>
        <w:spacing w:line="276" w:lineRule="auto"/>
      </w:pPr>
    </w:p>
    <w:p w14:paraId="06A63F52" w14:textId="77777777" w:rsidR="006F3E0E" w:rsidRDefault="006F3E0E" w:rsidP="006F3E0E">
      <w:pPr>
        <w:spacing w:line="276" w:lineRule="auto"/>
      </w:pPr>
      <w:r>
        <w:t>Puis la sévérité et le pronostic de la BPCO seront appréciés sur :</w:t>
      </w:r>
    </w:p>
    <w:p w14:paraId="32D7EAE8" w14:textId="77777777" w:rsidR="006F3E0E" w:rsidRDefault="006F3E0E" w:rsidP="006F3E0E">
      <w:pPr>
        <w:spacing w:line="276" w:lineRule="auto"/>
      </w:pPr>
      <w:r>
        <w:t>- Les EFR.</w:t>
      </w:r>
    </w:p>
    <w:p w14:paraId="205B9003" w14:textId="77777777" w:rsidR="006F3E0E" w:rsidRDefault="006F3E0E" w:rsidP="006F3E0E">
      <w:pPr>
        <w:spacing w:line="276" w:lineRule="auto"/>
      </w:pPr>
      <w:r>
        <w:t>- Les symptômes cliniques (dyspnée, exacerbations).</w:t>
      </w:r>
    </w:p>
    <w:p w14:paraId="73B092BC" w14:textId="77777777" w:rsidR="006F3E0E" w:rsidRDefault="006F3E0E" w:rsidP="006F3E0E">
      <w:pPr>
        <w:spacing w:line="276" w:lineRule="auto"/>
      </w:pPr>
      <w:r>
        <w:t>- Les comorbidités.</w:t>
      </w:r>
    </w:p>
    <w:p w14:paraId="57FA39B8" w14:textId="77777777" w:rsidR="006F3E0E" w:rsidRDefault="006F3E0E" w:rsidP="006F3E0E">
      <w:pPr>
        <w:spacing w:line="276" w:lineRule="auto"/>
      </w:pPr>
      <w:r>
        <w:t>- L’utilisation de scores composites (</w:t>
      </w:r>
      <w:r>
        <w:rPr>
          <w:color w:val="0070C0"/>
        </w:rPr>
        <w:t>ex : score BODE</w:t>
      </w:r>
      <w:r>
        <w:t xml:space="preserve">). </w:t>
      </w:r>
    </w:p>
    <w:p w14:paraId="358538C3" w14:textId="77777777" w:rsidR="006F3E0E" w:rsidRDefault="006F3E0E" w:rsidP="006F3E0E">
      <w:pPr>
        <w:pBdr>
          <w:top w:val="nil"/>
          <w:left w:val="nil"/>
          <w:bottom w:val="nil"/>
          <w:right w:val="nil"/>
          <w:between w:val="nil"/>
        </w:pBdr>
        <w:spacing w:line="276" w:lineRule="auto"/>
        <w:rPr>
          <w:i/>
          <w:iCs/>
        </w:rPr>
      </w:pPr>
    </w:p>
    <w:p w14:paraId="52DF606A" w14:textId="77777777" w:rsidR="006F3E0E" w:rsidRDefault="006F3E0E" w:rsidP="006F3E0E">
      <w:pPr>
        <w:pStyle w:val="titredesous-partie"/>
      </w:pPr>
      <w:r>
        <w:rPr>
          <w:shd w:val="clear" w:color="auto" w:fill="auto"/>
        </w:rPr>
        <w:t>EXAMEN CLINIQUE</w:t>
      </w:r>
    </w:p>
    <w:p w14:paraId="5E829899" w14:textId="77777777" w:rsidR="006F3E0E" w:rsidRDefault="006F3E0E">
      <w:pPr>
        <w:pStyle w:val="1titre"/>
        <w:numPr>
          <w:ilvl w:val="0"/>
          <w:numId w:val="29"/>
        </w:numPr>
      </w:pPr>
      <w:r>
        <w:t>Signes fonctionnels</w:t>
      </w:r>
    </w:p>
    <w:p w14:paraId="53251A78" w14:textId="77777777" w:rsidR="006F3E0E" w:rsidRDefault="006F3E0E" w:rsidP="006F3E0E">
      <w:pPr>
        <w:widowControl w:val="0"/>
        <w:spacing w:line="276" w:lineRule="auto"/>
      </w:pPr>
      <w:r>
        <w:t>Dyspnée d’effort :</w:t>
      </w:r>
    </w:p>
    <w:p w14:paraId="51755538" w14:textId="77777777" w:rsidR="006F3E0E" w:rsidRDefault="006F3E0E" w:rsidP="006F3E0E">
      <w:pPr>
        <w:widowControl w:val="0"/>
        <w:spacing w:line="276" w:lineRule="auto"/>
      </w:pPr>
      <w:r>
        <w:t>- À rechercher chez tout fumeur.</w:t>
      </w:r>
    </w:p>
    <w:p w14:paraId="1D532734" w14:textId="77777777" w:rsidR="006F3E0E" w:rsidRDefault="006F3E0E" w:rsidP="006F3E0E">
      <w:pPr>
        <w:widowControl w:val="0"/>
        <w:spacing w:line="276" w:lineRule="auto"/>
      </w:pPr>
      <w:r>
        <w:t>- Survient initialement pour des efforts importants puis des efforts de moins en moins importants quelques années plus tard.</w:t>
      </w:r>
    </w:p>
    <w:p w14:paraId="1A13B1E9" w14:textId="77777777" w:rsidR="006F3E0E" w:rsidRDefault="006F3E0E" w:rsidP="006F3E0E">
      <w:pPr>
        <w:widowControl w:val="0"/>
        <w:spacing w:line="276" w:lineRule="auto"/>
      </w:pPr>
      <w:r>
        <w:t>- Fréquemment sous-estimée par le patient (le malade a adapté sa vie à sa dyspnée (prend l’ascenseur pour éviter la dyspnée lors de la montée d’escaliers).</w:t>
      </w:r>
    </w:p>
    <w:p w14:paraId="009CFE15" w14:textId="77777777" w:rsidR="006F3E0E" w:rsidRDefault="006F3E0E" w:rsidP="006F3E0E">
      <w:pPr>
        <w:widowControl w:val="0"/>
        <w:spacing w:line="276" w:lineRule="auto"/>
      </w:pPr>
      <w:r>
        <w:t xml:space="preserve">- Doit être évaluée au moyen d’échelles comme celle du </w:t>
      </w:r>
      <w:proofErr w:type="spellStart"/>
      <w:r>
        <w:t>mMRC</w:t>
      </w:r>
      <w:proofErr w:type="spellEnd"/>
      <w:r>
        <w:t xml:space="preserve"> (tableau 3).</w:t>
      </w:r>
    </w:p>
    <w:p w14:paraId="21CC1537" w14:textId="77777777" w:rsidR="006F3E0E" w:rsidRDefault="006F3E0E" w:rsidP="006F3E0E">
      <w:pPr>
        <w:widowControl w:val="0"/>
        <w:spacing w:line="276" w:lineRule="auto"/>
      </w:pPr>
    </w:p>
    <w:p w14:paraId="2D56B18E" w14:textId="77777777" w:rsidR="006F3E0E" w:rsidRDefault="006F3E0E" w:rsidP="006F3E0E">
      <w:pPr>
        <w:widowControl w:val="0"/>
        <w:spacing w:line="276" w:lineRule="auto"/>
      </w:pPr>
      <w:r>
        <w:t>Toux ± expectoration, idem sous-estimée par le patient (« c’est normal, je fume »).</w:t>
      </w:r>
    </w:p>
    <w:p w14:paraId="71E65A01" w14:textId="77777777" w:rsidR="006F3E0E" w:rsidRDefault="006F3E0E" w:rsidP="006F3E0E">
      <w:pPr>
        <w:rPr>
          <w:b/>
          <w:bCs/>
          <w:i/>
          <w:iCs/>
        </w:rPr>
      </w:pPr>
    </w:p>
    <w:p w14:paraId="2D17D083" w14:textId="77777777" w:rsidR="006F3E0E" w:rsidRDefault="006F3E0E" w:rsidP="006F3E0E">
      <w:pPr>
        <w:pStyle w:val="Titre2"/>
      </w:pPr>
      <w:r>
        <w:t>Signes physiques</w:t>
      </w:r>
    </w:p>
    <w:p w14:paraId="05A7024B" w14:textId="77777777" w:rsidR="006F3E0E" w:rsidRDefault="006F3E0E" w:rsidP="006F3E0E">
      <w:pPr>
        <w:widowControl w:val="0"/>
        <w:pBdr>
          <w:top w:val="nil"/>
          <w:left w:val="nil"/>
          <w:bottom w:val="nil"/>
          <w:right w:val="nil"/>
          <w:between w:val="nil"/>
        </w:pBdr>
        <w:spacing w:line="276" w:lineRule="auto"/>
      </w:pPr>
      <w:r>
        <w:t>Le piège : ils sont absents pendant des années ou limités à des râles bronchiques (ronchi).</w:t>
      </w:r>
    </w:p>
    <w:p w14:paraId="730F9C68" w14:textId="77777777" w:rsidR="006F3E0E" w:rsidRDefault="006F3E0E" w:rsidP="006F3E0E">
      <w:pPr>
        <w:widowControl w:val="0"/>
        <w:pBdr>
          <w:top w:val="nil"/>
          <w:left w:val="nil"/>
          <w:bottom w:val="nil"/>
          <w:right w:val="nil"/>
          <w:between w:val="nil"/>
        </w:pBdr>
        <w:spacing w:line="276" w:lineRule="auto"/>
      </w:pPr>
    </w:p>
    <w:p w14:paraId="38F04595" w14:textId="77777777" w:rsidR="006F3E0E" w:rsidRDefault="006F3E0E" w:rsidP="006F3E0E">
      <w:pPr>
        <w:widowControl w:val="0"/>
        <w:pBdr>
          <w:top w:val="nil"/>
          <w:left w:val="nil"/>
          <w:bottom w:val="nil"/>
          <w:right w:val="nil"/>
          <w:between w:val="nil"/>
        </w:pBdr>
        <w:spacing w:line="276" w:lineRule="auto"/>
      </w:pPr>
      <w:r>
        <w:t>Puis (souvent après l’aggravation du TVO) :</w:t>
      </w:r>
    </w:p>
    <w:p w14:paraId="74AA2C15" w14:textId="77777777" w:rsidR="006F3E0E" w:rsidRDefault="006F3E0E" w:rsidP="006F3E0E">
      <w:pPr>
        <w:widowControl w:val="0"/>
        <w:pBdr>
          <w:top w:val="nil"/>
          <w:left w:val="nil"/>
          <w:bottom w:val="nil"/>
          <w:right w:val="nil"/>
          <w:between w:val="nil"/>
        </w:pBdr>
        <w:spacing w:line="276" w:lineRule="auto"/>
      </w:pPr>
      <w:r>
        <w:t xml:space="preserve">- À l’inspection : Des signes physiques de distension et/ou des signes d’obstruction et/ou des signes de dysfonction diaphragmatique (voir </w:t>
      </w:r>
      <w:hyperlink r:id="rId13">
        <w:r>
          <w:rPr>
            <w:u w:val="single"/>
          </w:rPr>
          <w:t>https://semiologiepneumologique.com</w:t>
        </w:r>
      </w:hyperlink>
      <w:r>
        <w:t>).</w:t>
      </w:r>
    </w:p>
    <w:p w14:paraId="3F6A225B" w14:textId="77777777" w:rsidR="006F3E0E" w:rsidRDefault="006F3E0E" w:rsidP="006F3E0E">
      <w:pPr>
        <w:widowControl w:val="0"/>
        <w:pBdr>
          <w:top w:val="nil"/>
          <w:left w:val="nil"/>
          <w:bottom w:val="nil"/>
          <w:right w:val="nil"/>
          <w:between w:val="nil"/>
        </w:pBdr>
        <w:spacing w:line="276" w:lineRule="auto"/>
      </w:pPr>
      <w:r>
        <w:t>- À l’auscultation : une diminution du murmure vésiculaire et/ou des ronchi et/ou des sibilants.</w:t>
      </w:r>
    </w:p>
    <w:p w14:paraId="65B4D94B" w14:textId="77777777" w:rsidR="006F3E0E" w:rsidRDefault="006F3E0E" w:rsidP="006F3E0E">
      <w:pPr>
        <w:widowControl w:val="0"/>
        <w:spacing w:line="276" w:lineRule="auto"/>
      </w:pPr>
    </w:p>
    <w:p w14:paraId="66010316" w14:textId="77777777" w:rsidR="006F3E0E" w:rsidRDefault="006F3E0E" w:rsidP="006F3E0E">
      <w:pPr>
        <w:widowControl w:val="0"/>
        <w:spacing w:line="276" w:lineRule="auto"/>
      </w:pPr>
      <w:r>
        <w:t>Et, en cas d’IRC associée (voir item 208) apparaissent les signes d’hypercapnie, d’hypertension pulmonaire, de dysfonction cardiaque droite.</w:t>
      </w:r>
    </w:p>
    <w:p w14:paraId="4FE051F6" w14:textId="77777777" w:rsidR="006F3E0E" w:rsidRDefault="006F3E0E" w:rsidP="006F3E0E">
      <w:pPr>
        <w:widowControl w:val="0"/>
        <w:spacing w:line="276" w:lineRule="auto"/>
        <w:rPr>
          <w:b/>
          <w:bCs/>
        </w:rPr>
      </w:pPr>
    </w:p>
    <w:p w14:paraId="6BB52494" w14:textId="77777777" w:rsidR="006F3E0E" w:rsidRDefault="006F3E0E" w:rsidP="006F3E0E">
      <w:pPr>
        <w:pStyle w:val="titredesous-partie"/>
      </w:pPr>
      <w:r>
        <w:rPr>
          <w:shd w:val="clear" w:color="auto" w:fill="auto"/>
        </w:rPr>
        <w:t>EXAMENS COMPLEMENTAIRES</w:t>
      </w:r>
    </w:p>
    <w:p w14:paraId="1F493648" w14:textId="77777777" w:rsidR="006F3E0E" w:rsidRDefault="006F3E0E" w:rsidP="006F3E0E">
      <w:pPr>
        <w:rPr>
          <w:b/>
          <w:bCs/>
          <w:smallCaps/>
          <w:u w:val="single"/>
        </w:rPr>
      </w:pPr>
      <w:r>
        <w:rPr>
          <w:b/>
          <w:bCs/>
          <w:smallCaps/>
          <w:u w:val="single"/>
        </w:rPr>
        <w:t>EXPLORATION FONCTIONNELLE RESPIRATOIRE</w:t>
      </w:r>
    </w:p>
    <w:p w14:paraId="56B42D04" w14:textId="77777777" w:rsidR="006F3E0E" w:rsidRDefault="006F3E0E" w:rsidP="006F3E0E">
      <w:pPr>
        <w:widowControl w:val="0"/>
        <w:pBdr>
          <w:top w:val="nil"/>
          <w:left w:val="nil"/>
          <w:bottom w:val="nil"/>
          <w:right w:val="nil"/>
          <w:between w:val="nil"/>
        </w:pBdr>
        <w:spacing w:line="276" w:lineRule="auto"/>
      </w:pPr>
      <w:r>
        <w:t>La spirométrie – réalisée en dehors d’une exacerbation, c’est-à-dire en état stable – permet le diagnostic de certitude quand le contexte clinique est concordant, aide au diagnostic différentiel avec un asthme, évalue la sévérité, participe aux choix thérapeutiques et à l’appréciation du pronostic.</w:t>
      </w:r>
    </w:p>
    <w:p w14:paraId="592FC985" w14:textId="77777777" w:rsidR="006F3E0E" w:rsidRDefault="006F3E0E" w:rsidP="006F3E0E">
      <w:pPr>
        <w:widowControl w:val="0"/>
        <w:pBdr>
          <w:top w:val="nil"/>
          <w:left w:val="nil"/>
          <w:bottom w:val="nil"/>
          <w:right w:val="nil"/>
          <w:between w:val="nil"/>
        </w:pBdr>
        <w:spacing w:line="276" w:lineRule="auto"/>
      </w:pPr>
    </w:p>
    <w:p w14:paraId="1952CFB5" w14:textId="77777777" w:rsidR="006F3E0E" w:rsidRDefault="006F3E0E">
      <w:pPr>
        <w:pStyle w:val="1titre"/>
        <w:numPr>
          <w:ilvl w:val="0"/>
          <w:numId w:val="30"/>
        </w:numPr>
      </w:pPr>
      <w:r>
        <w:t>Spirométrie « TVO non complètement réversible » (figure 1)</w:t>
      </w:r>
    </w:p>
    <w:p w14:paraId="18F704CF" w14:textId="77777777" w:rsidR="006F3E0E" w:rsidRDefault="006F3E0E">
      <w:pPr>
        <w:numPr>
          <w:ilvl w:val="0"/>
          <w:numId w:val="24"/>
        </w:numPr>
        <w:pBdr>
          <w:top w:val="nil"/>
          <w:left w:val="nil"/>
          <w:bottom w:val="nil"/>
          <w:right w:val="nil"/>
          <w:between w:val="nil"/>
        </w:pBdr>
        <w:spacing w:line="276" w:lineRule="auto"/>
        <w:ind w:left="284" w:hanging="284"/>
      </w:pPr>
      <w:r>
        <w:t>Spirométrie réalisée à l’état stable.</w:t>
      </w:r>
    </w:p>
    <w:p w14:paraId="57803990" w14:textId="77777777" w:rsidR="006F3E0E" w:rsidRDefault="006F3E0E">
      <w:pPr>
        <w:numPr>
          <w:ilvl w:val="0"/>
          <w:numId w:val="24"/>
        </w:numPr>
        <w:pBdr>
          <w:top w:val="nil"/>
          <w:left w:val="nil"/>
          <w:bottom w:val="nil"/>
          <w:right w:val="nil"/>
          <w:between w:val="nil"/>
        </w:pBdr>
        <w:spacing w:line="276" w:lineRule="auto"/>
        <w:ind w:left="284" w:hanging="284"/>
      </w:pPr>
      <w:r>
        <w:t xml:space="preserve">Avec mesure du volume expiratoire maximal à la première seconde (VEMS) et de la capacité vitale forcée (CVF) avant et (en cas de TVO) après administration de bronchodilatateur (BD). </w:t>
      </w:r>
    </w:p>
    <w:p w14:paraId="6D2D2446" w14:textId="77777777" w:rsidR="006F3E0E" w:rsidRDefault="006F3E0E">
      <w:pPr>
        <w:numPr>
          <w:ilvl w:val="0"/>
          <w:numId w:val="24"/>
        </w:numPr>
        <w:pBdr>
          <w:top w:val="nil"/>
          <w:left w:val="nil"/>
          <w:bottom w:val="nil"/>
          <w:right w:val="nil"/>
          <w:between w:val="nil"/>
        </w:pBdr>
        <w:spacing w:line="276" w:lineRule="auto"/>
        <w:ind w:left="284" w:hanging="284"/>
      </w:pPr>
      <w:r>
        <w:t>TVO = VEMS/CV &lt;0,7 (ATTENTION : prendre la valeur mesurée du patient, pas le % de la théorique) :</w:t>
      </w:r>
    </w:p>
    <w:p w14:paraId="77D57EE6" w14:textId="77777777" w:rsidR="006F3E0E" w:rsidRDefault="006F3E0E">
      <w:pPr>
        <w:numPr>
          <w:ilvl w:val="0"/>
          <w:numId w:val="12"/>
        </w:numPr>
        <w:pBdr>
          <w:top w:val="nil"/>
          <w:left w:val="nil"/>
          <w:bottom w:val="nil"/>
          <w:right w:val="nil"/>
          <w:between w:val="nil"/>
        </w:pBdr>
        <w:spacing w:line="276" w:lineRule="auto"/>
        <w:ind w:left="426" w:hanging="142"/>
      </w:pPr>
      <w:r>
        <w:t xml:space="preserve">Non complètement réversible = </w:t>
      </w:r>
      <w:proofErr w:type="gramStart"/>
      <w:r>
        <w:t>Non normalisation</w:t>
      </w:r>
      <w:proofErr w:type="gramEnd"/>
      <w:r>
        <w:t xml:space="preserve"> du VEMS/CV après BD (reste &lt; 0,7).</w:t>
      </w:r>
    </w:p>
    <w:p w14:paraId="547225EE" w14:textId="77777777" w:rsidR="006F3E0E" w:rsidRDefault="006F3E0E">
      <w:pPr>
        <w:numPr>
          <w:ilvl w:val="0"/>
          <w:numId w:val="12"/>
        </w:numPr>
        <w:pBdr>
          <w:top w:val="nil"/>
          <w:left w:val="nil"/>
          <w:bottom w:val="nil"/>
          <w:right w:val="nil"/>
          <w:between w:val="nil"/>
        </w:pBdr>
        <w:spacing w:line="276" w:lineRule="auto"/>
        <w:ind w:left="426" w:hanging="142"/>
      </w:pPr>
      <w:r>
        <w:t>Non significativement réversible = </w:t>
      </w:r>
      <w:proofErr w:type="gramStart"/>
      <w:r>
        <w:t>Non amélioration</w:t>
      </w:r>
      <w:proofErr w:type="gramEnd"/>
      <w:r>
        <w:t xml:space="preserve"> de 200 </w:t>
      </w:r>
      <w:proofErr w:type="spellStart"/>
      <w:r>
        <w:t>mL</w:t>
      </w:r>
      <w:proofErr w:type="spellEnd"/>
      <w:r>
        <w:t xml:space="preserve"> ET 12 % du VEMS après BD.</w:t>
      </w:r>
    </w:p>
    <w:p w14:paraId="3A25F65A" w14:textId="77777777" w:rsidR="006F3E0E" w:rsidRDefault="006F3E0E" w:rsidP="006F3E0E">
      <w:pPr>
        <w:spacing w:line="276" w:lineRule="auto"/>
        <w:ind w:left="360"/>
      </w:pPr>
    </w:p>
    <w:p w14:paraId="5D689AD5" w14:textId="77777777" w:rsidR="006F3E0E" w:rsidRDefault="006F3E0E" w:rsidP="006F3E0E">
      <w:pPr>
        <w:spacing w:line="276" w:lineRule="auto"/>
      </w:pPr>
      <w:r>
        <w:t>Une réversibilité significative est évocatrice d’un asthme, mais peut être observée dans la BPCO. Une réversibilité complète écarte le diagnostic de BPCO et oriente vers un asthme.</w:t>
      </w:r>
    </w:p>
    <w:p w14:paraId="1108C9CE" w14:textId="77777777" w:rsidR="006F3E0E" w:rsidRDefault="006F3E0E">
      <w:pPr>
        <w:numPr>
          <w:ilvl w:val="0"/>
          <w:numId w:val="13"/>
        </w:numPr>
        <w:pBdr>
          <w:top w:val="nil"/>
          <w:left w:val="nil"/>
          <w:bottom w:val="nil"/>
          <w:right w:val="nil"/>
          <w:between w:val="nil"/>
        </w:pBdr>
        <w:spacing w:line="276" w:lineRule="auto"/>
        <w:ind w:left="284" w:hanging="284"/>
      </w:pPr>
      <w:r>
        <w:t>L’absence de TVO élimine une BPCO.</w:t>
      </w:r>
    </w:p>
    <w:p w14:paraId="193290F2" w14:textId="77777777" w:rsidR="006F3E0E" w:rsidRDefault="006F3E0E">
      <w:pPr>
        <w:numPr>
          <w:ilvl w:val="0"/>
          <w:numId w:val="13"/>
        </w:numPr>
        <w:pBdr>
          <w:top w:val="nil"/>
          <w:left w:val="nil"/>
          <w:bottom w:val="nil"/>
          <w:right w:val="nil"/>
          <w:between w:val="nil"/>
        </w:pBdr>
        <w:spacing w:line="276" w:lineRule="auto"/>
        <w:ind w:left="284" w:hanging="284"/>
      </w:pPr>
      <w:r>
        <w:t xml:space="preserve">La sévérité du TVO est appréciée en fonction de la valeur du </w:t>
      </w:r>
      <w:r>
        <w:rPr>
          <w:b/>
          <w:bCs/>
        </w:rPr>
        <w:t>VEMS</w:t>
      </w:r>
      <w:r>
        <w:t xml:space="preserve"> post-BD (cf. grade GOLD et tableau 2).</w:t>
      </w:r>
    </w:p>
    <w:p w14:paraId="43EF54BA" w14:textId="77777777" w:rsidR="006F3E0E" w:rsidRDefault="006F3E0E" w:rsidP="006F3E0E">
      <w:pPr>
        <w:widowControl w:val="0"/>
        <w:spacing w:line="276" w:lineRule="auto"/>
        <w:rPr>
          <w:u w:val="single"/>
        </w:rPr>
      </w:pPr>
    </w:p>
    <w:p w14:paraId="4F9241FB" w14:textId="188792E4" w:rsidR="006F3E0E" w:rsidRDefault="006F3E0E" w:rsidP="006F3E0E">
      <w:pPr>
        <w:pStyle w:val="Titre2"/>
      </w:pPr>
      <w:r>
        <w:rPr>
          <w:noProof/>
        </w:rPr>
        <w:drawing>
          <wp:anchor distT="0" distB="0" distL="114300" distR="114300" simplePos="0" relativeHeight="251904000" behindDoc="0" locked="0" layoutInCell="1" hidden="0" allowOverlap="1" wp14:anchorId="6CF32CC4" wp14:editId="155ECFB9">
            <wp:simplePos x="0" y="0"/>
            <wp:positionH relativeFrom="column">
              <wp:posOffset>-271145</wp:posOffset>
            </wp:positionH>
            <wp:positionV relativeFrom="paragraph">
              <wp:posOffset>329728</wp:posOffset>
            </wp:positionV>
            <wp:extent cx="153670" cy="137160"/>
            <wp:effectExtent l="0" t="0" r="0" b="0"/>
            <wp:wrapSquare wrapText="bothSides" distT="0" distB="0" distL="114300" distR="114300"/>
            <wp:docPr id="3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t xml:space="preserve">La pléthysmographie </w:t>
      </w:r>
    </w:p>
    <w:p w14:paraId="38FA0EEE" w14:textId="166E177B" w:rsidR="006F3E0E" w:rsidRDefault="006F3E0E" w:rsidP="006F3E0E">
      <w:pPr>
        <w:widowControl w:val="0"/>
        <w:spacing w:line="276" w:lineRule="auto"/>
        <w:rPr>
          <w:color w:val="0070C0"/>
        </w:rPr>
      </w:pPr>
      <w:r>
        <w:rPr>
          <w:color w:val="0070C0"/>
        </w:rPr>
        <w:t xml:space="preserve">Elle permet de mesurer les volumes pulmonaires non mobilisables, et donc le volume résiduel (VR) et la capacité pulmonaire totale (CPT). Pour définir une </w:t>
      </w:r>
      <w:r>
        <w:rPr>
          <w:b/>
          <w:bCs/>
          <w:color w:val="0070C0"/>
        </w:rPr>
        <w:t>distension pulmonaire</w:t>
      </w:r>
      <w:r>
        <w:rPr>
          <w:color w:val="0070C0"/>
        </w:rPr>
        <w:t>, 2 définitions sont valables. Une plus ancienne : augmentation de la CPT (&gt; 120 %) avec un rapport VR/CPT &gt; 30 %. Une plus récente en cours de diffusion : une CPT et/ou une CRF et/ou un VR supérieurs à la limite supérieure de la normale (LSN).</w:t>
      </w:r>
    </w:p>
    <w:p w14:paraId="6C1B84A5" w14:textId="77777777" w:rsidR="006F3E0E" w:rsidRDefault="006F3E0E" w:rsidP="006F3E0E">
      <w:pPr>
        <w:widowControl w:val="0"/>
        <w:spacing w:line="276" w:lineRule="auto"/>
        <w:rPr>
          <w:color w:val="0070C0"/>
        </w:rPr>
      </w:pPr>
    </w:p>
    <w:p w14:paraId="76BC9304" w14:textId="77777777" w:rsidR="006F3E0E" w:rsidRDefault="006F3E0E" w:rsidP="006F3E0E">
      <w:pPr>
        <w:pStyle w:val="Titre2"/>
        <w:rPr>
          <w:u w:val="single"/>
        </w:rPr>
      </w:pPr>
      <w:r>
        <w:t>Capacité de transfert du monoxyde de carbone (</w:t>
      </w:r>
      <w:r>
        <w:rPr>
          <w:u w:val="single"/>
        </w:rPr>
        <w:t>DLCO</w:t>
      </w:r>
      <w:r>
        <w:t>)</w:t>
      </w:r>
    </w:p>
    <w:p w14:paraId="3B610201" w14:textId="77777777" w:rsidR="006F3E0E" w:rsidRDefault="006F3E0E" w:rsidP="006F3E0E">
      <w:pPr>
        <w:widowControl w:val="0"/>
        <w:spacing w:line="276" w:lineRule="auto"/>
      </w:pPr>
      <w:r>
        <w:t>Dans la BPCO, la mesure de la capacité de transfert du monoxyde de carbone (DLCO) permet d’appréhender l’altération des échanges alvéolo-capillaire en lien notamment avec la destruction alvéolaire (emphysème). On considère comme pathologique toute valeur de DLCO &lt; 70 % de la valeur prédite.</w:t>
      </w:r>
    </w:p>
    <w:p w14:paraId="1396BC74" w14:textId="77777777" w:rsidR="006F3E0E" w:rsidRDefault="006F3E0E" w:rsidP="006F3E0E">
      <w:pPr>
        <w:widowControl w:val="0"/>
        <w:ind w:left="360"/>
      </w:pPr>
    </w:p>
    <w:p w14:paraId="18C86AAF" w14:textId="180563AD" w:rsidR="006F3E0E" w:rsidRDefault="006F3E0E" w:rsidP="006F3E0E">
      <w:pPr>
        <w:pStyle w:val="lgende"/>
        <w:rPr>
          <w:i/>
          <w:iCs/>
        </w:rPr>
      </w:pPr>
      <w:r>
        <w:t>Figure </w:t>
      </w:r>
      <w:r w:rsidR="00BF04C9">
        <w:t>2</w:t>
      </w:r>
      <w:r>
        <w:t> : Exploration fonctionnelle respiratoire d’un malade atteint de BPCO : le rapport VEMS/CVF pré-BD est mesuré à 39 % (&lt; 70 %) en pré-BD et à 38 % en post-BD. Il y a donc bien un TVO persistant après BD. La réversibilité n’est pas significative : le VEMS gagne 40 </w:t>
      </w:r>
      <w:proofErr w:type="spellStart"/>
      <w:r>
        <w:t>mL</w:t>
      </w:r>
      <w:proofErr w:type="spellEnd"/>
      <w:r>
        <w:t xml:space="preserve"> en valeur absolue et </w:t>
      </w:r>
      <w:r w:rsidR="00BF04C9">
        <w:t>4</w:t>
      </w:r>
      <w:r>
        <w:t xml:space="preserve"> % en valeur relative après BD. Le VEMS post-BD est à 55 % de la valeur prédite. On peut donc parler de sévérité de grade 2 (modérée) du TVO </w:t>
      </w:r>
      <w:r>
        <w:lastRenderedPageBreak/>
        <w:t xml:space="preserve">(tableau 2). </w:t>
      </w:r>
      <w:r>
        <w:rPr>
          <w:i/>
          <w:iCs/>
        </w:rPr>
        <w:t xml:space="preserve">On note aussi une altération du transfert du CO (DLCO &lt; 70 %) et une distension thoracique (CPT &gt; 120 % et VR/CPT &gt; 30 %), compatibles avec la présence d’un emphysème. </w:t>
      </w:r>
    </w:p>
    <w:p w14:paraId="5BB18C6C" w14:textId="77777777" w:rsidR="006F3E0E" w:rsidRDefault="006F3E0E" w:rsidP="006F3E0E">
      <w:pPr>
        <w:pBdr>
          <w:top w:val="nil"/>
          <w:left w:val="nil"/>
          <w:bottom w:val="nil"/>
          <w:right w:val="nil"/>
          <w:between w:val="nil"/>
        </w:pBdr>
        <w:spacing w:line="276" w:lineRule="auto"/>
        <w:rPr>
          <w:rFonts w:ascii="Arial" w:eastAsia="Arial" w:hAnsi="Arial" w:cs="Arial"/>
          <w:i/>
          <w:iCs/>
          <w:sz w:val="18"/>
          <w:szCs w:val="18"/>
        </w:rPr>
      </w:pPr>
      <w:r>
        <w:rPr>
          <w:noProof/>
        </w:rPr>
        <w:drawing>
          <wp:anchor distT="0" distB="0" distL="114300" distR="114300" simplePos="0" relativeHeight="251905024" behindDoc="0" locked="0" layoutInCell="1" hidden="0" allowOverlap="1" wp14:anchorId="26BD1C4B" wp14:editId="01614DA3">
            <wp:simplePos x="0" y="0"/>
            <wp:positionH relativeFrom="margin">
              <wp:align>left</wp:align>
            </wp:positionH>
            <wp:positionV relativeFrom="paragraph">
              <wp:posOffset>359</wp:posOffset>
            </wp:positionV>
            <wp:extent cx="5603875" cy="4538980"/>
            <wp:effectExtent l="0" t="0" r="0" b="0"/>
            <wp:wrapTopAndBottom distT="0" distB="0"/>
            <wp:docPr id="1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a:srcRect/>
                    <a:stretch>
                      <a:fillRect/>
                    </a:stretch>
                  </pic:blipFill>
                  <pic:spPr>
                    <a:xfrm>
                      <a:off x="0" y="0"/>
                      <a:ext cx="5603875" cy="4538980"/>
                    </a:xfrm>
                    <a:prstGeom prst="rect">
                      <a:avLst/>
                    </a:prstGeom>
                    <a:ln/>
                  </pic:spPr>
                </pic:pic>
              </a:graphicData>
            </a:graphic>
            <wp14:sizeRelH relativeFrom="margin">
              <wp14:pctWidth>0</wp14:pctWidth>
            </wp14:sizeRelH>
            <wp14:sizeRelV relativeFrom="margin">
              <wp14:pctHeight>0</wp14:pctHeight>
            </wp14:sizeRelV>
          </wp:anchor>
        </w:drawing>
      </w:r>
    </w:p>
    <w:p w14:paraId="4564E4B3" w14:textId="77777777" w:rsidR="006F3E0E" w:rsidRDefault="006F3E0E" w:rsidP="006F3E0E">
      <w:pPr>
        <w:pStyle w:val="Titre2"/>
      </w:pPr>
      <w:r>
        <w:t>Gaz du sang</w:t>
      </w:r>
    </w:p>
    <w:p w14:paraId="4AA67C38" w14:textId="77777777" w:rsidR="006F3E0E" w:rsidRDefault="006F3E0E" w:rsidP="006F3E0E">
      <w:pPr>
        <w:widowControl w:val="0"/>
        <w:pBdr>
          <w:top w:val="nil"/>
          <w:left w:val="nil"/>
          <w:bottom w:val="nil"/>
          <w:right w:val="nil"/>
          <w:between w:val="nil"/>
        </w:pBdr>
        <w:spacing w:line="276" w:lineRule="auto"/>
        <w:ind w:left="720" w:hanging="360"/>
      </w:pPr>
      <w:r>
        <w:t>La mesure des gaz du sang artériel est indiquée en cas de suspicion d’insuffisance respiratoire chronique. Il n’est pas obligatoire chez tout malade atteint de BPCO.</w:t>
      </w:r>
    </w:p>
    <w:p w14:paraId="6FF85E56" w14:textId="77777777" w:rsidR="006F3E0E" w:rsidRDefault="006F3E0E" w:rsidP="006F3E0E">
      <w:pPr>
        <w:widowControl w:val="0"/>
        <w:spacing w:line="276" w:lineRule="auto"/>
      </w:pPr>
    </w:p>
    <w:p w14:paraId="2647FBF6" w14:textId="77777777" w:rsidR="006F3E0E" w:rsidRDefault="006F3E0E" w:rsidP="006F3E0E">
      <w:pPr>
        <w:pStyle w:val="Titre2"/>
      </w:pPr>
      <w:r>
        <w:t xml:space="preserve">Épreuve d’exercice </w:t>
      </w:r>
    </w:p>
    <w:p w14:paraId="3299C371" w14:textId="77777777" w:rsidR="006F3E0E" w:rsidRDefault="006F3E0E" w:rsidP="006F3E0E">
      <w:pPr>
        <w:widowControl w:val="0"/>
        <w:spacing w:line="276" w:lineRule="auto"/>
      </w:pPr>
      <w:r>
        <w:t>Il en existe 2 grands types :</w:t>
      </w:r>
    </w:p>
    <w:p w14:paraId="4FEB8CEF" w14:textId="2BE1731A" w:rsidR="006F3E0E" w:rsidRDefault="006F3E0E" w:rsidP="006F3E0E">
      <w:pPr>
        <w:widowControl w:val="0"/>
        <w:spacing w:line="276" w:lineRule="auto"/>
      </w:pPr>
      <w:r>
        <w:rPr>
          <w:noProof/>
        </w:rPr>
        <w:drawing>
          <wp:anchor distT="0" distB="0" distL="114300" distR="114300" simplePos="0" relativeHeight="251906048" behindDoc="0" locked="0" layoutInCell="1" hidden="0" allowOverlap="1" wp14:anchorId="6FB83350" wp14:editId="64113BF7">
            <wp:simplePos x="0" y="0"/>
            <wp:positionH relativeFrom="column">
              <wp:posOffset>-270347</wp:posOffset>
            </wp:positionH>
            <wp:positionV relativeFrom="paragraph">
              <wp:posOffset>504190</wp:posOffset>
            </wp:positionV>
            <wp:extent cx="153670" cy="137160"/>
            <wp:effectExtent l="0" t="0" r="0" b="0"/>
            <wp:wrapSquare wrapText="bothSides" distT="0" distB="0" distL="114300" distR="11430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t xml:space="preserve">- Le </w:t>
      </w:r>
      <w:r>
        <w:rPr>
          <w:b/>
          <w:bCs/>
        </w:rPr>
        <w:t>test de marche de 6 minutes</w:t>
      </w:r>
      <w:r>
        <w:t>, utilisée dans le suivi de la BPCO. Il existe des valeurs normales selon l’âge, le sexe et la taille, mais il est utile de savoir que l’on marche environ 500 m en 6 minutes de marche rapide (5 km/h). Il a une valeur pronostique dans la BPCO.</w:t>
      </w:r>
    </w:p>
    <w:p w14:paraId="1A8A8039" w14:textId="6F1FA3F2" w:rsidR="006F3E0E" w:rsidRDefault="006F3E0E" w:rsidP="006F3E0E">
      <w:pPr>
        <w:widowControl w:val="0"/>
        <w:spacing w:line="276" w:lineRule="auto"/>
        <w:rPr>
          <w:color w:val="0070C0"/>
        </w:rPr>
      </w:pPr>
      <w:r>
        <w:t xml:space="preserve">- </w:t>
      </w:r>
      <w:r>
        <w:rPr>
          <w:color w:val="0070C0"/>
        </w:rPr>
        <w:t>L’épreuve fonctionnelle à l’exercice : épreuve d’exercice maximal permettant une mesure de la consommation d’O</w:t>
      </w:r>
      <w:r>
        <w:rPr>
          <w:color w:val="0070C0"/>
          <w:vertAlign w:val="subscript"/>
        </w:rPr>
        <w:t>2</w:t>
      </w:r>
      <w:r>
        <w:rPr>
          <w:color w:val="0070C0"/>
        </w:rPr>
        <w:t xml:space="preserve"> à l’effort (VO</w:t>
      </w:r>
      <w:r>
        <w:rPr>
          <w:color w:val="0070C0"/>
          <w:vertAlign w:val="subscript"/>
        </w:rPr>
        <w:t>2</w:t>
      </w:r>
      <w:r>
        <w:rPr>
          <w:color w:val="0070C0"/>
        </w:rPr>
        <w:t xml:space="preserve">max) et de comprendre les mécanismes physiopathologiques impliqués dans son altération (Spirométrie et GDS en même temps). Indiquée dans différentes situations : en cas de dyspnée sévère contrastante avec des EFR peu perturbées pour préciser le mécanisme de la dyspnée ou bien avant réadaptation respiratoire pour s’assurer de l’absence de </w:t>
      </w:r>
      <w:proofErr w:type="gramStart"/>
      <w:r>
        <w:rPr>
          <w:color w:val="0070C0"/>
        </w:rPr>
        <w:lastRenderedPageBreak/>
        <w:t>contre</w:t>
      </w:r>
      <w:proofErr w:type="gramEnd"/>
      <w:r>
        <w:rPr>
          <w:color w:val="0070C0"/>
        </w:rPr>
        <w:t>-indications cardiaques ou respiratoires et déterminer les modalités du réentraînement à l’effort.</w:t>
      </w:r>
    </w:p>
    <w:p w14:paraId="4E65C48D" w14:textId="77777777" w:rsidR="006F3E0E" w:rsidRDefault="006F3E0E" w:rsidP="006F3E0E">
      <w:pPr>
        <w:widowControl w:val="0"/>
        <w:spacing w:line="276" w:lineRule="auto"/>
        <w:rPr>
          <w:color w:val="0070C0"/>
        </w:rPr>
      </w:pPr>
    </w:p>
    <w:p w14:paraId="313237C1" w14:textId="77777777" w:rsidR="006F3E0E" w:rsidRDefault="006F3E0E" w:rsidP="006F3E0E">
      <w:pPr>
        <w:pBdr>
          <w:top w:val="nil"/>
          <w:left w:val="nil"/>
          <w:bottom w:val="nil"/>
          <w:right w:val="nil"/>
          <w:between w:val="nil"/>
        </w:pBdr>
        <w:spacing w:after="240"/>
        <w:ind w:left="993" w:hanging="709"/>
        <w:jc w:val="left"/>
        <w:rPr>
          <w:b/>
          <w:bCs/>
          <w:smallCaps/>
          <w:u w:val="single"/>
        </w:rPr>
      </w:pPr>
      <w:r>
        <w:rPr>
          <w:b/>
          <w:bCs/>
          <w:smallCaps/>
          <w:u w:val="single"/>
        </w:rPr>
        <w:t>IMAGERIE ET BIOLOGIE</w:t>
      </w:r>
    </w:p>
    <w:p w14:paraId="6E91BB7B" w14:textId="77777777" w:rsidR="006F3E0E" w:rsidRDefault="006F3E0E">
      <w:pPr>
        <w:pStyle w:val="1titre"/>
        <w:numPr>
          <w:ilvl w:val="0"/>
          <w:numId w:val="31"/>
        </w:numPr>
      </w:pPr>
      <w:r>
        <w:t>Radiographie</w:t>
      </w:r>
    </w:p>
    <w:p w14:paraId="67D24BC0" w14:textId="77777777" w:rsidR="006F3E0E" w:rsidRDefault="006F3E0E" w:rsidP="006F3E0E">
      <w:pPr>
        <w:widowControl w:val="0"/>
        <w:spacing w:line="276" w:lineRule="auto"/>
        <w:rPr>
          <w:color w:val="0070C0"/>
        </w:rPr>
      </w:pPr>
      <w:r>
        <w:rPr>
          <w:color w:val="0070C0"/>
        </w:rPr>
        <w:t>La radiographie thoracique n’a pas d’intérêt dans le diagnostic positif de la BPCO. Elle peut montrer :</w:t>
      </w:r>
    </w:p>
    <w:p w14:paraId="09B0FE83" w14:textId="77777777" w:rsidR="006F3E0E" w:rsidRDefault="006F3E0E" w:rsidP="006F3E0E">
      <w:pPr>
        <w:widowControl w:val="0"/>
        <w:spacing w:line="276" w:lineRule="auto"/>
        <w:rPr>
          <w:color w:val="0070C0"/>
        </w:rPr>
      </w:pPr>
      <w:r>
        <w:rPr>
          <w:color w:val="0070C0"/>
        </w:rPr>
        <w:t>- Une distension thoracique :</w:t>
      </w:r>
    </w:p>
    <w:p w14:paraId="6620A16F" w14:textId="77777777" w:rsidR="006F3E0E" w:rsidRDefault="006F3E0E">
      <w:pPr>
        <w:widowControl w:val="0"/>
        <w:numPr>
          <w:ilvl w:val="0"/>
          <w:numId w:val="14"/>
        </w:numPr>
        <w:spacing w:line="276" w:lineRule="auto"/>
        <w:ind w:left="284" w:hanging="142"/>
        <w:rPr>
          <w:color w:val="0070C0"/>
        </w:rPr>
      </w:pPr>
      <w:r>
        <w:rPr>
          <w:color w:val="0070C0"/>
        </w:rPr>
        <w:t>Aplatissement des coupoles diaphragmatiques (de profil).</w:t>
      </w:r>
    </w:p>
    <w:p w14:paraId="0CDE01DC" w14:textId="77777777" w:rsidR="006F3E0E" w:rsidRDefault="006F3E0E">
      <w:pPr>
        <w:widowControl w:val="0"/>
        <w:numPr>
          <w:ilvl w:val="0"/>
          <w:numId w:val="14"/>
        </w:numPr>
        <w:spacing w:line="276" w:lineRule="auto"/>
        <w:ind w:left="284" w:hanging="142"/>
        <w:rPr>
          <w:color w:val="0070C0"/>
        </w:rPr>
      </w:pPr>
      <w:r>
        <w:rPr>
          <w:color w:val="0070C0"/>
        </w:rPr>
        <w:t>Augmentation des espaces clairs rétro-sternal et rétro-cardiaque (de profil).</w:t>
      </w:r>
    </w:p>
    <w:p w14:paraId="3BFA02EE" w14:textId="77777777" w:rsidR="006F3E0E" w:rsidRDefault="006F3E0E">
      <w:pPr>
        <w:widowControl w:val="0"/>
        <w:numPr>
          <w:ilvl w:val="0"/>
          <w:numId w:val="14"/>
        </w:numPr>
        <w:spacing w:line="276" w:lineRule="auto"/>
        <w:ind w:left="284" w:hanging="142"/>
        <w:rPr>
          <w:color w:val="0070C0"/>
        </w:rPr>
      </w:pPr>
      <w:r>
        <w:rPr>
          <w:color w:val="0070C0"/>
        </w:rPr>
        <w:t>Augmentation du diamètre thoracique antéro-postérieur = thorax en tonneau (de profil).</w:t>
      </w:r>
    </w:p>
    <w:p w14:paraId="014F2C2C" w14:textId="77777777" w:rsidR="006F3E0E" w:rsidRDefault="006F3E0E">
      <w:pPr>
        <w:widowControl w:val="0"/>
        <w:numPr>
          <w:ilvl w:val="0"/>
          <w:numId w:val="14"/>
        </w:numPr>
        <w:spacing w:line="276" w:lineRule="auto"/>
        <w:ind w:left="284" w:hanging="142"/>
        <w:rPr>
          <w:color w:val="0070C0"/>
        </w:rPr>
      </w:pPr>
      <w:r>
        <w:rPr>
          <w:color w:val="0070C0"/>
        </w:rPr>
        <w:t>Horizontalisation des côtes (de face).</w:t>
      </w:r>
    </w:p>
    <w:p w14:paraId="555E40F1" w14:textId="77777777" w:rsidR="006F3E0E" w:rsidRDefault="006F3E0E" w:rsidP="006F3E0E">
      <w:pPr>
        <w:widowControl w:val="0"/>
        <w:spacing w:line="276" w:lineRule="auto"/>
        <w:rPr>
          <w:color w:val="0070C0"/>
        </w:rPr>
      </w:pPr>
      <w:r>
        <w:rPr>
          <w:color w:val="0070C0"/>
        </w:rPr>
        <w:t xml:space="preserve">- Une </w:t>
      </w:r>
      <w:proofErr w:type="spellStart"/>
      <w:r>
        <w:rPr>
          <w:color w:val="0070C0"/>
        </w:rPr>
        <w:t>hyperclarté</w:t>
      </w:r>
      <w:proofErr w:type="spellEnd"/>
      <w:r>
        <w:rPr>
          <w:color w:val="0070C0"/>
        </w:rPr>
        <w:t xml:space="preserve"> pulmonaire, qui traduit une diminution de la vascularisation (de face).</w:t>
      </w:r>
    </w:p>
    <w:p w14:paraId="1BEE36CB" w14:textId="77777777" w:rsidR="006F3E0E" w:rsidRDefault="006F3E0E" w:rsidP="006F3E0E">
      <w:pPr>
        <w:widowControl w:val="0"/>
        <w:spacing w:line="276" w:lineRule="auto"/>
        <w:rPr>
          <w:color w:val="0070C0"/>
        </w:rPr>
      </w:pPr>
      <w:r>
        <w:rPr>
          <w:color w:val="0070C0"/>
        </w:rPr>
        <w:t>- Des tassements vertébraux révélant une ostéoporose fracturaire.</w:t>
      </w:r>
    </w:p>
    <w:p w14:paraId="1CB8D580" w14:textId="77777777" w:rsidR="006F3E0E" w:rsidRDefault="006F3E0E" w:rsidP="006F3E0E">
      <w:pPr>
        <w:widowControl w:val="0"/>
        <w:spacing w:line="276" w:lineRule="auto"/>
        <w:jc w:val="center"/>
        <w:rPr>
          <w:i/>
          <w:iCs/>
        </w:rPr>
      </w:pPr>
    </w:p>
    <w:p w14:paraId="79E35B79" w14:textId="6894ACEA" w:rsidR="006F3E0E" w:rsidRDefault="006F3E0E" w:rsidP="006F3E0E">
      <w:pPr>
        <w:pStyle w:val="lgende"/>
      </w:pPr>
      <w:r>
        <w:t>Figure </w:t>
      </w:r>
      <w:r w:rsidR="00BF04C9">
        <w:t>3</w:t>
      </w:r>
      <w:r>
        <w:t> : Homme de 68 ans, ancien fumeur (60 paquets-années), BPCO avec TVO sévère, grande distension : diaphragme aplati, augmentation des espaces clairs rétro-sternal et rétro-cardiaque, thorax en tonneau, tassement vertébral avec corps vertébral triangulaire sur le profil.</w:t>
      </w:r>
    </w:p>
    <w:p w14:paraId="22393834" w14:textId="77777777" w:rsidR="006F3E0E" w:rsidRDefault="006F3E0E" w:rsidP="006F3E0E">
      <w:pPr>
        <w:widowControl w:val="0"/>
        <w:spacing w:line="276" w:lineRule="auto"/>
        <w:jc w:val="center"/>
        <w:rPr>
          <w:i/>
          <w:iCs/>
        </w:rPr>
      </w:pPr>
      <w:r>
        <w:rPr>
          <w:i/>
          <w:iCs/>
          <w:noProof/>
        </w:rPr>
        <w:drawing>
          <wp:inline distT="0" distB="0" distL="0" distR="0" wp14:anchorId="67D27AF9" wp14:editId="10C48B36">
            <wp:extent cx="3124200" cy="3333750"/>
            <wp:effectExtent l="0" t="0" r="0" b="0"/>
            <wp:docPr id="35"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5"/>
                    <a:srcRect/>
                    <a:stretch>
                      <a:fillRect/>
                    </a:stretch>
                  </pic:blipFill>
                  <pic:spPr>
                    <a:xfrm>
                      <a:off x="0" y="0"/>
                      <a:ext cx="3124200" cy="3333750"/>
                    </a:xfrm>
                    <a:prstGeom prst="rect">
                      <a:avLst/>
                    </a:prstGeom>
                    <a:ln/>
                  </pic:spPr>
                </pic:pic>
              </a:graphicData>
            </a:graphic>
          </wp:inline>
        </w:drawing>
      </w:r>
      <w:r>
        <w:rPr>
          <w:i/>
          <w:iCs/>
          <w:noProof/>
        </w:rPr>
        <w:drawing>
          <wp:inline distT="0" distB="0" distL="0" distR="0" wp14:anchorId="5F1D478B" wp14:editId="014E90CB">
            <wp:extent cx="2581275" cy="3333750"/>
            <wp:effectExtent l="0" t="0" r="0" b="0"/>
            <wp:docPr id="37"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6"/>
                    <a:srcRect/>
                    <a:stretch>
                      <a:fillRect/>
                    </a:stretch>
                  </pic:blipFill>
                  <pic:spPr>
                    <a:xfrm>
                      <a:off x="0" y="0"/>
                      <a:ext cx="2581275" cy="3333750"/>
                    </a:xfrm>
                    <a:prstGeom prst="rect">
                      <a:avLst/>
                    </a:prstGeom>
                    <a:ln/>
                  </pic:spPr>
                </pic:pic>
              </a:graphicData>
            </a:graphic>
          </wp:inline>
        </w:drawing>
      </w:r>
    </w:p>
    <w:p w14:paraId="082DF77D" w14:textId="03430221" w:rsidR="006F3E0E" w:rsidRDefault="006F3E0E" w:rsidP="006F3E0E">
      <w:pPr>
        <w:spacing w:line="276" w:lineRule="auto"/>
        <w:rPr>
          <w:i/>
          <w:iCs/>
        </w:rPr>
      </w:pPr>
    </w:p>
    <w:p w14:paraId="667C2CA8" w14:textId="3CB56037" w:rsidR="006F3E0E" w:rsidRDefault="006F3E0E" w:rsidP="006F3E0E">
      <w:pPr>
        <w:widowControl w:val="0"/>
        <w:spacing w:line="276" w:lineRule="auto"/>
        <w:rPr>
          <w:color w:val="0070C0"/>
        </w:rPr>
      </w:pPr>
      <w:r>
        <w:rPr>
          <w:noProof/>
        </w:rPr>
        <w:drawing>
          <wp:anchor distT="0" distB="0" distL="114300" distR="114300" simplePos="0" relativeHeight="251907072" behindDoc="0" locked="0" layoutInCell="1" hidden="0" allowOverlap="1" wp14:anchorId="3E15616F" wp14:editId="25C5857D">
            <wp:simplePos x="0" y="0"/>
            <wp:positionH relativeFrom="column">
              <wp:posOffset>-261783</wp:posOffset>
            </wp:positionH>
            <wp:positionV relativeFrom="paragraph">
              <wp:posOffset>10160</wp:posOffset>
            </wp:positionV>
            <wp:extent cx="153670" cy="137160"/>
            <wp:effectExtent l="0" t="0" r="0" b="0"/>
            <wp:wrapSquare wrapText="bothSides" distT="0" distB="0" distL="114300" distR="114300"/>
            <wp:docPr id="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Pr>
          <w:color w:val="0070C0"/>
        </w:rPr>
        <w:t xml:space="preserve">La radiographie thoracique peut faire suspecter une cardiopathie associée ou un carcinome bronchique, mais elle ne constitue pas l’outil pertinent de dépistage du cancer bronchique. </w:t>
      </w:r>
    </w:p>
    <w:p w14:paraId="44CA165A" w14:textId="77777777" w:rsidR="006F3E0E" w:rsidRDefault="006F3E0E" w:rsidP="006F3E0E">
      <w:pPr>
        <w:spacing w:line="276" w:lineRule="auto"/>
        <w:rPr>
          <w:i/>
          <w:iCs/>
        </w:rPr>
      </w:pPr>
    </w:p>
    <w:p w14:paraId="17C85510" w14:textId="507D9129" w:rsidR="006F3E0E" w:rsidRDefault="006F3E0E" w:rsidP="006F3E0E">
      <w:pPr>
        <w:pStyle w:val="Titre2"/>
      </w:pPr>
      <w:r>
        <w:t>Tomodensitométrie (figure </w:t>
      </w:r>
      <w:r w:rsidR="00BF04C9">
        <w:t>1</w:t>
      </w:r>
      <w:r>
        <w:t>)</w:t>
      </w:r>
    </w:p>
    <w:p w14:paraId="7B73FC88" w14:textId="5670F7F7" w:rsidR="006F3E0E" w:rsidRDefault="006F3E0E" w:rsidP="006F3E0E">
      <w:pPr>
        <w:widowControl w:val="0"/>
        <w:spacing w:line="276" w:lineRule="auto"/>
      </w:pPr>
      <w:r>
        <w:t>La tomodensitométrie n’est pas systématique dans le bilan d’une BPCO, mais elle apporte plus d’information que la radiographie de thorax.</w:t>
      </w:r>
    </w:p>
    <w:p w14:paraId="2BABF6AD" w14:textId="46E5913A" w:rsidR="006F3E0E" w:rsidRDefault="006F3E0E" w:rsidP="006F3E0E">
      <w:pPr>
        <w:widowControl w:val="0"/>
        <w:spacing w:line="276" w:lineRule="auto"/>
        <w:rPr>
          <w:color w:val="0070C0"/>
        </w:rPr>
      </w:pPr>
      <w:r>
        <w:rPr>
          <w:noProof/>
        </w:rPr>
        <w:lastRenderedPageBreak/>
        <w:drawing>
          <wp:anchor distT="0" distB="0" distL="114300" distR="114300" simplePos="0" relativeHeight="251908096" behindDoc="0" locked="0" layoutInCell="1" hidden="0" allowOverlap="1" wp14:anchorId="3DB0E536" wp14:editId="72F03218">
            <wp:simplePos x="0" y="0"/>
            <wp:positionH relativeFrom="column">
              <wp:posOffset>-259552</wp:posOffset>
            </wp:positionH>
            <wp:positionV relativeFrom="paragraph">
              <wp:posOffset>-5715</wp:posOffset>
            </wp:positionV>
            <wp:extent cx="153670" cy="137160"/>
            <wp:effectExtent l="0" t="0" r="0" b="0"/>
            <wp:wrapSquare wrapText="bothSides" distT="0" distB="0" distL="114300" distR="114300"/>
            <wp:docPr id="3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Pr>
          <w:color w:val="0070C0"/>
        </w:rPr>
        <w:t>Elle peut être indiquée lors du bilan initial. Elle permet 4 diagnostics :</w:t>
      </w:r>
    </w:p>
    <w:p w14:paraId="7F231BB1" w14:textId="77777777" w:rsidR="006F3E0E" w:rsidRDefault="006F3E0E" w:rsidP="006F3E0E">
      <w:pPr>
        <w:widowControl w:val="0"/>
        <w:spacing w:line="276" w:lineRule="auto"/>
        <w:rPr>
          <w:color w:val="0070C0"/>
        </w:rPr>
      </w:pPr>
      <w:r>
        <w:rPr>
          <w:color w:val="0070C0"/>
        </w:rPr>
        <w:t xml:space="preserve">- Une caractérisation morphologique de la BPCO (emphysème centro-lobulaire, </w:t>
      </w:r>
      <w:proofErr w:type="spellStart"/>
      <w:r>
        <w:rPr>
          <w:color w:val="0070C0"/>
        </w:rPr>
        <w:t>paraseptal</w:t>
      </w:r>
      <w:proofErr w:type="spellEnd"/>
      <w:r>
        <w:rPr>
          <w:color w:val="0070C0"/>
        </w:rPr>
        <w:t xml:space="preserve"> ou </w:t>
      </w:r>
      <w:proofErr w:type="spellStart"/>
      <w:r>
        <w:rPr>
          <w:color w:val="0070C0"/>
        </w:rPr>
        <w:t>panlobulaire</w:t>
      </w:r>
      <w:proofErr w:type="spellEnd"/>
      <w:r>
        <w:rPr>
          <w:color w:val="0070C0"/>
        </w:rPr>
        <w:t xml:space="preserve"> et/ou atteinte bronchique et bronchiolaire).</w:t>
      </w:r>
    </w:p>
    <w:p w14:paraId="00EA5522" w14:textId="77777777" w:rsidR="006F3E0E" w:rsidRDefault="006F3E0E" w:rsidP="006F3E0E">
      <w:pPr>
        <w:widowControl w:val="0"/>
        <w:spacing w:line="276" w:lineRule="auto"/>
        <w:rPr>
          <w:color w:val="0070C0"/>
        </w:rPr>
      </w:pPr>
      <w:r>
        <w:rPr>
          <w:color w:val="0070C0"/>
        </w:rPr>
        <w:t>- La recherche de bronchectasies.</w:t>
      </w:r>
    </w:p>
    <w:p w14:paraId="38D0A855" w14:textId="77777777" w:rsidR="006F3E0E" w:rsidRDefault="006F3E0E" w:rsidP="006F3E0E">
      <w:pPr>
        <w:widowControl w:val="0"/>
        <w:spacing w:line="276" w:lineRule="auto"/>
        <w:rPr>
          <w:color w:val="0070C0"/>
        </w:rPr>
      </w:pPr>
      <w:r>
        <w:rPr>
          <w:color w:val="0070C0"/>
        </w:rPr>
        <w:t>- Le dépistage du cancer broncho-pulmonaire.</w:t>
      </w:r>
    </w:p>
    <w:p w14:paraId="37D69A73" w14:textId="77777777" w:rsidR="006F3E0E" w:rsidRDefault="006F3E0E" w:rsidP="006F3E0E">
      <w:pPr>
        <w:widowControl w:val="0"/>
        <w:spacing w:line="276" w:lineRule="auto"/>
        <w:rPr>
          <w:color w:val="0070C0"/>
        </w:rPr>
      </w:pPr>
      <w:r>
        <w:rPr>
          <w:color w:val="0070C0"/>
        </w:rPr>
        <w:t>- D’identifier des calcifications des artères coronaires devant faire rechercher une coronaropathie si non connue antérieurement.</w:t>
      </w:r>
    </w:p>
    <w:p w14:paraId="3EEFFD5A" w14:textId="77777777" w:rsidR="006F3E0E" w:rsidRDefault="006F3E0E" w:rsidP="006F3E0E">
      <w:pPr>
        <w:widowControl w:val="0"/>
        <w:spacing w:line="276" w:lineRule="auto"/>
        <w:ind w:left="720"/>
      </w:pPr>
    </w:p>
    <w:p w14:paraId="17D73BCA" w14:textId="77777777" w:rsidR="006F3E0E" w:rsidRDefault="006F3E0E" w:rsidP="006F3E0E">
      <w:pPr>
        <w:pStyle w:val="Titre2"/>
      </w:pPr>
      <w:r>
        <w:t>Évaluation cardiaque</w:t>
      </w:r>
    </w:p>
    <w:p w14:paraId="371D82E9" w14:textId="77777777" w:rsidR="006F3E0E" w:rsidRDefault="006F3E0E" w:rsidP="006F3E0E">
      <w:pPr>
        <w:widowControl w:val="0"/>
        <w:spacing w:line="276" w:lineRule="auto"/>
      </w:pPr>
      <w:r>
        <w:t>Elle doit être proposée largement, car les comorbidités cardiovasculaires sont fréquentes avec :</w:t>
      </w:r>
    </w:p>
    <w:p w14:paraId="0233E5E9" w14:textId="77777777" w:rsidR="006F3E0E" w:rsidRDefault="006F3E0E" w:rsidP="006F3E0E">
      <w:pPr>
        <w:widowControl w:val="0"/>
        <w:spacing w:line="276" w:lineRule="auto"/>
        <w:rPr>
          <w:i/>
          <w:iCs/>
        </w:rPr>
      </w:pPr>
      <w:r>
        <w:t>- Électrocardiogramme notamment à la recherche de signes droits (voir cardiologie).</w:t>
      </w:r>
    </w:p>
    <w:p w14:paraId="1C07D724" w14:textId="77777777" w:rsidR="006F3E0E" w:rsidRDefault="006F3E0E" w:rsidP="006F3E0E">
      <w:pPr>
        <w:widowControl w:val="0"/>
        <w:spacing w:line="276" w:lineRule="auto"/>
        <w:rPr>
          <w:i/>
          <w:iCs/>
        </w:rPr>
      </w:pPr>
      <w:r>
        <w:t>- Dosage des peptides natriurétiques (BNP ou NT-</w:t>
      </w:r>
      <w:proofErr w:type="spellStart"/>
      <w:r>
        <w:t>proBNP</w:t>
      </w:r>
      <w:proofErr w:type="spellEnd"/>
      <w:r>
        <w:t>)</w:t>
      </w:r>
      <w:r>
        <w:rPr>
          <w:i/>
          <w:iCs/>
        </w:rPr>
        <w:t>.</w:t>
      </w:r>
    </w:p>
    <w:p w14:paraId="73D53C18" w14:textId="77777777" w:rsidR="006F3E0E" w:rsidRDefault="006F3E0E" w:rsidP="006F3E0E">
      <w:pPr>
        <w:widowControl w:val="0"/>
        <w:spacing w:line="276" w:lineRule="auto"/>
        <w:rPr>
          <w:i/>
          <w:iCs/>
        </w:rPr>
      </w:pPr>
      <w:r>
        <w:rPr>
          <w:i/>
          <w:iCs/>
        </w:rPr>
        <w:t xml:space="preserve">- </w:t>
      </w:r>
      <w:r>
        <w:t>Échographie cardiaque à la recherche :</w:t>
      </w:r>
    </w:p>
    <w:p w14:paraId="566F6884" w14:textId="77777777" w:rsidR="006F3E0E" w:rsidRDefault="006F3E0E">
      <w:pPr>
        <w:widowControl w:val="0"/>
        <w:numPr>
          <w:ilvl w:val="1"/>
          <w:numId w:val="15"/>
        </w:numPr>
        <w:pBdr>
          <w:top w:val="nil"/>
          <w:left w:val="nil"/>
          <w:bottom w:val="nil"/>
          <w:right w:val="nil"/>
          <w:between w:val="nil"/>
        </w:pBdr>
        <w:spacing w:line="276" w:lineRule="auto"/>
        <w:ind w:left="284" w:hanging="142"/>
      </w:pPr>
      <w:r>
        <w:t>De signes évoquant une hypertension pulmonaire.</w:t>
      </w:r>
    </w:p>
    <w:p w14:paraId="0B097D47" w14:textId="77777777" w:rsidR="006F3E0E" w:rsidRDefault="006F3E0E">
      <w:pPr>
        <w:widowControl w:val="0"/>
        <w:numPr>
          <w:ilvl w:val="1"/>
          <w:numId w:val="15"/>
        </w:numPr>
        <w:pBdr>
          <w:top w:val="nil"/>
          <w:left w:val="nil"/>
          <w:bottom w:val="nil"/>
          <w:right w:val="nil"/>
          <w:between w:val="nil"/>
        </w:pBdr>
        <w:spacing w:line="276" w:lineRule="auto"/>
        <w:ind w:left="284" w:hanging="142"/>
      </w:pPr>
      <w:r>
        <w:t>D’une cardiopathie gauche associée.</w:t>
      </w:r>
    </w:p>
    <w:p w14:paraId="0617C0CC" w14:textId="77777777" w:rsidR="006F3E0E" w:rsidRDefault="006F3E0E" w:rsidP="006F3E0E">
      <w:pPr>
        <w:widowControl w:val="0"/>
        <w:spacing w:line="276" w:lineRule="auto"/>
        <w:ind w:left="360"/>
      </w:pPr>
    </w:p>
    <w:p w14:paraId="584C07D5" w14:textId="77777777" w:rsidR="006F3E0E" w:rsidRDefault="006F3E0E" w:rsidP="006F3E0E">
      <w:pPr>
        <w:pStyle w:val="Titre2"/>
      </w:pPr>
      <w:r>
        <w:t xml:space="preserve">La NFS </w:t>
      </w:r>
    </w:p>
    <w:p w14:paraId="77D55948" w14:textId="77777777" w:rsidR="006F3E0E" w:rsidRDefault="006F3E0E" w:rsidP="006F3E0E">
      <w:pPr>
        <w:widowControl w:val="0"/>
        <w:spacing w:line="276" w:lineRule="auto"/>
      </w:pPr>
      <w:r>
        <w:t>- Dosage de l’hémoglobine à la recherche d’une polyglobulie réactionnelle à l’hypoxémie ou au contraire d’une anémie (comorbidité fréquente) susceptible d’aggraver la dyspnée.</w:t>
      </w:r>
    </w:p>
    <w:p w14:paraId="4ECF165E" w14:textId="77777777" w:rsidR="006F3E0E" w:rsidRDefault="006F3E0E" w:rsidP="006F3E0E">
      <w:pPr>
        <w:widowControl w:val="0"/>
        <w:spacing w:line="276" w:lineRule="auto"/>
      </w:pPr>
      <w:r>
        <w:t>- Mesure du taux d’éosinophiles (voir figure 5)</w:t>
      </w:r>
    </w:p>
    <w:p w14:paraId="7999EDAF" w14:textId="77777777" w:rsidR="006F3E0E" w:rsidRDefault="006F3E0E" w:rsidP="006F3E0E">
      <w:pPr>
        <w:widowControl w:val="0"/>
        <w:pBdr>
          <w:top w:val="nil"/>
          <w:left w:val="nil"/>
          <w:bottom w:val="nil"/>
          <w:right w:val="nil"/>
          <w:between w:val="nil"/>
        </w:pBdr>
        <w:spacing w:line="276" w:lineRule="auto"/>
        <w:ind w:left="720" w:hanging="360"/>
        <w:rPr>
          <w:u w:val="single"/>
        </w:rPr>
      </w:pPr>
    </w:p>
    <w:p w14:paraId="2140551A" w14:textId="77777777" w:rsidR="006F3E0E" w:rsidRDefault="006F3E0E" w:rsidP="006F3E0E">
      <w:pPr>
        <w:pStyle w:val="Titre2"/>
      </w:pPr>
      <w:r>
        <w:t xml:space="preserve">Le dosage d’alpha-1 antitrypsine </w:t>
      </w:r>
    </w:p>
    <w:p w14:paraId="3C0D8A1B" w14:textId="77777777" w:rsidR="006F3E0E" w:rsidRDefault="006F3E0E" w:rsidP="006F3E0E">
      <w:pPr>
        <w:widowControl w:val="0"/>
        <w:spacing w:line="276" w:lineRule="auto"/>
      </w:pPr>
      <w:r>
        <w:t>Recommandé chez tout patient atteint de BPCO à l’état stable au moins une fois.</w:t>
      </w:r>
    </w:p>
    <w:p w14:paraId="6E780878" w14:textId="77777777" w:rsidR="006F3E0E" w:rsidRDefault="006F3E0E" w:rsidP="006F3E0E">
      <w:pPr>
        <w:widowControl w:val="0"/>
        <w:spacing w:line="276" w:lineRule="auto"/>
        <w:ind w:left="360"/>
      </w:pPr>
    </w:p>
    <w:p w14:paraId="0DE9DB8F" w14:textId="77777777" w:rsidR="006F3E0E" w:rsidRDefault="006F3E0E" w:rsidP="006F3E0E">
      <w:pPr>
        <w:pStyle w:val="Titre2"/>
      </w:pPr>
      <w:r>
        <w:t>Bilan des comorbidités</w:t>
      </w:r>
    </w:p>
    <w:p w14:paraId="5F98A915" w14:textId="77777777" w:rsidR="006F3E0E" w:rsidRDefault="006F3E0E" w:rsidP="006F3E0E">
      <w:pPr>
        <w:pBdr>
          <w:top w:val="nil"/>
          <w:left w:val="nil"/>
          <w:bottom w:val="nil"/>
          <w:right w:val="nil"/>
          <w:between w:val="nil"/>
        </w:pBdr>
        <w:spacing w:line="276" w:lineRule="auto"/>
      </w:pPr>
      <w:r>
        <w:t xml:space="preserve">Les comorbidités sont des affections coexistant fréquemment avec la BPCO sans préjuger d’un lien causal qui doivent faire l’objet d’un dépistage systématique chez ces patients : </w:t>
      </w:r>
    </w:p>
    <w:p w14:paraId="7E9B63F1" w14:textId="77777777" w:rsidR="006F3E0E" w:rsidRDefault="006F3E0E" w:rsidP="006F3E0E">
      <w:pPr>
        <w:pBdr>
          <w:top w:val="nil"/>
          <w:left w:val="nil"/>
          <w:bottom w:val="nil"/>
          <w:right w:val="nil"/>
          <w:between w:val="nil"/>
        </w:pBdr>
        <w:spacing w:line="276" w:lineRule="auto"/>
      </w:pPr>
      <w:r>
        <w:t>1. Affections cardiovasculaires.</w:t>
      </w:r>
    </w:p>
    <w:p w14:paraId="2A56022C" w14:textId="77777777" w:rsidR="006F3E0E" w:rsidRDefault="006F3E0E" w:rsidP="006F3E0E">
      <w:pPr>
        <w:pBdr>
          <w:top w:val="nil"/>
          <w:left w:val="nil"/>
          <w:bottom w:val="nil"/>
          <w:right w:val="nil"/>
          <w:between w:val="nil"/>
        </w:pBdr>
        <w:spacing w:line="276" w:lineRule="auto"/>
      </w:pPr>
      <w:r>
        <w:t>2. Cancer bronchique.</w:t>
      </w:r>
    </w:p>
    <w:p w14:paraId="409E21EF" w14:textId="77777777" w:rsidR="006F3E0E" w:rsidRDefault="006F3E0E" w:rsidP="006F3E0E">
      <w:pPr>
        <w:pBdr>
          <w:top w:val="nil"/>
          <w:left w:val="nil"/>
          <w:bottom w:val="nil"/>
          <w:right w:val="nil"/>
          <w:between w:val="nil"/>
        </w:pBdr>
        <w:spacing w:line="276" w:lineRule="auto"/>
      </w:pPr>
      <w:r>
        <w:t xml:space="preserve">3. Dénutrition/obésité. </w:t>
      </w:r>
    </w:p>
    <w:p w14:paraId="0D88A066" w14:textId="77777777" w:rsidR="006F3E0E" w:rsidRDefault="006F3E0E" w:rsidP="006F3E0E">
      <w:pPr>
        <w:pBdr>
          <w:top w:val="nil"/>
          <w:left w:val="nil"/>
          <w:bottom w:val="nil"/>
          <w:right w:val="nil"/>
          <w:between w:val="nil"/>
        </w:pBdr>
        <w:spacing w:line="276" w:lineRule="auto"/>
      </w:pPr>
      <w:r>
        <w:t>4. Dysfonction/déconditionnement musculaire squelettique.</w:t>
      </w:r>
    </w:p>
    <w:p w14:paraId="4D7E22F9" w14:textId="77777777" w:rsidR="006F3E0E" w:rsidRDefault="006F3E0E" w:rsidP="006F3E0E">
      <w:pPr>
        <w:pBdr>
          <w:top w:val="nil"/>
          <w:left w:val="nil"/>
          <w:bottom w:val="nil"/>
          <w:right w:val="nil"/>
          <w:between w:val="nil"/>
        </w:pBdr>
        <w:spacing w:line="276" w:lineRule="auto"/>
      </w:pPr>
      <w:r>
        <w:t>5. Anémie.</w:t>
      </w:r>
    </w:p>
    <w:p w14:paraId="7B1093F4" w14:textId="77777777" w:rsidR="006F3E0E" w:rsidRDefault="006F3E0E" w:rsidP="006F3E0E">
      <w:pPr>
        <w:pBdr>
          <w:top w:val="nil"/>
          <w:left w:val="nil"/>
          <w:bottom w:val="nil"/>
          <w:right w:val="nil"/>
          <w:between w:val="nil"/>
        </w:pBdr>
        <w:spacing w:line="276" w:lineRule="auto"/>
      </w:pPr>
      <w:r>
        <w:t>6. Anxiété/dépression.</w:t>
      </w:r>
    </w:p>
    <w:p w14:paraId="4608EE41" w14:textId="77777777" w:rsidR="006F3E0E" w:rsidRDefault="006F3E0E" w:rsidP="006F3E0E">
      <w:pPr>
        <w:pBdr>
          <w:top w:val="nil"/>
          <w:left w:val="nil"/>
          <w:bottom w:val="nil"/>
          <w:right w:val="nil"/>
          <w:between w:val="nil"/>
        </w:pBdr>
        <w:spacing w:line="276" w:lineRule="auto"/>
      </w:pPr>
      <w:r>
        <w:t>7. Ostéoporose.</w:t>
      </w:r>
    </w:p>
    <w:p w14:paraId="5FA8FBC5" w14:textId="77777777" w:rsidR="006F3E0E" w:rsidRDefault="006F3E0E" w:rsidP="006F3E0E">
      <w:pPr>
        <w:pBdr>
          <w:top w:val="nil"/>
          <w:left w:val="nil"/>
          <w:bottom w:val="nil"/>
          <w:right w:val="nil"/>
          <w:between w:val="nil"/>
        </w:pBdr>
        <w:spacing w:line="276" w:lineRule="auto"/>
      </w:pPr>
      <w:r>
        <w:t>8. Troubles respiratoires du sommeil.</w:t>
      </w:r>
    </w:p>
    <w:p w14:paraId="70CF8B55" w14:textId="77777777" w:rsidR="006F3E0E" w:rsidRDefault="006F3E0E" w:rsidP="006F3E0E">
      <w:pPr>
        <w:pBdr>
          <w:top w:val="nil"/>
          <w:left w:val="nil"/>
          <w:bottom w:val="nil"/>
          <w:right w:val="nil"/>
          <w:between w:val="nil"/>
        </w:pBdr>
        <w:spacing w:line="276" w:lineRule="auto"/>
      </w:pPr>
    </w:p>
    <w:p w14:paraId="652122C1" w14:textId="77777777" w:rsidR="006F3E0E" w:rsidRDefault="006F3E0E" w:rsidP="006F3E0E">
      <w:pPr>
        <w:pBdr>
          <w:top w:val="nil"/>
          <w:left w:val="nil"/>
          <w:bottom w:val="nil"/>
          <w:right w:val="nil"/>
          <w:between w:val="nil"/>
        </w:pBdr>
        <w:spacing w:after="120" w:line="276" w:lineRule="auto"/>
        <w:rPr>
          <w:b/>
          <w:bCs/>
          <w:smallCaps/>
          <w:u w:val="single"/>
        </w:rPr>
      </w:pPr>
      <w:r>
        <w:rPr>
          <w:b/>
          <w:bCs/>
          <w:smallCaps/>
          <w:u w:val="single"/>
        </w:rPr>
        <w:t>DIAGNOSTICS DIFFÉRENTIELS PRINCIPAUX : ASTHME ET DILATATION DES BRONCHES</w:t>
      </w:r>
    </w:p>
    <w:p w14:paraId="433F2F17" w14:textId="77777777" w:rsidR="006F3E0E" w:rsidRDefault="006F3E0E" w:rsidP="006F3E0E">
      <w:pPr>
        <w:widowControl w:val="0"/>
        <w:spacing w:line="276" w:lineRule="auto"/>
      </w:pPr>
      <w:r>
        <w:t xml:space="preserve">BPCO et asthme partagent une susceptibilité environnementale respiratoire exagérée, plutôt vis-à-vis du tabac dans la BPCO. Des mécanismes différents mènent, dans l’asthme à des épisodes d’inflammation et de bronchoconstriction, et dans la BPCO à une obstruction bronchique chronique avec altérations fonctionnelles et structurelles de sévérités variables aux niveaux bronchique, bronchiolaire et alvéolaire avec destruction de l’échangeur pouvant évoluer vers l’insuffisance </w:t>
      </w:r>
      <w:r>
        <w:lastRenderedPageBreak/>
        <w:t>respiratoire chronique.</w:t>
      </w:r>
    </w:p>
    <w:p w14:paraId="69FE4B30" w14:textId="77777777" w:rsidR="006F3E0E" w:rsidRDefault="006F3E0E" w:rsidP="006F3E0E">
      <w:pPr>
        <w:widowControl w:val="0"/>
        <w:spacing w:line="276" w:lineRule="auto"/>
      </w:pPr>
      <w:r>
        <w:t xml:space="preserve">- Cependant l’asthme existe chez les fumeurs et de nombreux asthmatiques fument. </w:t>
      </w:r>
    </w:p>
    <w:p w14:paraId="5B97555D" w14:textId="77777777" w:rsidR="006F3E0E" w:rsidRDefault="006F3E0E" w:rsidP="006F3E0E">
      <w:pPr>
        <w:widowControl w:val="0"/>
        <w:spacing w:line="276" w:lineRule="auto"/>
      </w:pPr>
      <w:r>
        <w:t>- Les deux maladies sont fréquentes (asthme et BPCO) et donc peuvent être associées chez un même malade.</w:t>
      </w:r>
    </w:p>
    <w:p w14:paraId="57B2C453" w14:textId="77777777" w:rsidR="006F3E0E" w:rsidRDefault="006F3E0E" w:rsidP="006F3E0E">
      <w:pPr>
        <w:widowControl w:val="0"/>
        <w:spacing w:line="276" w:lineRule="auto"/>
      </w:pPr>
      <w:r>
        <w:t>- Les asthmatiques sévères, même non-fumeurs, ont parfois un trouble ventilatoire obstructif peu/non réversible.</w:t>
      </w:r>
    </w:p>
    <w:p w14:paraId="00228171" w14:textId="77777777" w:rsidR="006F3E0E" w:rsidRDefault="006F3E0E" w:rsidP="006F3E0E">
      <w:pPr>
        <w:spacing w:line="276" w:lineRule="auto"/>
      </w:pPr>
      <w:r>
        <w:t>- Une réversibilité incomplète est évocatrice d’un asthme, mais peut être observée dans la BPCO.</w:t>
      </w:r>
    </w:p>
    <w:p w14:paraId="46CC84FF" w14:textId="77777777" w:rsidR="006F3E0E" w:rsidRDefault="006F3E0E" w:rsidP="006F3E0E">
      <w:pPr>
        <w:spacing w:line="276" w:lineRule="auto"/>
      </w:pPr>
    </w:p>
    <w:tbl>
      <w:tblPr>
        <w:tblW w:w="9067"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ayout w:type="fixed"/>
        <w:tblLook w:val="0400" w:firstRow="0" w:lastRow="0" w:firstColumn="0" w:lastColumn="0" w:noHBand="0" w:noVBand="1"/>
      </w:tblPr>
      <w:tblGrid>
        <w:gridCol w:w="9067"/>
      </w:tblGrid>
      <w:tr w:rsidR="006F3E0E" w14:paraId="21589947" w14:textId="77777777" w:rsidTr="006F3E0E">
        <w:trPr>
          <w:trHeight w:val="1077"/>
        </w:trPr>
        <w:tc>
          <w:tcPr>
            <w:tcW w:w="9067" w:type="dxa"/>
            <w:vAlign w:val="center"/>
          </w:tcPr>
          <w:p w14:paraId="2F170647" w14:textId="77777777" w:rsidR="006F3E0E" w:rsidRDefault="006F3E0E" w:rsidP="0094705B">
            <w:pPr>
              <w:widowControl w:val="0"/>
              <w:spacing w:line="276" w:lineRule="auto"/>
            </w:pPr>
            <w:r>
              <w:t>L’asthme doit être évoqué lorsqu’existent une réversibilité très importante de l’obstruction bronchique (augmentation du VEMS de plus de 400 </w:t>
            </w:r>
            <w:proofErr w:type="spellStart"/>
            <w:r>
              <w:t>mL</w:t>
            </w:r>
            <w:proofErr w:type="spellEnd"/>
            <w:r>
              <w:t>), ou des éléments évocateurs d’asthme dans l’histoire clinique. Il est donc important que les patients rencontrent un pneumologue au moment du diagnostic pour évaluer la possibilité de diagnostics différentiels ou associés.</w:t>
            </w:r>
            <w:r>
              <w:rPr>
                <w:noProof/>
              </w:rPr>
              <w:drawing>
                <wp:anchor distT="0" distB="0" distL="114300" distR="114300" simplePos="0" relativeHeight="251909120" behindDoc="0" locked="0" layoutInCell="1" hidden="0" allowOverlap="1" wp14:anchorId="6FAE889B" wp14:editId="15BBA104">
                  <wp:simplePos x="0" y="0"/>
                  <wp:positionH relativeFrom="column">
                    <wp:posOffset>1</wp:posOffset>
                  </wp:positionH>
                  <wp:positionV relativeFrom="paragraph">
                    <wp:posOffset>24590</wp:posOffset>
                  </wp:positionV>
                  <wp:extent cx="615950" cy="591820"/>
                  <wp:effectExtent l="0" t="0" r="0" b="0"/>
                  <wp:wrapSquare wrapText="bothSides" distT="0" distB="0" distL="114300" distR="114300"/>
                  <wp:docPr id="1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615950" cy="591820"/>
                          </a:xfrm>
                          <a:prstGeom prst="rect">
                            <a:avLst/>
                          </a:prstGeom>
                          <a:ln/>
                        </pic:spPr>
                      </pic:pic>
                    </a:graphicData>
                  </a:graphic>
                </wp:anchor>
              </w:drawing>
            </w:r>
          </w:p>
        </w:tc>
      </w:tr>
    </w:tbl>
    <w:p w14:paraId="5EFCF735" w14:textId="77777777" w:rsidR="006F3E0E" w:rsidRDefault="006F3E0E" w:rsidP="006F3E0E">
      <w:pPr>
        <w:widowControl w:val="0"/>
        <w:spacing w:line="276" w:lineRule="auto"/>
      </w:pPr>
    </w:p>
    <w:p w14:paraId="29A491DC" w14:textId="77777777" w:rsidR="006F3E0E" w:rsidRDefault="006F3E0E" w:rsidP="006F3E0E">
      <w:pPr>
        <w:widowControl w:val="0"/>
        <w:spacing w:line="276" w:lineRule="auto"/>
      </w:pPr>
      <w:r>
        <w:t xml:space="preserve">Les dilatations des bronches. </w:t>
      </w:r>
    </w:p>
    <w:p w14:paraId="297C6417" w14:textId="77777777" w:rsidR="006F3E0E" w:rsidRDefault="006F3E0E" w:rsidP="006F3E0E">
      <w:pPr>
        <w:widowControl w:val="0"/>
        <w:spacing w:line="276" w:lineRule="auto"/>
      </w:pPr>
      <w:r>
        <w:t>- Des dilatations des bronches modérées peuvent toutefois être observées chez des patients atteints de BPCO.</w:t>
      </w:r>
    </w:p>
    <w:p w14:paraId="24187E8E" w14:textId="1B5E7847" w:rsidR="006F3E0E" w:rsidRDefault="006F3E0E" w:rsidP="006F3E0E"/>
    <w:p w14:paraId="5ABBC9E7" w14:textId="1238F2B8" w:rsidR="006F3E0E" w:rsidRPr="006F3E0E" w:rsidRDefault="006F3E0E" w:rsidP="006F3E0E">
      <w:pPr>
        <w:pStyle w:val="lgende"/>
        <w:rPr>
          <w:color w:val="0070C0"/>
        </w:rPr>
      </w:pPr>
      <w:r>
        <w:rPr>
          <w:noProof/>
        </w:rPr>
        <w:drawing>
          <wp:anchor distT="0" distB="0" distL="114300" distR="114300" simplePos="0" relativeHeight="251910144" behindDoc="0" locked="0" layoutInCell="1" hidden="0" allowOverlap="1" wp14:anchorId="5A1CCFEC" wp14:editId="340E2995">
            <wp:simplePos x="0" y="0"/>
            <wp:positionH relativeFrom="column">
              <wp:posOffset>-262418</wp:posOffset>
            </wp:positionH>
            <wp:positionV relativeFrom="paragraph">
              <wp:posOffset>1905</wp:posOffset>
            </wp:positionV>
            <wp:extent cx="153670" cy="137160"/>
            <wp:effectExtent l="0" t="0" r="0" b="0"/>
            <wp:wrapSquare wrapText="bothSides" distT="0" distB="0" distL="114300" distR="114300"/>
            <wp:docPr id="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Pr="006F3E0E">
        <w:rPr>
          <w:color w:val="0070C0"/>
        </w:rPr>
        <w:t>Tableau 1 : Profils comparatifs « caricaturaux » de l’asthme et de la BPCO.</w:t>
      </w:r>
    </w:p>
    <w:tbl>
      <w:tblPr>
        <w:tblW w:w="9067"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2093"/>
        <w:gridCol w:w="3402"/>
        <w:gridCol w:w="3572"/>
      </w:tblGrid>
      <w:tr w:rsidR="006F3E0E" w14:paraId="7670822B" w14:textId="77777777" w:rsidTr="006F3E0E">
        <w:tc>
          <w:tcPr>
            <w:tcW w:w="2093" w:type="dxa"/>
            <w:shd w:val="clear" w:color="auto" w:fill="0070C0"/>
          </w:tcPr>
          <w:p w14:paraId="713D8539" w14:textId="77777777" w:rsidR="006F3E0E" w:rsidRDefault="006F3E0E" w:rsidP="0094705B">
            <w:pPr>
              <w:widowControl w:val="0"/>
              <w:spacing w:line="240" w:lineRule="auto"/>
              <w:rPr>
                <w:rFonts w:ascii="Calibri" w:eastAsia="Calibri" w:hAnsi="Calibri" w:cs="Calibri"/>
                <w:color w:val="FFFFFF"/>
              </w:rPr>
            </w:pPr>
          </w:p>
        </w:tc>
        <w:tc>
          <w:tcPr>
            <w:tcW w:w="3402" w:type="dxa"/>
            <w:shd w:val="clear" w:color="auto" w:fill="0070C0"/>
          </w:tcPr>
          <w:p w14:paraId="602CC188" w14:textId="77777777" w:rsidR="006F3E0E" w:rsidRDefault="006F3E0E" w:rsidP="0094705B">
            <w:pPr>
              <w:widowControl w:val="0"/>
              <w:spacing w:line="240" w:lineRule="auto"/>
              <w:jc w:val="center"/>
              <w:rPr>
                <w:rFonts w:ascii="Calibri" w:eastAsia="Calibri" w:hAnsi="Calibri" w:cs="Calibri"/>
                <w:b/>
                <w:bCs/>
                <w:color w:val="FFFFFF"/>
              </w:rPr>
            </w:pPr>
            <w:r>
              <w:rPr>
                <w:rFonts w:ascii="Calibri" w:eastAsia="Calibri" w:hAnsi="Calibri" w:cs="Calibri"/>
                <w:b/>
                <w:bCs/>
                <w:color w:val="FFFFFF"/>
              </w:rPr>
              <w:t xml:space="preserve">BPCO </w:t>
            </w:r>
          </w:p>
        </w:tc>
        <w:tc>
          <w:tcPr>
            <w:tcW w:w="3572" w:type="dxa"/>
            <w:shd w:val="clear" w:color="auto" w:fill="0070C0"/>
          </w:tcPr>
          <w:p w14:paraId="300978EA" w14:textId="77777777" w:rsidR="006F3E0E" w:rsidRDefault="006F3E0E" w:rsidP="0094705B">
            <w:pPr>
              <w:widowControl w:val="0"/>
              <w:spacing w:line="240" w:lineRule="auto"/>
              <w:jc w:val="center"/>
              <w:rPr>
                <w:rFonts w:ascii="Calibri" w:eastAsia="Calibri" w:hAnsi="Calibri" w:cs="Calibri"/>
                <w:b/>
                <w:bCs/>
                <w:color w:val="FFFFFF"/>
              </w:rPr>
            </w:pPr>
            <w:r>
              <w:rPr>
                <w:rFonts w:ascii="Calibri" w:eastAsia="Calibri" w:hAnsi="Calibri" w:cs="Calibri"/>
                <w:b/>
                <w:bCs/>
                <w:color w:val="FFFFFF"/>
              </w:rPr>
              <w:t xml:space="preserve">Asthme </w:t>
            </w:r>
          </w:p>
        </w:tc>
      </w:tr>
      <w:tr w:rsidR="006F3E0E" w14:paraId="6913486D" w14:textId="77777777" w:rsidTr="006F3E0E">
        <w:tc>
          <w:tcPr>
            <w:tcW w:w="2093" w:type="dxa"/>
            <w:shd w:val="clear" w:color="auto" w:fill="F2F2F2"/>
            <w:vAlign w:val="center"/>
          </w:tcPr>
          <w:p w14:paraId="553EB1AB" w14:textId="77777777" w:rsidR="006F3E0E" w:rsidRDefault="006F3E0E" w:rsidP="0094705B">
            <w:pPr>
              <w:widowControl w:val="0"/>
              <w:spacing w:line="240" w:lineRule="auto"/>
              <w:jc w:val="center"/>
              <w:rPr>
                <w:rFonts w:ascii="Calibri" w:eastAsia="Calibri" w:hAnsi="Calibri" w:cs="Calibri"/>
                <w:b/>
                <w:bCs/>
                <w:color w:val="0070C0"/>
              </w:rPr>
            </w:pPr>
            <w:r>
              <w:rPr>
                <w:rFonts w:ascii="Calibri" w:eastAsia="Calibri" w:hAnsi="Calibri" w:cs="Calibri"/>
                <w:b/>
                <w:bCs/>
                <w:color w:val="0070C0"/>
              </w:rPr>
              <w:t>Définition</w:t>
            </w:r>
          </w:p>
        </w:tc>
        <w:tc>
          <w:tcPr>
            <w:tcW w:w="3402" w:type="dxa"/>
            <w:shd w:val="clear" w:color="auto" w:fill="F2F2F2"/>
            <w:vAlign w:val="center"/>
          </w:tcPr>
          <w:p w14:paraId="6132C54F" w14:textId="77777777" w:rsidR="006F3E0E" w:rsidRDefault="006F3E0E" w:rsidP="0094705B">
            <w:pPr>
              <w:widowControl w:val="0"/>
              <w:spacing w:line="240" w:lineRule="auto"/>
              <w:jc w:val="left"/>
              <w:rPr>
                <w:rFonts w:ascii="Calibri" w:eastAsia="Calibri" w:hAnsi="Calibri" w:cs="Calibri"/>
                <w:color w:val="0070C0"/>
              </w:rPr>
            </w:pPr>
            <w:r>
              <w:rPr>
                <w:rFonts w:ascii="Calibri" w:eastAsia="Calibri" w:hAnsi="Calibri" w:cs="Calibri"/>
                <w:color w:val="0070C0"/>
              </w:rPr>
              <w:t>Obstruction bronchique non complètement réversible</w:t>
            </w:r>
          </w:p>
        </w:tc>
        <w:tc>
          <w:tcPr>
            <w:tcW w:w="3572" w:type="dxa"/>
            <w:shd w:val="clear" w:color="auto" w:fill="F2F2F2"/>
            <w:vAlign w:val="center"/>
          </w:tcPr>
          <w:p w14:paraId="73C85FE2" w14:textId="77777777" w:rsidR="006F3E0E" w:rsidRDefault="006F3E0E" w:rsidP="0094705B">
            <w:pPr>
              <w:widowControl w:val="0"/>
              <w:spacing w:line="240" w:lineRule="auto"/>
              <w:jc w:val="left"/>
              <w:rPr>
                <w:rFonts w:ascii="Calibri" w:eastAsia="Calibri" w:hAnsi="Calibri" w:cs="Calibri"/>
                <w:color w:val="0070C0"/>
              </w:rPr>
            </w:pPr>
            <w:r>
              <w:rPr>
                <w:rFonts w:ascii="Calibri" w:eastAsia="Calibri" w:hAnsi="Calibri" w:cs="Calibri"/>
                <w:color w:val="0070C0"/>
              </w:rPr>
              <w:t>Obstruction bronchique totalement ou presque totalement réversible</w:t>
            </w:r>
          </w:p>
        </w:tc>
      </w:tr>
      <w:tr w:rsidR="006F3E0E" w14:paraId="40C22313" w14:textId="77777777" w:rsidTr="006F3E0E">
        <w:tc>
          <w:tcPr>
            <w:tcW w:w="2093" w:type="dxa"/>
            <w:vAlign w:val="center"/>
          </w:tcPr>
          <w:p w14:paraId="23CE6A05" w14:textId="77777777" w:rsidR="006F3E0E" w:rsidRDefault="006F3E0E" w:rsidP="0094705B">
            <w:pPr>
              <w:widowControl w:val="0"/>
              <w:spacing w:line="240" w:lineRule="auto"/>
              <w:jc w:val="center"/>
              <w:rPr>
                <w:rFonts w:ascii="Calibri" w:eastAsia="Calibri" w:hAnsi="Calibri" w:cs="Calibri"/>
                <w:b/>
                <w:bCs/>
                <w:color w:val="0070C0"/>
              </w:rPr>
            </w:pPr>
            <w:r>
              <w:rPr>
                <w:rFonts w:ascii="Calibri" w:eastAsia="Calibri" w:hAnsi="Calibri" w:cs="Calibri"/>
                <w:b/>
                <w:bCs/>
                <w:color w:val="0070C0"/>
              </w:rPr>
              <w:t>Terrain</w:t>
            </w:r>
          </w:p>
        </w:tc>
        <w:tc>
          <w:tcPr>
            <w:tcW w:w="3402" w:type="dxa"/>
            <w:vAlign w:val="center"/>
          </w:tcPr>
          <w:p w14:paraId="40C61549" w14:textId="77777777" w:rsidR="006F3E0E" w:rsidRDefault="006F3E0E" w:rsidP="0094705B">
            <w:pPr>
              <w:widowControl w:val="0"/>
              <w:spacing w:line="240" w:lineRule="auto"/>
              <w:jc w:val="left"/>
              <w:rPr>
                <w:rFonts w:ascii="Calibri" w:eastAsia="Calibri" w:hAnsi="Calibri" w:cs="Calibri"/>
                <w:color w:val="0070C0"/>
              </w:rPr>
            </w:pPr>
            <w:r>
              <w:rPr>
                <w:rFonts w:ascii="Calibri" w:eastAsia="Calibri" w:hAnsi="Calibri" w:cs="Calibri"/>
                <w:color w:val="0070C0"/>
              </w:rPr>
              <w:t>Fumeur, âge &gt; 40 ans</w:t>
            </w:r>
          </w:p>
        </w:tc>
        <w:tc>
          <w:tcPr>
            <w:tcW w:w="3572" w:type="dxa"/>
            <w:vAlign w:val="center"/>
          </w:tcPr>
          <w:p w14:paraId="0A2B78B3" w14:textId="77777777" w:rsidR="006F3E0E" w:rsidRDefault="006F3E0E" w:rsidP="0094705B">
            <w:pPr>
              <w:widowControl w:val="0"/>
              <w:spacing w:line="240" w:lineRule="auto"/>
              <w:jc w:val="left"/>
              <w:rPr>
                <w:rFonts w:ascii="Calibri" w:eastAsia="Calibri" w:hAnsi="Calibri" w:cs="Calibri"/>
                <w:color w:val="0070C0"/>
              </w:rPr>
            </w:pPr>
            <w:r>
              <w:rPr>
                <w:rFonts w:ascii="Calibri" w:eastAsia="Calibri" w:hAnsi="Calibri" w:cs="Calibri"/>
                <w:color w:val="0070C0"/>
              </w:rPr>
              <w:t>Adulte jeune, l’exposition allergénique déclenche les symptômes</w:t>
            </w:r>
          </w:p>
        </w:tc>
      </w:tr>
      <w:tr w:rsidR="006F3E0E" w14:paraId="560E2E43" w14:textId="77777777" w:rsidTr="006F3E0E">
        <w:tc>
          <w:tcPr>
            <w:tcW w:w="2093" w:type="dxa"/>
            <w:shd w:val="clear" w:color="auto" w:fill="F2F2F2"/>
            <w:vAlign w:val="center"/>
          </w:tcPr>
          <w:p w14:paraId="72C864A5" w14:textId="77777777" w:rsidR="006F3E0E" w:rsidRDefault="006F3E0E" w:rsidP="0094705B">
            <w:pPr>
              <w:widowControl w:val="0"/>
              <w:spacing w:line="240" w:lineRule="auto"/>
              <w:jc w:val="center"/>
              <w:rPr>
                <w:rFonts w:ascii="Calibri" w:eastAsia="Calibri" w:hAnsi="Calibri" w:cs="Calibri"/>
                <w:b/>
                <w:bCs/>
                <w:color w:val="0070C0"/>
              </w:rPr>
            </w:pPr>
            <w:proofErr w:type="spellStart"/>
            <w:r>
              <w:rPr>
                <w:rFonts w:ascii="Calibri" w:eastAsia="Calibri" w:hAnsi="Calibri" w:cs="Calibri"/>
                <w:b/>
                <w:bCs/>
                <w:color w:val="0070C0"/>
              </w:rPr>
              <w:t>Rhinosinusite</w:t>
            </w:r>
            <w:proofErr w:type="spellEnd"/>
            <w:r>
              <w:rPr>
                <w:rFonts w:ascii="Calibri" w:eastAsia="Calibri" w:hAnsi="Calibri" w:cs="Calibri"/>
                <w:b/>
                <w:bCs/>
                <w:color w:val="0070C0"/>
              </w:rPr>
              <w:t xml:space="preserve"> chronique</w:t>
            </w:r>
          </w:p>
        </w:tc>
        <w:tc>
          <w:tcPr>
            <w:tcW w:w="3402" w:type="dxa"/>
            <w:shd w:val="clear" w:color="auto" w:fill="F2F2F2"/>
            <w:vAlign w:val="center"/>
          </w:tcPr>
          <w:p w14:paraId="0CC9F87E" w14:textId="77777777" w:rsidR="006F3E0E" w:rsidRDefault="006F3E0E" w:rsidP="0094705B">
            <w:pPr>
              <w:widowControl w:val="0"/>
              <w:spacing w:line="240" w:lineRule="auto"/>
              <w:jc w:val="left"/>
              <w:rPr>
                <w:rFonts w:ascii="Calibri" w:eastAsia="Calibri" w:hAnsi="Calibri" w:cs="Calibri"/>
                <w:color w:val="0070C0"/>
              </w:rPr>
            </w:pPr>
            <w:r>
              <w:rPr>
                <w:rFonts w:ascii="Calibri" w:eastAsia="Calibri" w:hAnsi="Calibri" w:cs="Calibri"/>
                <w:color w:val="0070C0"/>
              </w:rPr>
              <w:t>Inconstante, peu symptomatique</w:t>
            </w:r>
          </w:p>
        </w:tc>
        <w:tc>
          <w:tcPr>
            <w:tcW w:w="3572" w:type="dxa"/>
            <w:shd w:val="clear" w:color="auto" w:fill="F2F2F2"/>
            <w:vAlign w:val="center"/>
          </w:tcPr>
          <w:p w14:paraId="3B4EB8A4" w14:textId="77777777" w:rsidR="006F3E0E" w:rsidRDefault="006F3E0E" w:rsidP="0094705B">
            <w:pPr>
              <w:widowControl w:val="0"/>
              <w:spacing w:line="240" w:lineRule="auto"/>
              <w:jc w:val="left"/>
              <w:rPr>
                <w:rFonts w:ascii="Calibri" w:eastAsia="Calibri" w:hAnsi="Calibri" w:cs="Calibri"/>
                <w:color w:val="0070C0"/>
              </w:rPr>
            </w:pPr>
            <w:r>
              <w:rPr>
                <w:rFonts w:ascii="Calibri" w:eastAsia="Calibri" w:hAnsi="Calibri" w:cs="Calibri"/>
                <w:color w:val="0070C0"/>
              </w:rPr>
              <w:t xml:space="preserve">Quasi constante, parfois polypose </w:t>
            </w:r>
            <w:proofErr w:type="spellStart"/>
            <w:r>
              <w:rPr>
                <w:rFonts w:ascii="Calibri" w:eastAsia="Calibri" w:hAnsi="Calibri" w:cs="Calibri"/>
                <w:color w:val="0070C0"/>
              </w:rPr>
              <w:t>naso</w:t>
            </w:r>
            <w:proofErr w:type="spellEnd"/>
            <w:r>
              <w:rPr>
                <w:rFonts w:ascii="Calibri" w:eastAsia="Calibri" w:hAnsi="Calibri" w:cs="Calibri"/>
                <w:color w:val="0070C0"/>
              </w:rPr>
              <w:t>-sinusienne</w:t>
            </w:r>
          </w:p>
        </w:tc>
      </w:tr>
      <w:tr w:rsidR="006F3E0E" w14:paraId="0AA5130A" w14:textId="77777777" w:rsidTr="006F3E0E">
        <w:tc>
          <w:tcPr>
            <w:tcW w:w="2093" w:type="dxa"/>
            <w:vAlign w:val="center"/>
          </w:tcPr>
          <w:p w14:paraId="7911B380" w14:textId="77777777" w:rsidR="006F3E0E" w:rsidRDefault="006F3E0E" w:rsidP="0094705B">
            <w:pPr>
              <w:widowControl w:val="0"/>
              <w:spacing w:line="240" w:lineRule="auto"/>
              <w:jc w:val="center"/>
              <w:rPr>
                <w:rFonts w:ascii="Calibri" w:eastAsia="Calibri" w:hAnsi="Calibri" w:cs="Calibri"/>
                <w:b/>
                <w:bCs/>
                <w:color w:val="0070C0"/>
              </w:rPr>
            </w:pPr>
            <w:r>
              <w:rPr>
                <w:rFonts w:ascii="Calibri" w:eastAsia="Calibri" w:hAnsi="Calibri" w:cs="Calibri"/>
                <w:b/>
                <w:bCs/>
                <w:color w:val="0070C0"/>
              </w:rPr>
              <w:t>Histoire naturelle</w:t>
            </w:r>
          </w:p>
        </w:tc>
        <w:tc>
          <w:tcPr>
            <w:tcW w:w="3402" w:type="dxa"/>
            <w:vAlign w:val="center"/>
          </w:tcPr>
          <w:p w14:paraId="37203CAC" w14:textId="77777777" w:rsidR="006F3E0E" w:rsidRDefault="006F3E0E" w:rsidP="0094705B">
            <w:pPr>
              <w:widowControl w:val="0"/>
              <w:spacing w:line="240" w:lineRule="auto"/>
              <w:jc w:val="left"/>
              <w:rPr>
                <w:rFonts w:ascii="Calibri" w:eastAsia="Calibri" w:hAnsi="Calibri" w:cs="Calibri"/>
                <w:color w:val="0070C0"/>
              </w:rPr>
            </w:pPr>
            <w:r>
              <w:rPr>
                <w:rFonts w:ascii="Calibri" w:eastAsia="Calibri" w:hAnsi="Calibri" w:cs="Calibri"/>
                <w:color w:val="0070C0"/>
              </w:rPr>
              <w:t>Installation progressive, en général au-delà de 40 ans, avec épisodes intercurrents d’exacerbations</w:t>
            </w:r>
          </w:p>
        </w:tc>
        <w:tc>
          <w:tcPr>
            <w:tcW w:w="3572" w:type="dxa"/>
            <w:vAlign w:val="center"/>
          </w:tcPr>
          <w:p w14:paraId="6AC46008" w14:textId="77777777" w:rsidR="006F3E0E" w:rsidRDefault="006F3E0E" w:rsidP="0094705B">
            <w:pPr>
              <w:widowControl w:val="0"/>
              <w:spacing w:line="240" w:lineRule="auto"/>
              <w:jc w:val="left"/>
              <w:rPr>
                <w:rFonts w:ascii="Calibri" w:eastAsia="Calibri" w:hAnsi="Calibri" w:cs="Calibri"/>
                <w:color w:val="0070C0"/>
              </w:rPr>
            </w:pPr>
            <w:r>
              <w:rPr>
                <w:rFonts w:ascii="Calibri" w:eastAsia="Calibri" w:hAnsi="Calibri" w:cs="Calibri"/>
                <w:color w:val="0070C0"/>
              </w:rPr>
              <w:t>Débute souvent dans l’enfance, symptômes de brèves durées variables et réversibles, exacerbations souvent liées à l’absence ou l’arrêt du traitement anti-inflammatoire inhalé</w:t>
            </w:r>
          </w:p>
        </w:tc>
      </w:tr>
      <w:tr w:rsidR="006F3E0E" w14:paraId="46A85543" w14:textId="77777777" w:rsidTr="006F3E0E">
        <w:tc>
          <w:tcPr>
            <w:tcW w:w="2093" w:type="dxa"/>
            <w:shd w:val="clear" w:color="auto" w:fill="F2F2F2"/>
            <w:vAlign w:val="center"/>
          </w:tcPr>
          <w:p w14:paraId="79D80AF8" w14:textId="77777777" w:rsidR="006F3E0E" w:rsidRDefault="006F3E0E" w:rsidP="0094705B">
            <w:pPr>
              <w:widowControl w:val="0"/>
              <w:spacing w:line="240" w:lineRule="auto"/>
              <w:jc w:val="center"/>
              <w:rPr>
                <w:rFonts w:ascii="Calibri" w:eastAsia="Calibri" w:hAnsi="Calibri" w:cs="Calibri"/>
                <w:b/>
                <w:bCs/>
                <w:color w:val="0070C0"/>
              </w:rPr>
            </w:pPr>
            <w:r>
              <w:rPr>
                <w:rFonts w:ascii="Calibri" w:eastAsia="Calibri" w:hAnsi="Calibri" w:cs="Calibri"/>
                <w:b/>
                <w:bCs/>
                <w:color w:val="0070C0"/>
              </w:rPr>
              <w:t>Clinique (forme typique)</w:t>
            </w:r>
          </w:p>
        </w:tc>
        <w:tc>
          <w:tcPr>
            <w:tcW w:w="3402" w:type="dxa"/>
            <w:shd w:val="clear" w:color="auto" w:fill="F2F2F2"/>
            <w:vAlign w:val="center"/>
          </w:tcPr>
          <w:p w14:paraId="7029CFF7" w14:textId="77777777" w:rsidR="006F3E0E" w:rsidRDefault="006F3E0E" w:rsidP="0094705B">
            <w:pPr>
              <w:widowControl w:val="0"/>
              <w:spacing w:line="240" w:lineRule="auto"/>
              <w:jc w:val="left"/>
              <w:rPr>
                <w:rFonts w:ascii="Calibri" w:eastAsia="Calibri" w:hAnsi="Calibri" w:cs="Calibri"/>
                <w:color w:val="0070C0"/>
              </w:rPr>
            </w:pPr>
            <w:r>
              <w:rPr>
                <w:rFonts w:ascii="Calibri" w:eastAsia="Calibri" w:hAnsi="Calibri" w:cs="Calibri"/>
                <w:color w:val="0070C0"/>
              </w:rPr>
              <w:t xml:space="preserve">Dyspnée d’effort puis de repos ± bronchite chronique </w:t>
            </w:r>
          </w:p>
        </w:tc>
        <w:tc>
          <w:tcPr>
            <w:tcW w:w="3572" w:type="dxa"/>
            <w:shd w:val="clear" w:color="auto" w:fill="F2F2F2"/>
            <w:vAlign w:val="center"/>
          </w:tcPr>
          <w:p w14:paraId="0F1C2AF3" w14:textId="77777777" w:rsidR="006F3E0E" w:rsidRDefault="006F3E0E" w:rsidP="0094705B">
            <w:pPr>
              <w:widowControl w:val="0"/>
              <w:spacing w:line="240" w:lineRule="auto"/>
              <w:jc w:val="left"/>
              <w:rPr>
                <w:rFonts w:ascii="Calibri" w:eastAsia="Calibri" w:hAnsi="Calibri" w:cs="Calibri"/>
                <w:color w:val="0070C0"/>
              </w:rPr>
            </w:pPr>
            <w:r>
              <w:rPr>
                <w:rFonts w:ascii="Calibri" w:eastAsia="Calibri" w:hAnsi="Calibri" w:cs="Calibri"/>
                <w:color w:val="0070C0"/>
              </w:rPr>
              <w:t>Symptômes variables et réversibles, périodes asymptomatiques fréquentes</w:t>
            </w:r>
          </w:p>
        </w:tc>
      </w:tr>
      <w:tr w:rsidR="006F3E0E" w14:paraId="5EFB5A9A" w14:textId="77777777" w:rsidTr="006F3E0E">
        <w:tc>
          <w:tcPr>
            <w:tcW w:w="2093" w:type="dxa"/>
            <w:vAlign w:val="center"/>
          </w:tcPr>
          <w:p w14:paraId="42DBD2E4" w14:textId="77777777" w:rsidR="006F3E0E" w:rsidRDefault="006F3E0E" w:rsidP="0094705B">
            <w:pPr>
              <w:widowControl w:val="0"/>
              <w:spacing w:line="240" w:lineRule="auto"/>
              <w:jc w:val="center"/>
              <w:rPr>
                <w:rFonts w:ascii="Calibri" w:eastAsia="Calibri" w:hAnsi="Calibri" w:cs="Calibri"/>
                <w:b/>
                <w:bCs/>
                <w:color w:val="0070C0"/>
              </w:rPr>
            </w:pPr>
            <w:r>
              <w:rPr>
                <w:rFonts w:ascii="Calibri" w:eastAsia="Calibri" w:hAnsi="Calibri" w:cs="Calibri"/>
                <w:b/>
                <w:bCs/>
                <w:color w:val="0070C0"/>
              </w:rPr>
              <w:t>Imagerie thoracique</w:t>
            </w:r>
          </w:p>
        </w:tc>
        <w:tc>
          <w:tcPr>
            <w:tcW w:w="3402" w:type="dxa"/>
            <w:vAlign w:val="center"/>
          </w:tcPr>
          <w:p w14:paraId="06364FB8" w14:textId="77777777" w:rsidR="006F3E0E" w:rsidRDefault="006F3E0E" w:rsidP="0094705B">
            <w:pPr>
              <w:widowControl w:val="0"/>
              <w:spacing w:line="240" w:lineRule="auto"/>
              <w:jc w:val="left"/>
              <w:rPr>
                <w:rFonts w:ascii="Calibri" w:eastAsia="Calibri" w:hAnsi="Calibri" w:cs="Calibri"/>
                <w:color w:val="0070C0"/>
              </w:rPr>
            </w:pPr>
            <w:r>
              <w:rPr>
                <w:rFonts w:ascii="Calibri" w:eastAsia="Calibri" w:hAnsi="Calibri" w:cs="Calibri"/>
                <w:color w:val="0070C0"/>
              </w:rPr>
              <w:t>Emphysème (inconstant)</w:t>
            </w:r>
          </w:p>
        </w:tc>
        <w:tc>
          <w:tcPr>
            <w:tcW w:w="3572" w:type="dxa"/>
            <w:vAlign w:val="center"/>
          </w:tcPr>
          <w:p w14:paraId="6C9D05FB" w14:textId="77777777" w:rsidR="006F3E0E" w:rsidRDefault="006F3E0E" w:rsidP="0094705B">
            <w:pPr>
              <w:widowControl w:val="0"/>
              <w:spacing w:line="240" w:lineRule="auto"/>
              <w:jc w:val="left"/>
              <w:rPr>
                <w:rFonts w:ascii="Calibri" w:eastAsia="Calibri" w:hAnsi="Calibri" w:cs="Calibri"/>
                <w:color w:val="0070C0"/>
              </w:rPr>
            </w:pPr>
            <w:r>
              <w:rPr>
                <w:rFonts w:ascii="Calibri" w:eastAsia="Calibri" w:hAnsi="Calibri" w:cs="Calibri"/>
                <w:color w:val="0070C0"/>
              </w:rPr>
              <w:t>Normale le plus souvent</w:t>
            </w:r>
          </w:p>
        </w:tc>
      </w:tr>
      <w:tr w:rsidR="006F3E0E" w14:paraId="4857390D" w14:textId="77777777" w:rsidTr="006F3E0E">
        <w:tc>
          <w:tcPr>
            <w:tcW w:w="2093" w:type="dxa"/>
            <w:shd w:val="clear" w:color="auto" w:fill="F2F2F2"/>
            <w:vAlign w:val="center"/>
          </w:tcPr>
          <w:p w14:paraId="6BCFBFDA" w14:textId="77777777" w:rsidR="006F3E0E" w:rsidRDefault="006F3E0E" w:rsidP="0094705B">
            <w:pPr>
              <w:widowControl w:val="0"/>
              <w:spacing w:line="240" w:lineRule="auto"/>
              <w:jc w:val="center"/>
              <w:rPr>
                <w:rFonts w:ascii="Calibri" w:eastAsia="Calibri" w:hAnsi="Calibri" w:cs="Calibri"/>
                <w:b/>
                <w:bCs/>
                <w:color w:val="0070C0"/>
              </w:rPr>
            </w:pPr>
            <w:r>
              <w:rPr>
                <w:rFonts w:ascii="Calibri" w:eastAsia="Calibri" w:hAnsi="Calibri" w:cs="Calibri"/>
                <w:b/>
                <w:bCs/>
                <w:color w:val="0070C0"/>
              </w:rPr>
              <w:t>Spirométrie</w:t>
            </w:r>
          </w:p>
        </w:tc>
        <w:tc>
          <w:tcPr>
            <w:tcW w:w="3402" w:type="dxa"/>
            <w:shd w:val="clear" w:color="auto" w:fill="F2F2F2"/>
            <w:vAlign w:val="center"/>
          </w:tcPr>
          <w:p w14:paraId="1BFFFC58" w14:textId="77777777" w:rsidR="006F3E0E" w:rsidRDefault="006F3E0E" w:rsidP="0094705B">
            <w:pPr>
              <w:widowControl w:val="0"/>
              <w:spacing w:line="240" w:lineRule="auto"/>
              <w:jc w:val="left"/>
              <w:rPr>
                <w:rFonts w:ascii="Calibri" w:eastAsia="Calibri" w:hAnsi="Calibri" w:cs="Calibri"/>
                <w:color w:val="0070C0"/>
              </w:rPr>
            </w:pPr>
            <w:r>
              <w:rPr>
                <w:rFonts w:ascii="Calibri" w:eastAsia="Calibri" w:hAnsi="Calibri" w:cs="Calibri"/>
                <w:color w:val="0070C0"/>
              </w:rPr>
              <w:t xml:space="preserve">TVO non complètement réversible. La spirométrie n’est jamais normale. </w:t>
            </w:r>
          </w:p>
        </w:tc>
        <w:tc>
          <w:tcPr>
            <w:tcW w:w="3572" w:type="dxa"/>
            <w:shd w:val="clear" w:color="auto" w:fill="F2F2F2"/>
            <w:vAlign w:val="center"/>
          </w:tcPr>
          <w:p w14:paraId="4680700B" w14:textId="77777777" w:rsidR="006F3E0E" w:rsidRDefault="006F3E0E" w:rsidP="0094705B">
            <w:pPr>
              <w:widowControl w:val="0"/>
              <w:spacing w:line="240" w:lineRule="auto"/>
              <w:jc w:val="left"/>
              <w:rPr>
                <w:rFonts w:ascii="Calibri" w:eastAsia="Calibri" w:hAnsi="Calibri" w:cs="Calibri"/>
                <w:color w:val="0070C0"/>
              </w:rPr>
            </w:pPr>
            <w:r>
              <w:rPr>
                <w:rFonts w:ascii="Calibri" w:eastAsia="Calibri" w:hAnsi="Calibri" w:cs="Calibri"/>
                <w:color w:val="0070C0"/>
              </w:rPr>
              <w:t>TVO réversible. La spirométrie peut être normale. Hyper-réactivité bronchique</w:t>
            </w:r>
          </w:p>
        </w:tc>
      </w:tr>
    </w:tbl>
    <w:p w14:paraId="55348682" w14:textId="77777777" w:rsidR="006F3E0E" w:rsidRDefault="006F3E0E" w:rsidP="006F3E0E">
      <w:pPr>
        <w:jc w:val="left"/>
      </w:pPr>
    </w:p>
    <w:p w14:paraId="5B18FA73" w14:textId="77777777" w:rsidR="006F3E0E" w:rsidRDefault="006F3E0E" w:rsidP="006F3E0E">
      <w:pPr>
        <w:pStyle w:val="titredepartie"/>
      </w:pPr>
      <w:r>
        <w:t xml:space="preserve">CONNAISSANCE + : PARTICULARITE DE LA BPCO : juger de la sévérité de la BPCO </w:t>
      </w:r>
    </w:p>
    <w:p w14:paraId="684CE3B8" w14:textId="77777777" w:rsidR="006F3E0E" w:rsidRDefault="006F3E0E" w:rsidP="006F3E0E">
      <w:pPr>
        <w:widowControl w:val="0"/>
        <w:spacing w:line="276" w:lineRule="auto"/>
        <w:rPr>
          <w:b/>
          <w:bCs/>
        </w:rPr>
      </w:pPr>
      <w:r>
        <w:rPr>
          <w:b/>
          <w:bCs/>
        </w:rPr>
        <w:t>A RECHERCHER SYSTEMATIQUEMENT</w:t>
      </w:r>
    </w:p>
    <w:p w14:paraId="68C8F0CB" w14:textId="77777777" w:rsidR="006F3E0E" w:rsidRDefault="006F3E0E" w:rsidP="006F3E0E">
      <w:pPr>
        <w:widowControl w:val="0"/>
        <w:spacing w:line="276" w:lineRule="auto"/>
      </w:pPr>
      <w:r>
        <w:t>Les critères de sévérité de la BPCO sont :</w:t>
      </w:r>
    </w:p>
    <w:p w14:paraId="7FCA8B9C" w14:textId="77777777" w:rsidR="006F3E0E" w:rsidRDefault="006F3E0E" w:rsidP="006F3E0E">
      <w:pPr>
        <w:widowControl w:val="0"/>
        <w:spacing w:line="276" w:lineRule="auto"/>
      </w:pPr>
      <w:r>
        <w:t>- Le niveau de VEMS</w:t>
      </w:r>
      <w:r>
        <w:rPr>
          <w:noProof/>
        </w:rPr>
        <mc:AlternateContent>
          <mc:Choice Requires="wps">
            <w:drawing>
              <wp:anchor distT="0" distB="0" distL="114300" distR="114300" simplePos="0" relativeHeight="251911168" behindDoc="0" locked="0" layoutInCell="1" hidden="0" allowOverlap="1" wp14:anchorId="1C16E5FF" wp14:editId="35822D79">
                <wp:simplePos x="0" y="0"/>
                <wp:positionH relativeFrom="column">
                  <wp:posOffset>1588978</wp:posOffset>
                </wp:positionH>
                <wp:positionV relativeFrom="paragraph">
                  <wp:posOffset>1257</wp:posOffset>
                </wp:positionV>
                <wp:extent cx="224210" cy="486603"/>
                <wp:effectExtent l="0" t="0" r="0" b="0"/>
                <wp:wrapNone/>
                <wp:docPr id="5" name="Accolade fermante 5"/>
                <wp:cNvGraphicFramePr/>
                <a:graphic xmlns:a="http://schemas.openxmlformats.org/drawingml/2006/main">
                  <a:graphicData uri="http://schemas.microsoft.com/office/word/2010/wordprocessingShape">
                    <wps:wsp>
                      <wps:cNvSpPr/>
                      <wps:spPr>
                        <a:xfrm>
                          <a:off x="5238658" y="3541461"/>
                          <a:ext cx="214685" cy="477078"/>
                        </a:xfrm>
                        <a:prstGeom prst="rightBrace">
                          <a:avLst>
                            <a:gd name="adj1" fmla="val 8333"/>
                            <a:gd name="adj2" fmla="val 50000"/>
                          </a:avLst>
                        </a:prstGeom>
                        <a:noFill/>
                        <a:ln w="9525" cap="flat" cmpd="sng">
                          <a:solidFill>
                            <a:schemeClr val="dk1"/>
                          </a:solidFill>
                          <a:prstDash val="solid"/>
                          <a:miter lim="8000"/>
                          <a:headEnd type="none" w="sm" len="sm"/>
                          <a:tailEnd type="none" w="sm" len="sm"/>
                        </a:ln>
                      </wps:spPr>
                      <wps:txbx>
                        <w:txbxContent>
                          <w:p w14:paraId="1FB68250" w14:textId="77777777" w:rsidR="006F3E0E" w:rsidRDefault="006F3E0E" w:rsidP="006F3E0E">
                            <w:pPr>
                              <w:spacing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shapetype w14:anchorId="1C16E5F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ccolade fermante 5" o:spid="_x0000_s1028" type="#_x0000_t88" style="position:absolute;left:0;text-align:left;margin-left:125.1pt;margin-top:.1pt;width:17.65pt;height:38.3pt;z-index:251911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" adj="810" strokecolor="black [3200]">
                <v:stroke startarrowwidth="narrow" startarrowlength="short" endarrowwidth="narrow" endarrowlength="short" miterlimit="5243f" joinstyle="miter"/>
                <v:textbox inset="2.53958mm,2.53958mm,2.53958mm,2.53958mm">
                  <w:txbxContent>
                    <w:p w14:paraId="1FB68250" w14:textId="77777777" w:rsidR="006F3E0E" w:rsidRDefault="006F3E0E" w:rsidP="006F3E0E">
                      <w:pPr>
                        <w:spacing w:line="240" w:lineRule="auto"/>
                        <w:jc w:val="left"/>
                        <w:textDirection w:val="btLr"/>
                      </w:pPr>
                    </w:p>
                  </w:txbxContent>
                </v:textbox>
              </v:shape>
            </w:pict>
          </mc:Fallback>
        </mc:AlternateContent>
      </w:r>
    </w:p>
    <w:p w14:paraId="185AE725" w14:textId="77777777" w:rsidR="006F3E0E" w:rsidRDefault="006F3E0E" w:rsidP="006F3E0E">
      <w:pPr>
        <w:widowControl w:val="0"/>
        <w:spacing w:line="276" w:lineRule="auto"/>
      </w:pPr>
      <w:r>
        <w:t xml:space="preserve">- Le niveau de dyspnée     </w:t>
      </w:r>
      <w:proofErr w:type="gramStart"/>
      <w:r>
        <w:tab/>
        <w:t xml:space="preserve">  SCORE</w:t>
      </w:r>
      <w:proofErr w:type="gramEnd"/>
      <w:r>
        <w:t xml:space="preserve"> GOLD* (Global initiative for </w:t>
      </w:r>
      <w:proofErr w:type="spellStart"/>
      <w:r>
        <w:t>chronic</w:t>
      </w:r>
      <w:proofErr w:type="spellEnd"/>
      <w:r>
        <w:t xml:space="preserve"> Obstructive Lung </w:t>
      </w:r>
      <w:proofErr w:type="spellStart"/>
      <w:r>
        <w:t>Disease</w:t>
      </w:r>
      <w:proofErr w:type="spellEnd"/>
      <w:r>
        <w:t>)</w:t>
      </w:r>
    </w:p>
    <w:p w14:paraId="72623980" w14:textId="77777777" w:rsidR="006F3E0E" w:rsidRDefault="006F3E0E" w:rsidP="006F3E0E">
      <w:pPr>
        <w:widowControl w:val="0"/>
        <w:spacing w:line="276" w:lineRule="auto"/>
      </w:pPr>
      <w:r>
        <w:t xml:space="preserve">- Le profil exacerbateur </w:t>
      </w:r>
    </w:p>
    <w:p w14:paraId="3D44D325" w14:textId="77777777" w:rsidR="006F3E0E" w:rsidRDefault="006F3E0E" w:rsidP="006F3E0E">
      <w:pPr>
        <w:widowControl w:val="0"/>
        <w:spacing w:line="276" w:lineRule="auto"/>
      </w:pPr>
      <w:r>
        <w:t>- Les comorbidités associées :</w:t>
      </w:r>
    </w:p>
    <w:p w14:paraId="1464FECC" w14:textId="77777777" w:rsidR="006F3E0E" w:rsidRDefault="006F3E0E">
      <w:pPr>
        <w:widowControl w:val="0"/>
        <w:numPr>
          <w:ilvl w:val="2"/>
          <w:numId w:val="16"/>
        </w:numPr>
        <w:pBdr>
          <w:top w:val="nil"/>
          <w:left w:val="nil"/>
          <w:bottom w:val="nil"/>
          <w:right w:val="nil"/>
          <w:between w:val="nil"/>
        </w:pBdr>
        <w:spacing w:line="276" w:lineRule="auto"/>
        <w:ind w:left="284" w:hanging="142"/>
      </w:pPr>
      <w:r>
        <w:t xml:space="preserve">Cardiovasculaire </w:t>
      </w:r>
    </w:p>
    <w:p w14:paraId="018F8F1C" w14:textId="77777777" w:rsidR="006F3E0E" w:rsidRDefault="006F3E0E">
      <w:pPr>
        <w:widowControl w:val="0"/>
        <w:numPr>
          <w:ilvl w:val="2"/>
          <w:numId w:val="16"/>
        </w:numPr>
        <w:pBdr>
          <w:top w:val="nil"/>
          <w:left w:val="nil"/>
          <w:bottom w:val="nil"/>
          <w:right w:val="nil"/>
          <w:between w:val="nil"/>
        </w:pBdr>
        <w:spacing w:line="276" w:lineRule="auto"/>
        <w:ind w:left="284" w:hanging="142"/>
      </w:pPr>
      <w:r>
        <w:lastRenderedPageBreak/>
        <w:t>Néoplasique</w:t>
      </w:r>
    </w:p>
    <w:p w14:paraId="7B71E515" w14:textId="77777777" w:rsidR="006F3E0E" w:rsidRDefault="006F3E0E" w:rsidP="006F3E0E">
      <w:pPr>
        <w:spacing w:line="276" w:lineRule="auto"/>
      </w:pPr>
    </w:p>
    <w:p w14:paraId="5B6E5482" w14:textId="77777777" w:rsidR="006F3E0E" w:rsidRDefault="006F3E0E" w:rsidP="006F3E0E">
      <w:pPr>
        <w:spacing w:line="276" w:lineRule="auto"/>
      </w:pPr>
      <w:r>
        <w:t xml:space="preserve">La sévérité de la maladie est classée avec deux classifications complémentaires dans les recommandations internationales :  </w:t>
      </w:r>
    </w:p>
    <w:p w14:paraId="32ACEA9A" w14:textId="77777777" w:rsidR="006F3E0E" w:rsidRDefault="006F3E0E" w:rsidP="006F3E0E">
      <w:pPr>
        <w:spacing w:line="276" w:lineRule="auto"/>
      </w:pPr>
      <w:r>
        <w:t xml:space="preserve">- La classification GOLD « 1-2-3-4 » porte sur la </w:t>
      </w:r>
      <w:r>
        <w:rPr>
          <w:u w:val="single"/>
        </w:rPr>
        <w:t>sévérité fonctionnelle</w:t>
      </w:r>
      <w:r>
        <w:t xml:space="preserve"> respiratoire jugée sur la sévérité de l’obstruction bronchique selon la valeur du VEMS après bronchodilatateurs.</w:t>
      </w:r>
    </w:p>
    <w:p w14:paraId="2EB0D496" w14:textId="77777777" w:rsidR="006F3E0E" w:rsidRDefault="006F3E0E" w:rsidP="006F3E0E">
      <w:pPr>
        <w:spacing w:line="276" w:lineRule="auto"/>
      </w:pPr>
      <w:r>
        <w:t xml:space="preserve">- La classification GOLD « A-B-E » porte sur la </w:t>
      </w:r>
      <w:r>
        <w:rPr>
          <w:u w:val="single"/>
        </w:rPr>
        <w:t>sévérité clinique</w:t>
      </w:r>
      <w:r>
        <w:t xml:space="preserve"> jugée sur l’importance de la dyspnée d’effort (échelle </w:t>
      </w:r>
      <w:proofErr w:type="spellStart"/>
      <w:r>
        <w:t>mMRC</w:t>
      </w:r>
      <w:proofErr w:type="spellEnd"/>
      <w:r>
        <w:t>) et la fréquence des exacerbations.</w:t>
      </w:r>
    </w:p>
    <w:p w14:paraId="50D852A3" w14:textId="77777777" w:rsidR="006F3E0E" w:rsidRDefault="006F3E0E" w:rsidP="006F3E0E">
      <w:pPr>
        <w:widowControl w:val="0"/>
        <w:spacing w:line="276" w:lineRule="auto"/>
        <w:ind w:left="708"/>
      </w:pPr>
    </w:p>
    <w:p w14:paraId="15E71062" w14:textId="77777777" w:rsidR="006F3E0E" w:rsidRDefault="006F3E0E" w:rsidP="006F3E0E">
      <w:pPr>
        <w:pStyle w:val="lgende"/>
      </w:pPr>
      <w:r>
        <w:t>Tableau 2 : Sévérité de la BPCO </w:t>
      </w:r>
      <w:r>
        <w:rPr>
          <w:b/>
          <w:bCs/>
        </w:rPr>
        <w:t>1. Sévérité fonctionnelle.</w:t>
      </w:r>
      <w:r>
        <w:t xml:space="preserve"> Classification de la sévérité de l’obstruction bronchique dans la BPCO en 4 stades. Le rapport VEMS/CVF est exprimé en valeur absolue ; le VEMS est exprimé en % de la valeur prédite (mesure </w:t>
      </w:r>
      <w:r>
        <w:rPr>
          <w:b/>
          <w:bCs/>
          <w:u w:val="single"/>
        </w:rPr>
        <w:t>post</w:t>
      </w:r>
      <w:r>
        <w:rPr>
          <w:b/>
          <w:bCs/>
        </w:rPr>
        <w:t xml:space="preserve"> BD</w:t>
      </w:r>
      <w:r>
        <w:t>).</w:t>
      </w:r>
    </w:p>
    <w:tbl>
      <w:tblPr>
        <w:tblW w:w="7084" w:type="dxa"/>
        <w:tblInd w:w="998"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ayout w:type="fixed"/>
        <w:tblLook w:val="0000" w:firstRow="0" w:lastRow="0" w:firstColumn="0" w:lastColumn="0" w:noHBand="0" w:noVBand="0"/>
      </w:tblPr>
      <w:tblGrid>
        <w:gridCol w:w="1556"/>
        <w:gridCol w:w="3685"/>
        <w:gridCol w:w="1843"/>
      </w:tblGrid>
      <w:tr w:rsidR="006F3E0E" w14:paraId="36EE4ACF" w14:textId="77777777" w:rsidTr="006F3E0E">
        <w:tc>
          <w:tcPr>
            <w:tcW w:w="1556" w:type="dxa"/>
            <w:shd w:val="clear" w:color="auto" w:fill="D1D1D1" w:themeFill="background2" w:themeFillShade="E6"/>
          </w:tcPr>
          <w:p w14:paraId="5C6C38EC" w14:textId="77777777" w:rsidR="006F3E0E" w:rsidRPr="006F3E0E" w:rsidRDefault="006F3E0E" w:rsidP="0094705B">
            <w:pPr>
              <w:spacing w:line="276" w:lineRule="auto"/>
              <w:jc w:val="center"/>
              <w:rPr>
                <w:rFonts w:ascii="Calibri" w:eastAsia="Calibri" w:hAnsi="Calibri" w:cs="Calibri"/>
                <w:b/>
                <w:bCs/>
                <w:color w:val="000000" w:themeColor="text1"/>
              </w:rPr>
            </w:pPr>
            <w:r w:rsidRPr="006F3E0E">
              <w:rPr>
                <w:rFonts w:ascii="Calibri" w:eastAsia="Calibri" w:hAnsi="Calibri" w:cs="Calibri"/>
                <w:b/>
                <w:bCs/>
                <w:color w:val="000000" w:themeColor="text1"/>
              </w:rPr>
              <w:t>TVO</w:t>
            </w:r>
          </w:p>
        </w:tc>
        <w:tc>
          <w:tcPr>
            <w:tcW w:w="3685" w:type="dxa"/>
            <w:shd w:val="clear" w:color="auto" w:fill="D1D1D1" w:themeFill="background2" w:themeFillShade="E6"/>
          </w:tcPr>
          <w:p w14:paraId="3ED08DDA" w14:textId="77777777" w:rsidR="006F3E0E" w:rsidRPr="006F3E0E" w:rsidRDefault="006F3E0E" w:rsidP="0094705B">
            <w:pPr>
              <w:spacing w:line="276" w:lineRule="auto"/>
              <w:jc w:val="center"/>
              <w:rPr>
                <w:rFonts w:ascii="Calibri" w:eastAsia="Calibri" w:hAnsi="Calibri" w:cs="Calibri"/>
                <w:b/>
                <w:bCs/>
                <w:color w:val="000000" w:themeColor="text1"/>
              </w:rPr>
            </w:pPr>
            <w:r w:rsidRPr="006F3E0E">
              <w:rPr>
                <w:rFonts w:ascii="Calibri" w:eastAsia="Calibri" w:hAnsi="Calibri" w:cs="Calibri"/>
                <w:b/>
                <w:bCs/>
                <w:color w:val="000000" w:themeColor="text1"/>
              </w:rPr>
              <w:t>Sévérité</w:t>
            </w:r>
          </w:p>
        </w:tc>
        <w:tc>
          <w:tcPr>
            <w:tcW w:w="1843" w:type="dxa"/>
            <w:shd w:val="clear" w:color="auto" w:fill="D1D1D1" w:themeFill="background2" w:themeFillShade="E6"/>
          </w:tcPr>
          <w:p w14:paraId="61DEAF0C" w14:textId="77777777" w:rsidR="006F3E0E" w:rsidRPr="006F3E0E" w:rsidRDefault="006F3E0E" w:rsidP="0094705B">
            <w:pPr>
              <w:spacing w:line="276" w:lineRule="auto"/>
              <w:jc w:val="center"/>
              <w:rPr>
                <w:rFonts w:ascii="Calibri" w:eastAsia="Calibri" w:hAnsi="Calibri" w:cs="Calibri"/>
                <w:b/>
                <w:bCs/>
                <w:color w:val="000000" w:themeColor="text1"/>
              </w:rPr>
            </w:pPr>
            <w:r w:rsidRPr="006F3E0E">
              <w:rPr>
                <w:rFonts w:ascii="Calibri" w:eastAsia="Calibri" w:hAnsi="Calibri" w:cs="Calibri"/>
                <w:b/>
                <w:bCs/>
                <w:color w:val="000000" w:themeColor="text1"/>
              </w:rPr>
              <w:t>Définition</w:t>
            </w:r>
          </w:p>
        </w:tc>
      </w:tr>
      <w:tr w:rsidR="006F3E0E" w14:paraId="0B083878" w14:textId="77777777" w:rsidTr="006F3E0E">
        <w:trPr>
          <w:cantSplit/>
        </w:trPr>
        <w:tc>
          <w:tcPr>
            <w:tcW w:w="1556" w:type="dxa"/>
            <w:vMerge w:val="restart"/>
            <w:vAlign w:val="center"/>
          </w:tcPr>
          <w:p w14:paraId="6EB8ACCE" w14:textId="77777777" w:rsidR="006F3E0E" w:rsidRDefault="006F3E0E" w:rsidP="0094705B">
            <w:pPr>
              <w:spacing w:line="276" w:lineRule="auto"/>
              <w:ind w:left="360" w:hanging="360"/>
              <w:jc w:val="center"/>
              <w:rPr>
                <w:rFonts w:ascii="Calibri" w:eastAsia="Calibri" w:hAnsi="Calibri" w:cs="Calibri"/>
                <w:b/>
                <w:bCs/>
              </w:rPr>
            </w:pPr>
            <w:r>
              <w:rPr>
                <w:rFonts w:ascii="Calibri" w:eastAsia="Calibri" w:hAnsi="Calibri" w:cs="Calibri"/>
                <w:b/>
                <w:bCs/>
              </w:rPr>
              <w:t>VEMS/CVF</w:t>
            </w:r>
          </w:p>
          <w:p w14:paraId="3DCA5139" w14:textId="77777777" w:rsidR="006F3E0E" w:rsidRDefault="006F3E0E" w:rsidP="0094705B">
            <w:pPr>
              <w:spacing w:line="276" w:lineRule="auto"/>
              <w:ind w:left="360" w:hanging="360"/>
              <w:jc w:val="center"/>
              <w:rPr>
                <w:rFonts w:ascii="Calibri" w:eastAsia="Calibri" w:hAnsi="Calibri" w:cs="Calibri"/>
                <w:b/>
                <w:bCs/>
              </w:rPr>
            </w:pPr>
            <w:proofErr w:type="gramStart"/>
            <w:r>
              <w:rPr>
                <w:rFonts w:ascii="Calibri" w:eastAsia="Calibri" w:hAnsi="Calibri" w:cs="Calibri"/>
                <w:b/>
                <w:bCs/>
              </w:rPr>
              <w:t>post</w:t>
            </w:r>
            <w:proofErr w:type="gramEnd"/>
            <w:r>
              <w:rPr>
                <w:rFonts w:ascii="Calibri" w:eastAsia="Calibri" w:hAnsi="Calibri" w:cs="Calibri"/>
                <w:b/>
                <w:bCs/>
              </w:rPr>
              <w:t xml:space="preserve"> BD</w:t>
            </w:r>
          </w:p>
          <w:p w14:paraId="159AD140" w14:textId="77777777" w:rsidR="006F3E0E" w:rsidRDefault="006F3E0E" w:rsidP="0094705B">
            <w:pPr>
              <w:spacing w:line="276" w:lineRule="auto"/>
              <w:ind w:left="360" w:hanging="360"/>
              <w:jc w:val="center"/>
              <w:rPr>
                <w:rFonts w:ascii="Calibri" w:eastAsia="Calibri" w:hAnsi="Calibri" w:cs="Calibri"/>
                <w:b/>
                <w:bCs/>
              </w:rPr>
            </w:pPr>
            <w:r>
              <w:rPr>
                <w:rFonts w:ascii="Calibri" w:eastAsia="Calibri" w:hAnsi="Calibri" w:cs="Calibri"/>
              </w:rPr>
              <w:t>&lt; 70 %</w:t>
            </w:r>
          </w:p>
        </w:tc>
        <w:tc>
          <w:tcPr>
            <w:tcW w:w="3685" w:type="dxa"/>
          </w:tcPr>
          <w:p w14:paraId="6F5A3A0C" w14:textId="77777777" w:rsidR="006F3E0E" w:rsidRDefault="006F3E0E" w:rsidP="0094705B">
            <w:pPr>
              <w:spacing w:line="276" w:lineRule="auto"/>
              <w:ind w:left="360" w:hanging="360"/>
              <w:rPr>
                <w:rFonts w:ascii="Calibri" w:eastAsia="Calibri" w:hAnsi="Calibri" w:cs="Calibri"/>
                <w:b/>
                <w:bCs/>
              </w:rPr>
            </w:pPr>
            <w:r>
              <w:rPr>
                <w:rFonts w:ascii="Calibri" w:eastAsia="Calibri" w:hAnsi="Calibri" w:cs="Calibri"/>
                <w:b/>
                <w:bCs/>
              </w:rPr>
              <w:t>Grade GOLD 1</w:t>
            </w:r>
          </w:p>
          <w:p w14:paraId="7371C83B" w14:textId="77777777" w:rsidR="006F3E0E" w:rsidRDefault="006F3E0E" w:rsidP="0094705B">
            <w:pPr>
              <w:spacing w:line="276" w:lineRule="auto"/>
              <w:ind w:left="360" w:hanging="360"/>
              <w:rPr>
                <w:rFonts w:ascii="Calibri" w:eastAsia="Calibri" w:hAnsi="Calibri" w:cs="Calibri"/>
              </w:rPr>
            </w:pPr>
            <w:r>
              <w:rPr>
                <w:rFonts w:ascii="Calibri" w:eastAsia="Calibri" w:hAnsi="Calibri" w:cs="Calibri"/>
              </w:rPr>
              <w:t>Obstruction bronchique légère</w:t>
            </w:r>
          </w:p>
        </w:tc>
        <w:tc>
          <w:tcPr>
            <w:tcW w:w="1843" w:type="dxa"/>
            <w:vAlign w:val="center"/>
          </w:tcPr>
          <w:p w14:paraId="6F1B7299" w14:textId="77777777" w:rsidR="006F3E0E" w:rsidRDefault="006F3E0E" w:rsidP="0094705B">
            <w:pPr>
              <w:spacing w:line="276" w:lineRule="auto"/>
              <w:rPr>
                <w:rFonts w:ascii="Calibri" w:eastAsia="Calibri" w:hAnsi="Calibri" w:cs="Calibri"/>
              </w:rPr>
            </w:pPr>
            <w:r>
              <w:rPr>
                <w:rFonts w:ascii="Calibri" w:eastAsia="Calibri" w:hAnsi="Calibri" w:cs="Calibri"/>
              </w:rPr>
              <w:t>VEMS ≥ 80 %</w:t>
            </w:r>
          </w:p>
        </w:tc>
      </w:tr>
      <w:tr w:rsidR="006F3E0E" w14:paraId="37D26E90" w14:textId="77777777" w:rsidTr="006F3E0E">
        <w:trPr>
          <w:cantSplit/>
        </w:trPr>
        <w:tc>
          <w:tcPr>
            <w:tcW w:w="1556" w:type="dxa"/>
            <w:vMerge/>
            <w:vAlign w:val="center"/>
          </w:tcPr>
          <w:p w14:paraId="556B01D3" w14:textId="77777777" w:rsidR="006F3E0E" w:rsidRDefault="006F3E0E" w:rsidP="0094705B">
            <w:pPr>
              <w:widowControl w:val="0"/>
              <w:pBdr>
                <w:top w:val="nil"/>
                <w:left w:val="nil"/>
                <w:bottom w:val="nil"/>
                <w:right w:val="nil"/>
                <w:between w:val="nil"/>
              </w:pBdr>
              <w:spacing w:line="276" w:lineRule="auto"/>
              <w:jc w:val="left"/>
              <w:rPr>
                <w:rFonts w:ascii="Calibri" w:eastAsia="Calibri" w:hAnsi="Calibri" w:cs="Calibri"/>
              </w:rPr>
            </w:pPr>
          </w:p>
        </w:tc>
        <w:tc>
          <w:tcPr>
            <w:tcW w:w="3685" w:type="dxa"/>
          </w:tcPr>
          <w:p w14:paraId="0531D845" w14:textId="77777777" w:rsidR="006F3E0E" w:rsidRDefault="006F3E0E" w:rsidP="0094705B">
            <w:pPr>
              <w:spacing w:line="276" w:lineRule="auto"/>
              <w:ind w:left="360" w:hanging="360"/>
              <w:rPr>
                <w:rFonts w:ascii="Calibri" w:eastAsia="Calibri" w:hAnsi="Calibri" w:cs="Calibri"/>
                <w:b/>
                <w:bCs/>
              </w:rPr>
            </w:pPr>
            <w:r>
              <w:rPr>
                <w:rFonts w:ascii="Calibri" w:eastAsia="Calibri" w:hAnsi="Calibri" w:cs="Calibri"/>
                <w:b/>
                <w:bCs/>
              </w:rPr>
              <w:t>Grade GOLD 2</w:t>
            </w:r>
          </w:p>
          <w:p w14:paraId="64426FA9" w14:textId="77777777" w:rsidR="006F3E0E" w:rsidRDefault="006F3E0E" w:rsidP="0094705B">
            <w:pPr>
              <w:spacing w:line="276" w:lineRule="auto"/>
              <w:ind w:left="360" w:hanging="360"/>
              <w:rPr>
                <w:rFonts w:ascii="Calibri" w:eastAsia="Calibri" w:hAnsi="Calibri" w:cs="Calibri"/>
              </w:rPr>
            </w:pPr>
            <w:r>
              <w:rPr>
                <w:rFonts w:ascii="Calibri" w:eastAsia="Calibri" w:hAnsi="Calibri" w:cs="Calibri"/>
              </w:rPr>
              <w:t>Obstruction bronchique modérée</w:t>
            </w:r>
          </w:p>
        </w:tc>
        <w:tc>
          <w:tcPr>
            <w:tcW w:w="1843" w:type="dxa"/>
            <w:vAlign w:val="center"/>
          </w:tcPr>
          <w:p w14:paraId="63C280C2" w14:textId="77777777" w:rsidR="006F3E0E" w:rsidRDefault="006F3E0E" w:rsidP="0094705B">
            <w:pPr>
              <w:spacing w:line="276" w:lineRule="auto"/>
              <w:rPr>
                <w:rFonts w:ascii="Calibri" w:eastAsia="Calibri" w:hAnsi="Calibri" w:cs="Calibri"/>
              </w:rPr>
            </w:pPr>
            <w:r>
              <w:rPr>
                <w:rFonts w:ascii="Calibri" w:eastAsia="Calibri" w:hAnsi="Calibri" w:cs="Calibri"/>
              </w:rPr>
              <w:t>VEMS 50-79 %</w:t>
            </w:r>
          </w:p>
        </w:tc>
      </w:tr>
      <w:tr w:rsidR="006F3E0E" w14:paraId="3EBF8F30" w14:textId="77777777" w:rsidTr="006F3E0E">
        <w:trPr>
          <w:cantSplit/>
        </w:trPr>
        <w:tc>
          <w:tcPr>
            <w:tcW w:w="1556" w:type="dxa"/>
            <w:vMerge/>
            <w:vAlign w:val="center"/>
          </w:tcPr>
          <w:p w14:paraId="1EE86D38" w14:textId="77777777" w:rsidR="006F3E0E" w:rsidRDefault="006F3E0E" w:rsidP="0094705B">
            <w:pPr>
              <w:widowControl w:val="0"/>
              <w:pBdr>
                <w:top w:val="nil"/>
                <w:left w:val="nil"/>
                <w:bottom w:val="nil"/>
                <w:right w:val="nil"/>
                <w:between w:val="nil"/>
              </w:pBdr>
              <w:spacing w:line="276" w:lineRule="auto"/>
              <w:jc w:val="left"/>
              <w:rPr>
                <w:rFonts w:ascii="Calibri" w:eastAsia="Calibri" w:hAnsi="Calibri" w:cs="Calibri"/>
              </w:rPr>
            </w:pPr>
          </w:p>
        </w:tc>
        <w:tc>
          <w:tcPr>
            <w:tcW w:w="3685" w:type="dxa"/>
          </w:tcPr>
          <w:p w14:paraId="55B2CE31" w14:textId="77777777" w:rsidR="006F3E0E" w:rsidRDefault="006F3E0E" w:rsidP="0094705B">
            <w:pPr>
              <w:spacing w:line="276" w:lineRule="auto"/>
              <w:ind w:left="360" w:hanging="360"/>
              <w:rPr>
                <w:rFonts w:ascii="Calibri" w:eastAsia="Calibri" w:hAnsi="Calibri" w:cs="Calibri"/>
              </w:rPr>
            </w:pPr>
            <w:r>
              <w:rPr>
                <w:rFonts w:ascii="Calibri" w:eastAsia="Calibri" w:hAnsi="Calibri" w:cs="Calibri"/>
                <w:b/>
                <w:bCs/>
              </w:rPr>
              <w:t>Grade GOLD 3</w:t>
            </w:r>
          </w:p>
          <w:p w14:paraId="479D0744" w14:textId="77777777" w:rsidR="006F3E0E" w:rsidRDefault="006F3E0E" w:rsidP="0094705B">
            <w:pPr>
              <w:spacing w:line="276" w:lineRule="auto"/>
              <w:ind w:left="360" w:hanging="360"/>
              <w:rPr>
                <w:rFonts w:ascii="Calibri" w:eastAsia="Calibri" w:hAnsi="Calibri" w:cs="Calibri"/>
              </w:rPr>
            </w:pPr>
            <w:r>
              <w:rPr>
                <w:rFonts w:ascii="Calibri" w:eastAsia="Calibri" w:hAnsi="Calibri" w:cs="Calibri"/>
              </w:rPr>
              <w:t>Obstruction bronchique sévère</w:t>
            </w:r>
          </w:p>
        </w:tc>
        <w:tc>
          <w:tcPr>
            <w:tcW w:w="1843" w:type="dxa"/>
            <w:vAlign w:val="center"/>
          </w:tcPr>
          <w:p w14:paraId="6E2C90E5" w14:textId="77777777" w:rsidR="006F3E0E" w:rsidRDefault="006F3E0E" w:rsidP="0094705B">
            <w:pPr>
              <w:spacing w:line="276" w:lineRule="auto"/>
              <w:rPr>
                <w:rFonts w:ascii="Calibri" w:eastAsia="Calibri" w:hAnsi="Calibri" w:cs="Calibri"/>
              </w:rPr>
            </w:pPr>
            <w:r>
              <w:rPr>
                <w:rFonts w:ascii="Calibri" w:eastAsia="Calibri" w:hAnsi="Calibri" w:cs="Calibri"/>
              </w:rPr>
              <w:t>VEMS 30-49 %</w:t>
            </w:r>
          </w:p>
        </w:tc>
      </w:tr>
      <w:tr w:rsidR="006F3E0E" w14:paraId="4DDF093E" w14:textId="77777777" w:rsidTr="006F3E0E">
        <w:trPr>
          <w:cantSplit/>
        </w:trPr>
        <w:tc>
          <w:tcPr>
            <w:tcW w:w="1556" w:type="dxa"/>
            <w:vMerge/>
            <w:vAlign w:val="center"/>
          </w:tcPr>
          <w:p w14:paraId="55E4F0CA" w14:textId="77777777" w:rsidR="006F3E0E" w:rsidRDefault="006F3E0E" w:rsidP="0094705B">
            <w:pPr>
              <w:widowControl w:val="0"/>
              <w:pBdr>
                <w:top w:val="nil"/>
                <w:left w:val="nil"/>
                <w:bottom w:val="nil"/>
                <w:right w:val="nil"/>
                <w:between w:val="nil"/>
              </w:pBdr>
              <w:spacing w:line="276" w:lineRule="auto"/>
              <w:jc w:val="left"/>
              <w:rPr>
                <w:rFonts w:ascii="Calibri" w:eastAsia="Calibri" w:hAnsi="Calibri" w:cs="Calibri"/>
              </w:rPr>
            </w:pPr>
          </w:p>
        </w:tc>
        <w:tc>
          <w:tcPr>
            <w:tcW w:w="3685" w:type="dxa"/>
          </w:tcPr>
          <w:p w14:paraId="4AF652BE" w14:textId="77777777" w:rsidR="006F3E0E" w:rsidRDefault="006F3E0E" w:rsidP="0094705B">
            <w:pPr>
              <w:spacing w:line="276" w:lineRule="auto"/>
              <w:ind w:left="360" w:hanging="360"/>
              <w:rPr>
                <w:rFonts w:ascii="Calibri" w:eastAsia="Calibri" w:hAnsi="Calibri" w:cs="Calibri"/>
              </w:rPr>
            </w:pPr>
            <w:r>
              <w:rPr>
                <w:rFonts w:ascii="Calibri" w:eastAsia="Calibri" w:hAnsi="Calibri" w:cs="Calibri"/>
                <w:b/>
                <w:bCs/>
              </w:rPr>
              <w:t>Grade GOLD 4</w:t>
            </w:r>
          </w:p>
          <w:p w14:paraId="66D1294C" w14:textId="77777777" w:rsidR="006F3E0E" w:rsidRDefault="006F3E0E" w:rsidP="0094705B">
            <w:pPr>
              <w:spacing w:line="276" w:lineRule="auto"/>
              <w:ind w:left="360" w:hanging="360"/>
              <w:rPr>
                <w:rFonts w:ascii="Calibri" w:eastAsia="Calibri" w:hAnsi="Calibri" w:cs="Calibri"/>
              </w:rPr>
            </w:pPr>
            <w:r>
              <w:rPr>
                <w:rFonts w:ascii="Calibri" w:eastAsia="Calibri" w:hAnsi="Calibri" w:cs="Calibri"/>
              </w:rPr>
              <w:t>Obstruction bronchique très sévère</w:t>
            </w:r>
          </w:p>
        </w:tc>
        <w:tc>
          <w:tcPr>
            <w:tcW w:w="1843" w:type="dxa"/>
            <w:vAlign w:val="center"/>
          </w:tcPr>
          <w:p w14:paraId="012A467E" w14:textId="77777777" w:rsidR="006F3E0E" w:rsidRDefault="006F3E0E" w:rsidP="0094705B">
            <w:pPr>
              <w:spacing w:line="276" w:lineRule="auto"/>
              <w:rPr>
                <w:rFonts w:ascii="Calibri" w:eastAsia="Calibri" w:hAnsi="Calibri" w:cs="Calibri"/>
              </w:rPr>
            </w:pPr>
            <w:r>
              <w:rPr>
                <w:rFonts w:ascii="Calibri" w:eastAsia="Calibri" w:hAnsi="Calibri" w:cs="Calibri"/>
              </w:rPr>
              <w:t xml:space="preserve">VEMS &lt; 30 % </w:t>
            </w:r>
          </w:p>
        </w:tc>
      </w:tr>
    </w:tbl>
    <w:p w14:paraId="00727595" w14:textId="77777777" w:rsidR="006F3E0E" w:rsidRDefault="006F3E0E" w:rsidP="006F3E0E"/>
    <w:p w14:paraId="42157CD7" w14:textId="77777777" w:rsidR="006F3E0E" w:rsidRDefault="006F3E0E" w:rsidP="006F3E0E">
      <w:pPr>
        <w:pStyle w:val="lgende"/>
      </w:pPr>
      <w:r>
        <w:t>Tableau 3 : Sévérité de la BPCO </w:t>
      </w:r>
      <w:r>
        <w:rPr>
          <w:b/>
          <w:bCs/>
        </w:rPr>
        <w:t>2. Sévérité clinique.</w:t>
      </w:r>
      <w:r>
        <w:t xml:space="preserve"> </w:t>
      </w:r>
    </w:p>
    <w:p w14:paraId="4D632849" w14:textId="77777777" w:rsidR="006F3E0E" w:rsidRDefault="006F3E0E" w:rsidP="006F3E0E">
      <w:pPr>
        <w:widowControl w:val="0"/>
        <w:spacing w:line="276" w:lineRule="auto"/>
      </w:pPr>
    </w:p>
    <w:p w14:paraId="700D5833" w14:textId="77777777" w:rsidR="006F3E0E" w:rsidRDefault="006F3E0E" w:rsidP="006F3E0E">
      <w:pPr>
        <w:widowControl w:val="0"/>
        <w:spacing w:line="276" w:lineRule="auto"/>
        <w:rPr>
          <w:rFonts w:ascii="Calibri" w:eastAsia="Calibri" w:hAnsi="Calibri" w:cs="Calibri"/>
        </w:rPr>
      </w:pPr>
      <w:r>
        <w:rPr>
          <w:rFonts w:ascii="Calibri" w:eastAsia="Calibri" w:hAnsi="Calibri" w:cs="Calibri"/>
        </w:rPr>
        <w:t>La sévérité de la dyspnée conditionne le handicap et représente un facteur pronostique.</w:t>
      </w:r>
    </w:p>
    <w:p w14:paraId="4AFD9B02" w14:textId="77777777" w:rsidR="006F3E0E" w:rsidRDefault="006F3E0E" w:rsidP="006F3E0E">
      <w:pPr>
        <w:widowControl w:val="0"/>
        <w:spacing w:line="276" w:lineRule="auto"/>
        <w:ind w:left="1276" w:hanging="1276"/>
        <w:rPr>
          <w:rFonts w:ascii="Calibri" w:eastAsia="Calibri" w:hAnsi="Calibri" w:cs="Calibri"/>
        </w:rPr>
      </w:pPr>
      <w:r>
        <w:rPr>
          <w:rFonts w:ascii="Calibri" w:eastAsia="Calibri" w:hAnsi="Calibri" w:cs="Calibri"/>
        </w:rPr>
        <w:t xml:space="preserve">Échelle </w:t>
      </w:r>
      <w:proofErr w:type="spellStart"/>
      <w:r>
        <w:rPr>
          <w:rFonts w:ascii="Calibri" w:eastAsia="Calibri" w:hAnsi="Calibri" w:cs="Calibri"/>
        </w:rPr>
        <w:t>mMRC</w:t>
      </w:r>
      <w:proofErr w:type="spellEnd"/>
      <w:r>
        <w:rPr>
          <w:rFonts w:ascii="Calibri" w:eastAsia="Calibri" w:hAnsi="Calibri" w:cs="Calibri"/>
        </w:rPr>
        <w:t xml:space="preserve"> de la dyspnée :</w:t>
      </w:r>
    </w:p>
    <w:p w14:paraId="7E306694" w14:textId="77777777" w:rsidR="006F3E0E" w:rsidRDefault="006F3E0E" w:rsidP="006F3E0E">
      <w:pPr>
        <w:widowControl w:val="0"/>
        <w:pBdr>
          <w:top w:val="single" w:sz="4" w:space="1" w:color="000000"/>
        </w:pBdr>
        <w:ind w:left="993" w:hanging="993"/>
        <w:rPr>
          <w:rFonts w:ascii="Calibri" w:eastAsia="Calibri" w:hAnsi="Calibri" w:cs="Calibri"/>
        </w:rPr>
      </w:pPr>
      <w:r>
        <w:rPr>
          <w:rFonts w:ascii="Calibri" w:eastAsia="Calibri" w:hAnsi="Calibri" w:cs="Calibri"/>
        </w:rPr>
        <w:t>Stade 0 :</w:t>
      </w:r>
      <w:r>
        <w:rPr>
          <w:rFonts w:ascii="Calibri" w:eastAsia="Calibri" w:hAnsi="Calibri" w:cs="Calibri"/>
        </w:rPr>
        <w:tab/>
        <w:t>Je suis essoufflé uniquement pour un effort important.</w:t>
      </w:r>
    </w:p>
    <w:p w14:paraId="21DC2737" w14:textId="77777777" w:rsidR="006F3E0E" w:rsidRDefault="006F3E0E" w:rsidP="006F3E0E">
      <w:pPr>
        <w:widowControl w:val="0"/>
        <w:ind w:left="993" w:hanging="993"/>
        <w:rPr>
          <w:rFonts w:ascii="Calibri" w:eastAsia="Calibri" w:hAnsi="Calibri" w:cs="Calibri"/>
        </w:rPr>
      </w:pPr>
      <w:r>
        <w:rPr>
          <w:rFonts w:ascii="Calibri" w:eastAsia="Calibri" w:hAnsi="Calibri" w:cs="Calibri"/>
        </w:rPr>
        <w:t>Stade 1 :</w:t>
      </w:r>
      <w:r>
        <w:rPr>
          <w:rFonts w:ascii="Calibri" w:eastAsia="Calibri" w:hAnsi="Calibri" w:cs="Calibri"/>
        </w:rPr>
        <w:tab/>
        <w:t>Je suis essoufflé quand je me dépêche à plat ou quand je monte une pente légère.</w:t>
      </w:r>
    </w:p>
    <w:p w14:paraId="15D92EBE" w14:textId="77777777" w:rsidR="006F3E0E" w:rsidRDefault="006F3E0E" w:rsidP="006F3E0E">
      <w:pPr>
        <w:widowControl w:val="0"/>
        <w:ind w:left="993" w:hanging="993"/>
        <w:rPr>
          <w:rFonts w:ascii="Calibri" w:eastAsia="Calibri" w:hAnsi="Calibri" w:cs="Calibri"/>
        </w:rPr>
      </w:pPr>
      <w:r>
        <w:rPr>
          <w:rFonts w:ascii="Calibri" w:eastAsia="Calibri" w:hAnsi="Calibri" w:cs="Calibri"/>
        </w:rPr>
        <w:t>Stade 2 :</w:t>
      </w:r>
      <w:r>
        <w:rPr>
          <w:rFonts w:ascii="Calibri" w:eastAsia="Calibri" w:hAnsi="Calibri" w:cs="Calibri"/>
        </w:rPr>
        <w:tab/>
        <w:t>Je marche moins vite que les gens de mon âge à plat ou je dois m’arrêter quand je marche à mon rythme à plat.</w:t>
      </w:r>
    </w:p>
    <w:p w14:paraId="47E2E69F" w14:textId="77777777" w:rsidR="006F3E0E" w:rsidRDefault="006F3E0E" w:rsidP="006F3E0E">
      <w:pPr>
        <w:widowControl w:val="0"/>
        <w:ind w:left="993" w:hanging="993"/>
        <w:rPr>
          <w:rFonts w:ascii="Calibri" w:eastAsia="Calibri" w:hAnsi="Calibri" w:cs="Calibri"/>
        </w:rPr>
      </w:pPr>
      <w:r>
        <w:rPr>
          <w:rFonts w:ascii="Calibri" w:eastAsia="Calibri" w:hAnsi="Calibri" w:cs="Calibri"/>
        </w:rPr>
        <w:t>Stade 3 :</w:t>
      </w:r>
      <w:r>
        <w:rPr>
          <w:rFonts w:ascii="Calibri" w:eastAsia="Calibri" w:hAnsi="Calibri" w:cs="Calibri"/>
        </w:rPr>
        <w:tab/>
        <w:t>Je m’arrête pour respirer après 90 mètres ou après quelques minutes à plat.</w:t>
      </w:r>
    </w:p>
    <w:p w14:paraId="66B6330F" w14:textId="77777777" w:rsidR="006F3E0E" w:rsidRDefault="006F3E0E" w:rsidP="006F3E0E">
      <w:pPr>
        <w:widowControl w:val="0"/>
        <w:pBdr>
          <w:bottom w:val="single" w:sz="4" w:space="1" w:color="000000"/>
        </w:pBdr>
        <w:ind w:left="993" w:hanging="993"/>
        <w:rPr>
          <w:rFonts w:ascii="Calibri" w:eastAsia="Calibri" w:hAnsi="Calibri" w:cs="Calibri"/>
        </w:rPr>
      </w:pPr>
      <w:r>
        <w:rPr>
          <w:rFonts w:ascii="Calibri" w:eastAsia="Calibri" w:hAnsi="Calibri" w:cs="Calibri"/>
        </w:rPr>
        <w:t>Stade 4 :</w:t>
      </w:r>
      <w:r>
        <w:rPr>
          <w:rFonts w:ascii="Calibri" w:eastAsia="Calibri" w:hAnsi="Calibri" w:cs="Calibri"/>
        </w:rPr>
        <w:tab/>
        <w:t>Je suis trop essoufflé pour quitter ma maison ou je suis essoufflé rien qu’à m’habiller.</w:t>
      </w:r>
    </w:p>
    <w:p w14:paraId="76D1A35B" w14:textId="77777777" w:rsidR="006F3E0E" w:rsidRDefault="006F3E0E" w:rsidP="006F3E0E"/>
    <w:p w14:paraId="6374E340" w14:textId="77777777" w:rsidR="006F3E0E" w:rsidRDefault="006F3E0E" w:rsidP="006F3E0E">
      <w:pPr>
        <w:widowControl w:val="0"/>
        <w:spacing w:line="276" w:lineRule="auto"/>
      </w:pPr>
      <w:r>
        <w:t>La fréquence et la gravité des exacerbations vont rentrer aussi en compte dans le score de gravité final :</w:t>
      </w:r>
    </w:p>
    <w:p w14:paraId="163EFE92" w14:textId="77777777" w:rsidR="006F3E0E" w:rsidRDefault="006F3E0E" w:rsidP="006F3E0E">
      <w:pPr>
        <w:widowControl w:val="0"/>
        <w:spacing w:line="276" w:lineRule="auto"/>
      </w:pPr>
      <w:r>
        <w:t>- La survenue de plus de 2 exacerbations par an, et/ou la survenue d’au moins 1 exacerbation grave (c’est-à-dire nécessitant une hospitalisation) définissent le phénotype « </w:t>
      </w:r>
      <w:r>
        <w:rPr>
          <w:b/>
          <w:bCs/>
        </w:rPr>
        <w:t xml:space="preserve">à risque d’exacerbations » </w:t>
      </w:r>
      <w:r>
        <w:t>(aussi appelé « exacerbateur fréquent », mais moins adapté aux patients qui ne font qu’une exacerbation grave par an).</w:t>
      </w:r>
    </w:p>
    <w:p w14:paraId="09B8E53C" w14:textId="77777777" w:rsidR="006F3E0E" w:rsidRDefault="006F3E0E" w:rsidP="006F3E0E">
      <w:pPr>
        <w:widowControl w:val="0"/>
        <w:spacing w:line="276" w:lineRule="auto"/>
      </w:pPr>
      <w:r>
        <w:t>- Ce phénotype est un facteur de mauvais pronostic et fait classer le patient en groupe E.</w:t>
      </w:r>
    </w:p>
    <w:p w14:paraId="153ED922" w14:textId="0D8F74DC" w:rsidR="006F3E0E" w:rsidRDefault="006F3E0E" w:rsidP="006F3E0E">
      <w:pPr>
        <w:widowControl w:val="0"/>
        <w:spacing w:line="276" w:lineRule="auto"/>
      </w:pPr>
      <w:r w:rsidRPr="006F3E0E">
        <w:t xml:space="preserve">- L’absence d’hospitalisation avec au maximum une exacerbation par an fait classer le patient en groupe A ou B, selon que la dyspnée est </w:t>
      </w:r>
      <w:proofErr w:type="spellStart"/>
      <w:r w:rsidRPr="006F3E0E">
        <w:t>mMRC</w:t>
      </w:r>
      <w:proofErr w:type="spellEnd"/>
      <w:r w:rsidRPr="006F3E0E">
        <w:t xml:space="preserve"> 0/1 ou ≥ 2.</w:t>
      </w:r>
    </w:p>
    <w:p w14:paraId="271CB8E2" w14:textId="77777777" w:rsidR="006F3E0E" w:rsidRDefault="006F3E0E" w:rsidP="006F3E0E">
      <w:pPr>
        <w:widowControl w:val="0"/>
        <w:spacing w:line="276" w:lineRule="auto"/>
      </w:pPr>
    </w:p>
    <w:p w14:paraId="13ED6D2D" w14:textId="77777777" w:rsidR="006F3E0E" w:rsidRDefault="006F3E0E" w:rsidP="006F3E0E">
      <w:pPr>
        <w:pStyle w:val="lgende"/>
      </w:pPr>
      <w:r>
        <w:t>Tableau 4 : Sévérité de la BPCO </w:t>
      </w:r>
      <w:r>
        <w:rPr>
          <w:b/>
          <w:bCs/>
        </w:rPr>
        <w:t xml:space="preserve">3. </w:t>
      </w:r>
      <w:r>
        <w:t xml:space="preserve">La classification GOLD « A-B-E » </w:t>
      </w:r>
    </w:p>
    <w:p w14:paraId="16821E3C" w14:textId="77777777" w:rsidR="006F3E0E" w:rsidRDefault="006F3E0E" w:rsidP="006F3E0E">
      <w:pPr>
        <w:pStyle w:val="lgende"/>
      </w:pPr>
      <w:r>
        <w:t>A : faible risque d’exacerbations, peu de symptômes.</w:t>
      </w:r>
    </w:p>
    <w:p w14:paraId="18CE90D5" w14:textId="77777777" w:rsidR="006F3E0E" w:rsidRDefault="006F3E0E" w:rsidP="006F3E0E">
      <w:pPr>
        <w:pStyle w:val="lgende"/>
      </w:pPr>
      <w:r>
        <w:lastRenderedPageBreak/>
        <w:t>B : faible risque d’exacerbations, symptômes significatifs.</w:t>
      </w:r>
    </w:p>
    <w:p w14:paraId="4796F539" w14:textId="77777777" w:rsidR="006F3E0E" w:rsidRDefault="006F3E0E" w:rsidP="006F3E0E">
      <w:pPr>
        <w:pStyle w:val="lgende"/>
      </w:pPr>
      <w:r>
        <w:t>E : à risque d’exacerbation.</w:t>
      </w:r>
    </w:p>
    <w:p w14:paraId="4CE9E26B" w14:textId="618C0B6F" w:rsidR="006F3E0E" w:rsidRPr="006F3E0E" w:rsidRDefault="006F3E0E" w:rsidP="006F3E0E">
      <w:pPr>
        <w:pBdr>
          <w:top w:val="nil"/>
          <w:left w:val="nil"/>
          <w:bottom w:val="nil"/>
          <w:right w:val="nil"/>
          <w:between w:val="nil"/>
        </w:pBdr>
        <w:spacing w:line="276" w:lineRule="auto"/>
        <w:rPr>
          <w:rFonts w:ascii="Arial" w:eastAsia="Arial" w:hAnsi="Arial" w:cs="Arial"/>
          <w:i/>
          <w:iCs/>
          <w:sz w:val="18"/>
          <w:szCs w:val="18"/>
        </w:rPr>
      </w:pPr>
      <w:r>
        <w:rPr>
          <w:rFonts w:ascii="Arial" w:eastAsia="Arial" w:hAnsi="Arial" w:cs="Arial"/>
          <w:i/>
          <w:iCs/>
          <w:sz w:val="18"/>
          <w:szCs w:val="18"/>
        </w:rPr>
        <w:t>Les classes C et D ont été abandonnées et réunies en une seule, « E ».</w:t>
      </w:r>
    </w:p>
    <w:tbl>
      <w:tblPr>
        <w:tblW w:w="4715" w:type="dxa"/>
        <w:tblInd w:w="2231" w:type="dxa"/>
        <w:tblLayout w:type="fixed"/>
        <w:tblLook w:val="0000" w:firstRow="0" w:lastRow="0" w:firstColumn="0" w:lastColumn="0" w:noHBand="0" w:noVBand="0"/>
      </w:tblPr>
      <w:tblGrid>
        <w:gridCol w:w="2089"/>
        <w:gridCol w:w="1262"/>
        <w:gridCol w:w="1364"/>
      </w:tblGrid>
      <w:tr w:rsidR="006F3E0E" w14:paraId="50EEEEDB" w14:textId="77777777" w:rsidTr="006F3E0E">
        <w:trPr>
          <w:cantSplit/>
        </w:trPr>
        <w:tc>
          <w:tcPr>
            <w:tcW w:w="2089" w:type="dxa"/>
            <w:tcBorders>
              <w:bottom w:val="single" w:sz="18" w:space="0" w:color="747474" w:themeColor="background2" w:themeShade="80"/>
              <w:right w:val="single" w:sz="18" w:space="0" w:color="747474" w:themeColor="background2" w:themeShade="80"/>
            </w:tcBorders>
            <w:shd w:val="clear" w:color="auto" w:fill="FFFFFF"/>
          </w:tcPr>
          <w:p w14:paraId="1373EE88" w14:textId="77777777" w:rsidR="006F3E0E" w:rsidRDefault="006F3E0E" w:rsidP="0094705B">
            <w:pPr>
              <w:spacing w:line="276" w:lineRule="auto"/>
              <w:jc w:val="center"/>
              <w:rPr>
                <w:b/>
                <w:bCs/>
                <w:color w:val="FFFFFF"/>
              </w:rPr>
            </w:pPr>
          </w:p>
        </w:tc>
        <w:tc>
          <w:tcPr>
            <w:tcW w:w="2626" w:type="dxa"/>
            <w:gridSpan w:val="2"/>
            <w:tcBorders>
              <w:top w:val="single" w:sz="18" w:space="0" w:color="747474" w:themeColor="background2" w:themeShade="80"/>
              <w:left w:val="single" w:sz="18" w:space="0" w:color="747474" w:themeColor="background2" w:themeShade="80"/>
              <w:bottom w:val="single" w:sz="18" w:space="0" w:color="747474" w:themeColor="background2" w:themeShade="80"/>
              <w:right w:val="single" w:sz="18" w:space="0" w:color="747474" w:themeColor="background2" w:themeShade="80"/>
            </w:tcBorders>
            <w:shd w:val="clear" w:color="auto" w:fill="D1D1D1" w:themeFill="background2" w:themeFillShade="E6"/>
          </w:tcPr>
          <w:p w14:paraId="61929F1C" w14:textId="77777777" w:rsidR="006F3E0E" w:rsidRPr="006F3E0E" w:rsidRDefault="006F3E0E" w:rsidP="0094705B">
            <w:pPr>
              <w:spacing w:line="276" w:lineRule="auto"/>
              <w:jc w:val="center"/>
              <w:rPr>
                <w:b/>
                <w:bCs/>
                <w:color w:val="000000" w:themeColor="text1"/>
              </w:rPr>
            </w:pPr>
            <w:r w:rsidRPr="006F3E0E">
              <w:rPr>
                <w:b/>
                <w:bCs/>
                <w:color w:val="000000" w:themeColor="text1"/>
              </w:rPr>
              <w:t>Groupes</w:t>
            </w:r>
          </w:p>
        </w:tc>
      </w:tr>
      <w:tr w:rsidR="006F3E0E" w14:paraId="39BBC4FC" w14:textId="77777777" w:rsidTr="006F3E0E">
        <w:trPr>
          <w:cantSplit/>
        </w:trPr>
        <w:tc>
          <w:tcPr>
            <w:tcW w:w="2089" w:type="dxa"/>
            <w:tcBorders>
              <w:top w:val="single" w:sz="18" w:space="0" w:color="747474" w:themeColor="background2" w:themeShade="80"/>
              <w:left w:val="single" w:sz="18" w:space="0" w:color="747474" w:themeColor="background2" w:themeShade="80"/>
              <w:bottom w:val="single" w:sz="18" w:space="0" w:color="747474" w:themeColor="background2" w:themeShade="80"/>
              <w:right w:val="single" w:sz="18" w:space="0" w:color="747474" w:themeColor="background2" w:themeShade="80"/>
            </w:tcBorders>
            <w:shd w:val="clear" w:color="auto" w:fill="D1D1D1" w:themeFill="background2" w:themeFillShade="E6"/>
          </w:tcPr>
          <w:p w14:paraId="794E20CC" w14:textId="77777777" w:rsidR="006F3E0E" w:rsidRPr="006F3E0E" w:rsidRDefault="006F3E0E" w:rsidP="0094705B">
            <w:pPr>
              <w:spacing w:line="276" w:lineRule="auto"/>
              <w:jc w:val="center"/>
              <w:rPr>
                <w:b/>
                <w:bCs/>
                <w:color w:val="000000" w:themeColor="text1"/>
              </w:rPr>
            </w:pPr>
            <w:r w:rsidRPr="006F3E0E">
              <w:rPr>
                <w:b/>
                <w:bCs/>
                <w:color w:val="000000" w:themeColor="text1"/>
              </w:rPr>
              <w:t>Exacerbations</w:t>
            </w:r>
          </w:p>
        </w:tc>
        <w:tc>
          <w:tcPr>
            <w:tcW w:w="2626" w:type="dxa"/>
            <w:gridSpan w:val="2"/>
            <w:tcBorders>
              <w:top w:val="single" w:sz="18" w:space="0" w:color="747474" w:themeColor="background2" w:themeShade="80"/>
              <w:left w:val="single" w:sz="18" w:space="0" w:color="747474" w:themeColor="background2" w:themeShade="80"/>
              <w:bottom w:val="single" w:sz="18" w:space="0" w:color="747474" w:themeColor="background2" w:themeShade="80"/>
            </w:tcBorders>
          </w:tcPr>
          <w:p w14:paraId="454D18C3" w14:textId="77777777" w:rsidR="006F3E0E" w:rsidRDefault="006F3E0E" w:rsidP="0094705B">
            <w:pPr>
              <w:spacing w:line="276" w:lineRule="auto"/>
              <w:jc w:val="center"/>
              <w:rPr>
                <w:b/>
                <w:bCs/>
              </w:rPr>
            </w:pPr>
          </w:p>
        </w:tc>
      </w:tr>
      <w:tr w:rsidR="006F3E0E" w14:paraId="67F251A9" w14:textId="77777777" w:rsidTr="006F3E0E">
        <w:trPr>
          <w:cantSplit/>
          <w:trHeight w:val="646"/>
        </w:trPr>
        <w:tc>
          <w:tcPr>
            <w:tcW w:w="2089" w:type="dxa"/>
            <w:tcBorders>
              <w:top w:val="single" w:sz="18" w:space="0" w:color="747474" w:themeColor="background2" w:themeShade="80"/>
              <w:left w:val="single" w:sz="18" w:space="0" w:color="747474" w:themeColor="background2" w:themeShade="80"/>
              <w:bottom w:val="single" w:sz="18" w:space="0" w:color="747474" w:themeColor="background2" w:themeShade="80"/>
              <w:right w:val="single" w:sz="18" w:space="0" w:color="747474" w:themeColor="background2" w:themeShade="80"/>
            </w:tcBorders>
            <w:vAlign w:val="center"/>
          </w:tcPr>
          <w:p w14:paraId="7380D0B5" w14:textId="618D097B" w:rsidR="006F3E0E" w:rsidRDefault="006F3E0E" w:rsidP="0094705B">
            <w:pPr>
              <w:spacing w:line="276" w:lineRule="auto"/>
              <w:jc w:val="center"/>
            </w:pPr>
            <w:r w:rsidRPr="006F3E0E">
              <w:t>≥ 2/an ou ≥ 1/an avec hospitalisation</w:t>
            </w:r>
          </w:p>
        </w:tc>
        <w:tc>
          <w:tcPr>
            <w:tcW w:w="2626" w:type="dxa"/>
            <w:gridSpan w:val="2"/>
            <w:tcBorders>
              <w:top w:val="single" w:sz="18" w:space="0" w:color="747474" w:themeColor="background2" w:themeShade="80"/>
              <w:left w:val="single" w:sz="18" w:space="0" w:color="747474" w:themeColor="background2" w:themeShade="80"/>
              <w:bottom w:val="single" w:sz="18" w:space="0" w:color="747474" w:themeColor="background2" w:themeShade="80"/>
              <w:right w:val="single" w:sz="18" w:space="0" w:color="747474" w:themeColor="background2" w:themeShade="80"/>
            </w:tcBorders>
            <w:vAlign w:val="center"/>
          </w:tcPr>
          <w:p w14:paraId="2FD3B5CD" w14:textId="77777777" w:rsidR="006F3E0E" w:rsidRDefault="006F3E0E" w:rsidP="0094705B">
            <w:pPr>
              <w:spacing w:line="276" w:lineRule="auto"/>
              <w:jc w:val="center"/>
              <w:rPr>
                <w:b/>
                <w:bCs/>
              </w:rPr>
            </w:pPr>
            <w:r>
              <w:rPr>
                <w:b/>
                <w:bCs/>
              </w:rPr>
              <w:t xml:space="preserve">E </w:t>
            </w:r>
            <w:r>
              <w:rPr>
                <w:i/>
                <w:iCs/>
              </w:rPr>
              <w:t>(anciennement C et D)</w:t>
            </w:r>
          </w:p>
        </w:tc>
      </w:tr>
      <w:tr w:rsidR="006F3E0E" w14:paraId="7CDD00E4" w14:textId="77777777" w:rsidTr="006F3E0E">
        <w:trPr>
          <w:cantSplit/>
          <w:trHeight w:val="942"/>
        </w:trPr>
        <w:tc>
          <w:tcPr>
            <w:tcW w:w="2089" w:type="dxa"/>
            <w:tcBorders>
              <w:top w:val="single" w:sz="18" w:space="0" w:color="747474" w:themeColor="background2" w:themeShade="80"/>
              <w:left w:val="single" w:sz="18" w:space="0" w:color="747474" w:themeColor="background2" w:themeShade="80"/>
              <w:bottom w:val="single" w:sz="18" w:space="0" w:color="747474" w:themeColor="background2" w:themeShade="80"/>
              <w:right w:val="single" w:sz="18" w:space="0" w:color="747474" w:themeColor="background2" w:themeShade="80"/>
            </w:tcBorders>
            <w:vAlign w:val="center"/>
          </w:tcPr>
          <w:p w14:paraId="5633B894" w14:textId="77777777" w:rsidR="006F3E0E" w:rsidRDefault="006F3E0E" w:rsidP="0094705B">
            <w:pPr>
              <w:spacing w:line="276" w:lineRule="auto"/>
              <w:jc w:val="center"/>
            </w:pPr>
            <w:r>
              <w:t xml:space="preserve"> 0 ou 1/an sans hospitalisation</w:t>
            </w:r>
          </w:p>
        </w:tc>
        <w:tc>
          <w:tcPr>
            <w:tcW w:w="1262" w:type="dxa"/>
            <w:tcBorders>
              <w:top w:val="single" w:sz="18" w:space="0" w:color="747474" w:themeColor="background2" w:themeShade="80"/>
              <w:left w:val="single" w:sz="18" w:space="0" w:color="747474" w:themeColor="background2" w:themeShade="80"/>
              <w:bottom w:val="single" w:sz="18" w:space="0" w:color="747474" w:themeColor="background2" w:themeShade="80"/>
              <w:right w:val="single" w:sz="18" w:space="0" w:color="747474" w:themeColor="background2" w:themeShade="80"/>
            </w:tcBorders>
            <w:vAlign w:val="center"/>
          </w:tcPr>
          <w:p w14:paraId="193CED18" w14:textId="77777777" w:rsidR="006F3E0E" w:rsidRDefault="006F3E0E" w:rsidP="0094705B">
            <w:pPr>
              <w:spacing w:line="276" w:lineRule="auto"/>
              <w:jc w:val="center"/>
              <w:rPr>
                <w:b/>
                <w:bCs/>
              </w:rPr>
            </w:pPr>
            <w:r>
              <w:rPr>
                <w:b/>
                <w:bCs/>
              </w:rPr>
              <w:t>A</w:t>
            </w:r>
          </w:p>
        </w:tc>
        <w:tc>
          <w:tcPr>
            <w:tcW w:w="1364" w:type="dxa"/>
            <w:tcBorders>
              <w:top w:val="single" w:sz="18" w:space="0" w:color="747474" w:themeColor="background2" w:themeShade="80"/>
              <w:left w:val="single" w:sz="18" w:space="0" w:color="747474" w:themeColor="background2" w:themeShade="80"/>
              <w:bottom w:val="single" w:sz="18" w:space="0" w:color="747474" w:themeColor="background2" w:themeShade="80"/>
              <w:right w:val="single" w:sz="18" w:space="0" w:color="747474" w:themeColor="background2" w:themeShade="80"/>
            </w:tcBorders>
            <w:vAlign w:val="center"/>
          </w:tcPr>
          <w:p w14:paraId="516077B3" w14:textId="77777777" w:rsidR="006F3E0E" w:rsidRDefault="006F3E0E" w:rsidP="0094705B">
            <w:pPr>
              <w:spacing w:line="276" w:lineRule="auto"/>
              <w:jc w:val="center"/>
              <w:rPr>
                <w:b/>
                <w:bCs/>
              </w:rPr>
            </w:pPr>
            <w:r>
              <w:rPr>
                <w:b/>
                <w:bCs/>
              </w:rPr>
              <w:t>B</w:t>
            </w:r>
          </w:p>
        </w:tc>
      </w:tr>
      <w:tr w:rsidR="006F3E0E" w14:paraId="5290EA2F" w14:textId="77777777" w:rsidTr="006F3E0E">
        <w:trPr>
          <w:cantSplit/>
        </w:trPr>
        <w:tc>
          <w:tcPr>
            <w:tcW w:w="2089" w:type="dxa"/>
            <w:tcBorders>
              <w:top w:val="single" w:sz="18" w:space="0" w:color="747474" w:themeColor="background2" w:themeShade="80"/>
              <w:right w:val="single" w:sz="18" w:space="0" w:color="747474" w:themeColor="background2" w:themeShade="80"/>
            </w:tcBorders>
            <w:shd w:val="clear" w:color="auto" w:fill="FFFFFF"/>
          </w:tcPr>
          <w:p w14:paraId="45781620" w14:textId="77777777" w:rsidR="006F3E0E" w:rsidRDefault="006F3E0E" w:rsidP="0094705B">
            <w:pPr>
              <w:spacing w:line="276" w:lineRule="auto"/>
              <w:jc w:val="center"/>
              <w:rPr>
                <w:i/>
                <w:iCs/>
              </w:rPr>
            </w:pPr>
          </w:p>
        </w:tc>
        <w:tc>
          <w:tcPr>
            <w:tcW w:w="1262" w:type="dxa"/>
            <w:tcBorders>
              <w:top w:val="single" w:sz="18" w:space="0" w:color="747474" w:themeColor="background2" w:themeShade="80"/>
              <w:left w:val="single" w:sz="18" w:space="0" w:color="747474" w:themeColor="background2" w:themeShade="80"/>
              <w:bottom w:val="single" w:sz="18" w:space="0" w:color="747474" w:themeColor="background2" w:themeShade="80"/>
              <w:right w:val="single" w:sz="18" w:space="0" w:color="747474" w:themeColor="background2" w:themeShade="80"/>
            </w:tcBorders>
          </w:tcPr>
          <w:p w14:paraId="2AF5A7A9" w14:textId="77777777" w:rsidR="006F3E0E" w:rsidRDefault="006F3E0E" w:rsidP="0094705B">
            <w:pPr>
              <w:spacing w:line="276" w:lineRule="auto"/>
              <w:jc w:val="center"/>
              <w:rPr>
                <w:i/>
                <w:iCs/>
              </w:rPr>
            </w:pPr>
            <w:proofErr w:type="spellStart"/>
            <w:proofErr w:type="gramStart"/>
            <w:r>
              <w:rPr>
                <w:i/>
                <w:iCs/>
              </w:rPr>
              <w:t>mMRC</w:t>
            </w:r>
            <w:proofErr w:type="spellEnd"/>
            <w:proofErr w:type="gramEnd"/>
            <w:r>
              <w:rPr>
                <w:i/>
                <w:iCs/>
              </w:rPr>
              <w:t xml:space="preserve">&lt;2 </w:t>
            </w:r>
          </w:p>
        </w:tc>
        <w:tc>
          <w:tcPr>
            <w:tcW w:w="1364" w:type="dxa"/>
            <w:tcBorders>
              <w:top w:val="single" w:sz="18" w:space="0" w:color="747474" w:themeColor="background2" w:themeShade="80"/>
              <w:left w:val="single" w:sz="18" w:space="0" w:color="747474" w:themeColor="background2" w:themeShade="80"/>
              <w:bottom w:val="single" w:sz="18" w:space="0" w:color="747474" w:themeColor="background2" w:themeShade="80"/>
              <w:right w:val="single" w:sz="18" w:space="0" w:color="747474" w:themeColor="background2" w:themeShade="80"/>
            </w:tcBorders>
          </w:tcPr>
          <w:p w14:paraId="2D2DD6A9" w14:textId="77777777" w:rsidR="006F3E0E" w:rsidRDefault="00000000" w:rsidP="0094705B">
            <w:pPr>
              <w:spacing w:line="276" w:lineRule="auto"/>
              <w:jc w:val="center"/>
              <w:rPr>
                <w:i/>
                <w:iCs/>
                <w:u w:val="single"/>
              </w:rPr>
            </w:pPr>
            <w:sdt>
              <w:sdtPr>
                <w:tag w:val="goog_rdk_3"/>
                <w:id w:val="-320832604"/>
              </w:sdtPr>
              <w:sdtContent>
                <w:proofErr w:type="gramStart"/>
                <w:r w:rsidR="006F3E0E">
                  <w:rPr>
                    <w:rFonts w:ascii="Arial Unicode MS" w:eastAsia="Arial Unicode MS" w:hAnsi="Arial Unicode MS" w:cs="Arial Unicode MS"/>
                    <w:i/>
                    <w:iCs/>
                  </w:rPr>
                  <w:t>mMRC</w:t>
                </w:r>
                <w:proofErr w:type="gramEnd"/>
                <w:r w:rsidR="006F3E0E">
                  <w:rPr>
                    <w:rFonts w:ascii="Arial Unicode MS" w:eastAsia="Arial Unicode MS" w:hAnsi="Arial Unicode MS" w:cs="Arial Unicode MS"/>
                    <w:i/>
                    <w:iCs/>
                  </w:rPr>
                  <w:t xml:space="preserve">≥2 </w:t>
                </w:r>
              </w:sdtContent>
            </w:sdt>
          </w:p>
        </w:tc>
      </w:tr>
      <w:tr w:rsidR="006F3E0E" w14:paraId="2F1050EF" w14:textId="77777777" w:rsidTr="006F3E0E">
        <w:tc>
          <w:tcPr>
            <w:tcW w:w="2089" w:type="dxa"/>
            <w:shd w:val="clear" w:color="auto" w:fill="FFFFFF"/>
          </w:tcPr>
          <w:p w14:paraId="1C74F048" w14:textId="77777777" w:rsidR="006F3E0E" w:rsidRDefault="006F3E0E" w:rsidP="0094705B">
            <w:pPr>
              <w:tabs>
                <w:tab w:val="left" w:pos="570"/>
                <w:tab w:val="center" w:pos="2780"/>
              </w:tabs>
              <w:spacing w:line="276" w:lineRule="auto"/>
              <w:jc w:val="center"/>
              <w:rPr>
                <w:b/>
                <w:bCs/>
                <w:i/>
                <w:iCs/>
                <w:color w:val="FFFFFF"/>
              </w:rPr>
            </w:pPr>
          </w:p>
        </w:tc>
        <w:tc>
          <w:tcPr>
            <w:tcW w:w="2626" w:type="dxa"/>
            <w:gridSpan w:val="2"/>
            <w:tcBorders>
              <w:top w:val="single" w:sz="18" w:space="0" w:color="747474" w:themeColor="background2" w:themeShade="80"/>
            </w:tcBorders>
            <w:shd w:val="clear" w:color="auto" w:fill="D1D1D1" w:themeFill="background2" w:themeFillShade="E6"/>
          </w:tcPr>
          <w:p w14:paraId="4D32C083" w14:textId="77777777" w:rsidR="006F3E0E" w:rsidRPr="006F3E0E" w:rsidRDefault="006F3E0E" w:rsidP="0094705B">
            <w:pPr>
              <w:tabs>
                <w:tab w:val="left" w:pos="570"/>
                <w:tab w:val="center" w:pos="2780"/>
              </w:tabs>
              <w:spacing w:line="276" w:lineRule="auto"/>
              <w:jc w:val="center"/>
              <w:rPr>
                <w:b/>
                <w:bCs/>
                <w:color w:val="000000" w:themeColor="text1"/>
              </w:rPr>
            </w:pPr>
            <w:r w:rsidRPr="006F3E0E">
              <w:rPr>
                <w:b/>
                <w:bCs/>
                <w:color w:val="000000" w:themeColor="text1"/>
              </w:rPr>
              <w:t>Dyspnée d’effort</w:t>
            </w:r>
          </w:p>
        </w:tc>
      </w:tr>
    </w:tbl>
    <w:p w14:paraId="1FFDB785" w14:textId="77777777" w:rsidR="006F3E0E" w:rsidRDefault="006F3E0E" w:rsidP="006F3E0E">
      <w:pPr>
        <w:rPr>
          <w:b/>
          <w:bCs/>
          <w:i/>
          <w:iCs/>
        </w:rPr>
      </w:pPr>
    </w:p>
    <w:p w14:paraId="637622DC" w14:textId="77777777" w:rsidR="006F3E0E" w:rsidRDefault="006F3E0E" w:rsidP="006F3E0E">
      <w:pPr>
        <w:pStyle w:val="titredepartie"/>
      </w:pPr>
      <w:r>
        <w:t>TRAITEMENTS ET PRISE EN CHARGE</w:t>
      </w:r>
    </w:p>
    <w:p w14:paraId="46243EF1" w14:textId="77777777" w:rsidR="006F3E0E" w:rsidRDefault="006F3E0E" w:rsidP="006F3E0E">
      <w:pPr>
        <w:spacing w:line="276" w:lineRule="auto"/>
      </w:pPr>
      <w:r>
        <w:t xml:space="preserve">Les objectifs du traitement de la BPCO sont les suivants : </w:t>
      </w:r>
    </w:p>
    <w:p w14:paraId="778F8867" w14:textId="77777777" w:rsidR="006F3E0E" w:rsidRDefault="006F3E0E" w:rsidP="006F3E0E">
      <w:pPr>
        <w:widowControl w:val="0"/>
        <w:spacing w:line="276" w:lineRule="auto"/>
      </w:pPr>
      <w:r>
        <w:t>- Diminuer le handicap : améliorer la dyspnée, la capacité d’exercice et la qualité de vie.</w:t>
      </w:r>
    </w:p>
    <w:p w14:paraId="5870C3FD" w14:textId="77777777" w:rsidR="006F3E0E" w:rsidRDefault="006F3E0E" w:rsidP="006F3E0E">
      <w:pPr>
        <w:widowControl w:val="0"/>
        <w:spacing w:line="276" w:lineRule="auto"/>
      </w:pPr>
      <w:r>
        <w:t>- Réduire les risques futurs :</w:t>
      </w:r>
    </w:p>
    <w:p w14:paraId="791BA264" w14:textId="77777777" w:rsidR="006F3E0E" w:rsidRDefault="006F3E0E">
      <w:pPr>
        <w:widowControl w:val="0"/>
        <w:numPr>
          <w:ilvl w:val="1"/>
          <w:numId w:val="17"/>
        </w:numPr>
        <w:spacing w:line="276" w:lineRule="auto"/>
        <w:ind w:left="284" w:hanging="142"/>
      </w:pPr>
      <w:r>
        <w:t>D’exacerbations et leur gravité (et d’hospitalisations, notamment en réanimation).</w:t>
      </w:r>
    </w:p>
    <w:p w14:paraId="3431BC3B" w14:textId="77777777" w:rsidR="006F3E0E" w:rsidRDefault="006F3E0E">
      <w:pPr>
        <w:widowControl w:val="0"/>
        <w:numPr>
          <w:ilvl w:val="1"/>
          <w:numId w:val="17"/>
        </w:numPr>
        <w:spacing w:line="276" w:lineRule="auto"/>
        <w:ind w:left="284" w:hanging="142"/>
      </w:pPr>
      <w:r>
        <w:t>De mortalité.</w:t>
      </w:r>
    </w:p>
    <w:p w14:paraId="730EFE78" w14:textId="77777777" w:rsidR="006F3E0E" w:rsidRDefault="006F3E0E">
      <w:pPr>
        <w:widowControl w:val="0"/>
        <w:numPr>
          <w:ilvl w:val="1"/>
          <w:numId w:val="17"/>
        </w:numPr>
        <w:spacing w:line="276" w:lineRule="auto"/>
        <w:ind w:left="284" w:hanging="142"/>
      </w:pPr>
      <w:r>
        <w:t>De déclin de la fonction respiratoire (suivi de la fonction respiratoire).</w:t>
      </w:r>
    </w:p>
    <w:p w14:paraId="21453609" w14:textId="77777777" w:rsidR="006F3E0E" w:rsidRDefault="006F3E0E">
      <w:pPr>
        <w:widowControl w:val="0"/>
        <w:numPr>
          <w:ilvl w:val="1"/>
          <w:numId w:val="17"/>
        </w:numPr>
        <w:spacing w:line="276" w:lineRule="auto"/>
        <w:ind w:left="284" w:hanging="142"/>
      </w:pPr>
      <w:r>
        <w:t>D’évolution vers l’insuffisance respiratoire chronique (item 208).</w:t>
      </w:r>
    </w:p>
    <w:p w14:paraId="7736B53B" w14:textId="77777777" w:rsidR="006F3E0E" w:rsidRDefault="006F3E0E" w:rsidP="006F3E0E">
      <w:pPr>
        <w:pBdr>
          <w:top w:val="nil"/>
          <w:left w:val="nil"/>
          <w:bottom w:val="nil"/>
          <w:right w:val="nil"/>
          <w:between w:val="nil"/>
        </w:pBdr>
        <w:tabs>
          <w:tab w:val="center" w:pos="4536"/>
          <w:tab w:val="right" w:pos="9072"/>
        </w:tabs>
        <w:spacing w:line="276" w:lineRule="auto"/>
        <w:rPr>
          <w:b/>
          <w:bCs/>
        </w:rPr>
      </w:pPr>
    </w:p>
    <w:p w14:paraId="08D3A0F5" w14:textId="77777777" w:rsidR="006F3E0E" w:rsidRDefault="006F3E0E" w:rsidP="006F3E0E">
      <w:pPr>
        <w:widowControl w:val="0"/>
        <w:spacing w:line="276" w:lineRule="auto"/>
      </w:pPr>
      <w:r>
        <w:t xml:space="preserve">- </w:t>
      </w:r>
      <w:r>
        <w:rPr>
          <w:u w:val="single"/>
        </w:rPr>
        <w:t>Sevrage tabagique</w:t>
      </w:r>
      <w:r>
        <w:t xml:space="preserve"> : avant tout, le sevrage total et définitif du tabac est la seule mesure qui modifie de façon certaine l’histoire naturelle de la maladie (cf. item 75). </w:t>
      </w:r>
    </w:p>
    <w:p w14:paraId="39D288AF" w14:textId="77777777" w:rsidR="006F3E0E" w:rsidRDefault="006F3E0E" w:rsidP="006F3E0E">
      <w:pPr>
        <w:widowControl w:val="0"/>
        <w:spacing w:line="276" w:lineRule="auto"/>
      </w:pPr>
    </w:p>
    <w:p w14:paraId="5CD26575" w14:textId="77777777" w:rsidR="006F3E0E" w:rsidRDefault="006F3E0E" w:rsidP="006F3E0E">
      <w:pPr>
        <w:widowControl w:val="0"/>
        <w:spacing w:line="276" w:lineRule="auto"/>
      </w:pPr>
      <w:r>
        <w:t xml:space="preserve">- </w:t>
      </w:r>
      <w:r>
        <w:rPr>
          <w:u w:val="single"/>
        </w:rPr>
        <w:t>Médicaments</w:t>
      </w:r>
      <w:r>
        <w:t xml:space="preserve"> : les indications des traitements médicamenteux de la BPCO sont résumées dans la figure 5. Elles dépendent des symptômes (dyspnée) et de la survenue d’exacerbations, indépendamment de la sévérité de l’obstruction bronchique. </w:t>
      </w:r>
    </w:p>
    <w:p w14:paraId="0E8B2913" w14:textId="77777777" w:rsidR="006F3E0E" w:rsidRDefault="006F3E0E" w:rsidP="006F3E0E">
      <w:pPr>
        <w:widowControl w:val="0"/>
        <w:spacing w:line="276" w:lineRule="auto"/>
      </w:pPr>
    </w:p>
    <w:p w14:paraId="0BB38324" w14:textId="77777777" w:rsidR="006F3E0E" w:rsidRDefault="006F3E0E" w:rsidP="006F3E0E">
      <w:pPr>
        <w:widowControl w:val="0"/>
        <w:spacing w:line="276" w:lineRule="auto"/>
      </w:pPr>
      <w:r>
        <w:t>Principe général en escalade du traitement médicamenteux dans la BPCO :</w:t>
      </w:r>
    </w:p>
    <w:p w14:paraId="00BAA944" w14:textId="77777777" w:rsidR="006F3E0E" w:rsidRDefault="006F3E0E" w:rsidP="006F3E0E">
      <w:pPr>
        <w:widowControl w:val="0"/>
        <w:spacing w:line="276" w:lineRule="auto"/>
      </w:pPr>
      <w:r>
        <w:t>- Le traitement débute par un bronchodilatateur inhalé au long cours et un traitement de secours par bronchodilatateur de courte durée d’action à prendre en cas de gêne respiratoire ou avant effort.</w:t>
      </w:r>
    </w:p>
    <w:p w14:paraId="13FC3720" w14:textId="77777777" w:rsidR="006F3E0E" w:rsidRDefault="006F3E0E" w:rsidP="006F3E0E">
      <w:pPr>
        <w:widowControl w:val="0"/>
        <w:spacing w:line="276" w:lineRule="auto"/>
      </w:pPr>
      <w:r>
        <w:t>- Puis bithérapie inhalée.</w:t>
      </w:r>
    </w:p>
    <w:p w14:paraId="4DDB7A8D" w14:textId="77777777" w:rsidR="006F3E0E" w:rsidRDefault="006F3E0E" w:rsidP="006F3E0E">
      <w:pPr>
        <w:widowControl w:val="0"/>
        <w:spacing w:line="276" w:lineRule="auto"/>
      </w:pPr>
      <w:r>
        <w:t xml:space="preserve">- Puis </w:t>
      </w:r>
      <w:r>
        <w:rPr>
          <w:u w:val="single"/>
        </w:rPr>
        <w:t>si exacerbations</w:t>
      </w:r>
      <w:r>
        <w:t xml:space="preserve"> trithérapie inhalée.</w:t>
      </w:r>
    </w:p>
    <w:p w14:paraId="77F953D7" w14:textId="77777777" w:rsidR="006F3E0E" w:rsidRDefault="006F3E0E" w:rsidP="006F3E0E">
      <w:pPr>
        <w:widowControl w:val="0"/>
        <w:spacing w:line="276" w:lineRule="auto"/>
      </w:pPr>
      <w:r>
        <w:t>- Puis si persistance d’une dyspnée sévère et/ou d’exacerbations malgré une prise en charge maximale, adressage à un pneumologue pour réévaluation globale et discussion de thérapeutiques d’exception (réduction d’emphysème, macrolides au long cours, biothérapies…).</w:t>
      </w:r>
    </w:p>
    <w:p w14:paraId="331254BE" w14:textId="77777777" w:rsidR="006F3E0E" w:rsidRDefault="006F3E0E" w:rsidP="006F3E0E">
      <w:pPr>
        <w:widowControl w:val="0"/>
        <w:spacing w:line="276" w:lineRule="auto"/>
        <w:rPr>
          <w:b/>
          <w:bCs/>
        </w:rPr>
      </w:pPr>
    </w:p>
    <w:p w14:paraId="6149DDC1" w14:textId="5A5E2656" w:rsidR="006F3E0E" w:rsidRDefault="006F3E0E" w:rsidP="006F3E0E">
      <w:pPr>
        <w:pStyle w:val="lgende"/>
      </w:pPr>
      <w:r>
        <w:t>Figure </w:t>
      </w:r>
      <w:r w:rsidR="00BF04C9">
        <w:t>4</w:t>
      </w:r>
      <w:r>
        <w:t xml:space="preserve"> : Indications des différents traitements médicamenteux. </w:t>
      </w:r>
    </w:p>
    <w:p w14:paraId="69CD220F" w14:textId="77777777" w:rsidR="006F3E0E" w:rsidRDefault="006F3E0E" w:rsidP="006F3E0E">
      <w:pPr>
        <w:pStyle w:val="lgende"/>
      </w:pPr>
      <w:r>
        <w:t>Flèches noires descendantes : majoration thérapeutique en cas d’effet insuffisant.</w:t>
      </w:r>
    </w:p>
    <w:p w14:paraId="7DA07755" w14:textId="77777777" w:rsidR="006F3E0E" w:rsidRDefault="006F3E0E" w:rsidP="006F3E0E">
      <w:pPr>
        <w:pStyle w:val="lgende"/>
      </w:pPr>
      <w:r>
        <w:t>Flèches grises montantes : décroissance/switch thérapeutique en cas d’effets indésirables des corticostéroïdes inhalés (pneumonie), en l’absence d’exacerbation dans l’historique (mauvaise indication initiale), ou en l’absence d’exacerbation dans l’année ET éosinophiles &lt; 300/mm</w:t>
      </w:r>
      <w:r>
        <w:rPr>
          <w:vertAlign w:val="superscript"/>
        </w:rPr>
        <w:t>3</w:t>
      </w:r>
      <w:r>
        <w:t xml:space="preserve">. </w:t>
      </w:r>
    </w:p>
    <w:p w14:paraId="100EE893" w14:textId="561CB91A" w:rsidR="006F3E0E" w:rsidRDefault="006F3E0E" w:rsidP="006F3E0E">
      <w:pPr>
        <w:widowControl w:val="0"/>
        <w:spacing w:line="276" w:lineRule="auto"/>
        <w:jc w:val="center"/>
      </w:pPr>
      <w:r>
        <w:lastRenderedPageBreak/>
        <w:t xml:space="preserve"> </w:t>
      </w:r>
      <w:r w:rsidR="004B4A90">
        <w:rPr>
          <w:noProof/>
        </w:rPr>
        <mc:AlternateContent>
          <mc:Choice Requires="wps">
            <w:drawing>
              <wp:anchor distT="0" distB="0" distL="114300" distR="114300" simplePos="0" relativeHeight="251913216" behindDoc="0" locked="0" layoutInCell="1" hidden="0" allowOverlap="1" wp14:anchorId="074C62EF" wp14:editId="752E1B68">
                <wp:simplePos x="0" y="0"/>
                <wp:positionH relativeFrom="column">
                  <wp:posOffset>3054313</wp:posOffset>
                </wp:positionH>
                <wp:positionV relativeFrom="paragraph">
                  <wp:posOffset>2883609</wp:posOffset>
                </wp:positionV>
                <wp:extent cx="1431670" cy="190500"/>
                <wp:effectExtent l="0" t="0" r="0" b="0"/>
                <wp:wrapNone/>
                <wp:docPr id="2" name="Rectangle 2"/>
                <wp:cNvGraphicFramePr/>
                <a:graphic xmlns:a="http://schemas.openxmlformats.org/drawingml/2006/main">
                  <a:graphicData uri="http://schemas.microsoft.com/office/word/2010/wordprocessingShape">
                    <wps:wsp>
                      <wps:cNvSpPr/>
                      <wps:spPr>
                        <a:xfrm>
                          <a:off x="0" y="0"/>
                          <a:ext cx="1431670" cy="190500"/>
                        </a:xfrm>
                        <a:prstGeom prst="rect">
                          <a:avLst/>
                        </a:prstGeom>
                        <a:noFill/>
                        <a:ln>
                          <a:noFill/>
                        </a:ln>
                      </wps:spPr>
                      <wps:txbx>
                        <w:txbxContent>
                          <w:p w14:paraId="29653E5D" w14:textId="56CC16CB" w:rsidR="006F3E0E" w:rsidRDefault="004B4A90">
                            <w:pPr>
                              <w:pStyle w:val="Paragraphedeliste"/>
                              <w:numPr>
                                <w:ilvl w:val="0"/>
                                <w:numId w:val="32"/>
                              </w:numPr>
                              <w:spacing w:line="240" w:lineRule="auto"/>
                              <w:textDirection w:val="btLr"/>
                            </w:pPr>
                            <w:proofErr w:type="gramStart"/>
                            <w:r>
                              <w:rPr>
                                <w:rFonts w:ascii="Calibri" w:eastAsia="Calibri" w:hAnsi="Calibri" w:cs="Calibri"/>
                                <w:sz w:val="13"/>
                              </w:rPr>
                              <w:t>b</w:t>
                            </w:r>
                            <w:r w:rsidR="006F3E0E" w:rsidRPr="004B4A90">
                              <w:rPr>
                                <w:rFonts w:ascii="Calibri" w:eastAsia="Calibri" w:hAnsi="Calibri" w:cs="Calibri"/>
                                <w:sz w:val="13"/>
                              </w:rPr>
                              <w:t>iothérapies</w:t>
                            </w:r>
                            <w:proofErr w:type="gramEnd"/>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74C62EF" id="Rectangle 2" o:spid="_x0000_s1029" style="position:absolute;left:0;text-align:left;margin-left:240.5pt;margin-top:227.05pt;width:112.75pt;height:1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" filled="f" stroked="f">
                <v:textbox inset="2.53958mm,1.2694mm,2.53958mm,1.2694mm">
                  <w:txbxContent>
                    <w:p w14:paraId="29653E5D" w14:textId="56CC16CB" w:rsidR="006F3E0E" w:rsidRDefault="004B4A90">
                      <w:pPr>
                        <w:pStyle w:val="Paragraphedeliste"/>
                        <w:numPr>
                          <w:ilvl w:val="0"/>
                          <w:numId w:val="32"/>
                        </w:numPr>
                        <w:spacing w:line="240" w:lineRule="auto"/>
                        <w:textDirection w:val="btLr"/>
                      </w:pPr>
                      <w:proofErr w:type="gramStart"/>
                      <w:r>
                        <w:rPr>
                          <w:rFonts w:ascii="Calibri" w:eastAsia="Calibri" w:hAnsi="Calibri" w:cs="Calibri"/>
                          <w:sz w:val="13"/>
                        </w:rPr>
                        <w:t>b</w:t>
                      </w:r>
                      <w:r w:rsidR="006F3E0E" w:rsidRPr="004B4A90">
                        <w:rPr>
                          <w:rFonts w:ascii="Calibri" w:eastAsia="Calibri" w:hAnsi="Calibri" w:cs="Calibri"/>
                          <w:sz w:val="13"/>
                        </w:rPr>
                        <w:t>iothérapies</w:t>
                      </w:r>
                      <w:proofErr w:type="gramEnd"/>
                    </w:p>
                  </w:txbxContent>
                </v:textbox>
              </v:rect>
            </w:pict>
          </mc:Fallback>
        </mc:AlternateContent>
      </w:r>
      <w:r w:rsidR="004B4A90">
        <w:rPr>
          <w:noProof/>
        </w:rPr>
        <mc:AlternateContent>
          <mc:Choice Requires="wps">
            <w:drawing>
              <wp:anchor distT="0" distB="0" distL="114300" distR="114300" simplePos="0" relativeHeight="251912192" behindDoc="0" locked="0" layoutInCell="1" hidden="0" allowOverlap="1" wp14:anchorId="63D62CD8" wp14:editId="2457606E">
                <wp:simplePos x="0" y="0"/>
                <wp:positionH relativeFrom="column">
                  <wp:posOffset>3043508</wp:posOffset>
                </wp:positionH>
                <wp:positionV relativeFrom="paragraph">
                  <wp:posOffset>2933213</wp:posOffset>
                </wp:positionV>
                <wp:extent cx="1446815" cy="120650"/>
                <wp:effectExtent l="0" t="0" r="0" b="0"/>
                <wp:wrapNone/>
                <wp:docPr id="4" name="Rectangle 4"/>
                <wp:cNvGraphicFramePr/>
                <a:graphic xmlns:a="http://schemas.openxmlformats.org/drawingml/2006/main">
                  <a:graphicData uri="http://schemas.microsoft.com/office/word/2010/wordprocessingShape">
                    <wps:wsp>
                      <wps:cNvSpPr/>
                      <wps:spPr>
                        <a:xfrm>
                          <a:off x="0" y="0"/>
                          <a:ext cx="1446815" cy="120650"/>
                        </a:xfrm>
                        <a:prstGeom prst="rect">
                          <a:avLst/>
                        </a:prstGeom>
                        <a:solidFill>
                          <a:srgbClr val="AFB0EC"/>
                        </a:solidFill>
                        <a:ln>
                          <a:noFill/>
                        </a:ln>
                      </wps:spPr>
                      <wps:txbx>
                        <w:txbxContent>
                          <w:p w14:paraId="43D23004" w14:textId="77777777" w:rsidR="006F3E0E" w:rsidRDefault="006F3E0E" w:rsidP="006F3E0E">
                            <w:pPr>
                              <w:spacing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ect w14:anchorId="63D62CD8" id="Rectangle 4" o:spid="_x0000_s1030" style="position:absolute;left:0;text-align:left;margin-left:239.65pt;margin-top:230.95pt;width:113.9pt;height:9.5pt;z-index:251912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" fillcolor="#afb0ec" stroked="f">
                <v:textbox inset="2.53958mm,2.53958mm,2.53958mm,2.53958mm">
                  <w:txbxContent>
                    <w:p w14:paraId="43D23004" w14:textId="77777777" w:rsidR="006F3E0E" w:rsidRDefault="006F3E0E" w:rsidP="006F3E0E">
                      <w:pPr>
                        <w:spacing w:line="240" w:lineRule="auto"/>
                        <w:jc w:val="left"/>
                        <w:textDirection w:val="btLr"/>
                      </w:pPr>
                    </w:p>
                  </w:txbxContent>
                </v:textbox>
              </v:rect>
            </w:pict>
          </mc:Fallback>
        </mc:AlternateContent>
      </w:r>
      <w:r>
        <w:rPr>
          <w:noProof/>
        </w:rPr>
        <w:drawing>
          <wp:inline distT="0" distB="0" distL="0" distR="0" wp14:anchorId="5E173985" wp14:editId="0834CBB2">
            <wp:extent cx="5759450" cy="3239770"/>
            <wp:effectExtent l="0" t="0" r="0" b="0"/>
            <wp:docPr id="3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a:srcRect/>
                    <a:stretch>
                      <a:fillRect/>
                    </a:stretch>
                  </pic:blipFill>
                  <pic:spPr>
                    <a:xfrm>
                      <a:off x="0" y="0"/>
                      <a:ext cx="5759450" cy="3239770"/>
                    </a:xfrm>
                    <a:prstGeom prst="rect">
                      <a:avLst/>
                    </a:prstGeom>
                    <a:ln/>
                  </pic:spPr>
                </pic:pic>
              </a:graphicData>
            </a:graphic>
          </wp:inline>
        </w:drawing>
      </w:r>
    </w:p>
    <w:p w14:paraId="26FD0A13" w14:textId="2094690C" w:rsidR="006F3E0E" w:rsidRPr="004B4A90" w:rsidRDefault="006F3E0E" w:rsidP="004B4A90">
      <w:pPr>
        <w:pStyle w:val="lgende"/>
        <w:rPr>
          <w:i/>
          <w:iCs/>
        </w:rPr>
      </w:pPr>
      <w:r w:rsidRPr="004B4A90">
        <w:rPr>
          <w:vertAlign w:val="superscript"/>
        </w:rPr>
        <w:t>1</w:t>
      </w:r>
      <w:r w:rsidR="004B4A90" w:rsidRPr="004B4A90">
        <w:rPr>
          <w:vertAlign w:val="superscript"/>
        </w:rPr>
        <w:t xml:space="preserve"> </w:t>
      </w:r>
      <w:r w:rsidR="004B4A90" w:rsidRPr="004B4A90">
        <w:rPr>
          <w:i/>
          <w:iCs/>
        </w:rPr>
        <w:t>≥ 2 exacerbations modérées ou ≥ 1 exacerbation sévère (hospitalisation) dans l’année précédente.</w:t>
      </w:r>
    </w:p>
    <w:p w14:paraId="547836FE" w14:textId="77777777" w:rsidR="006F3E0E" w:rsidRPr="004B4A90" w:rsidRDefault="006F3E0E" w:rsidP="004B4A90">
      <w:pPr>
        <w:pStyle w:val="lgende"/>
        <w:rPr>
          <w:i/>
          <w:iCs/>
        </w:rPr>
      </w:pPr>
      <w:r w:rsidRPr="004B4A90">
        <w:rPr>
          <w:i/>
          <w:iCs/>
          <w:vertAlign w:val="superscript"/>
        </w:rPr>
        <w:t>2</w:t>
      </w:r>
      <w:r w:rsidRPr="004B4A90">
        <w:rPr>
          <w:i/>
          <w:iCs/>
        </w:rPr>
        <w:t xml:space="preserve"> Option : chez un malade exacerbateur sans dyspnée notable, le choix entre une association de deux bronchodilatateurs longue durée d’action et une association corticostéroïde inhalé + β 2 longue action peut tenir compte des éosinophiles sanguins (pas de corticostéroïde inhalé si éosinophiles &lt; 300/mm</w:t>
      </w:r>
      <w:r w:rsidRPr="004B4A90">
        <w:rPr>
          <w:i/>
          <w:iCs/>
          <w:vertAlign w:val="superscript"/>
        </w:rPr>
        <w:t>3</w:t>
      </w:r>
      <w:r w:rsidRPr="004B4A90">
        <w:rPr>
          <w:i/>
          <w:iCs/>
        </w:rPr>
        <w:t>).</w:t>
      </w:r>
    </w:p>
    <w:p w14:paraId="22E2A20A" w14:textId="77777777" w:rsidR="006F3E0E" w:rsidRDefault="006F3E0E" w:rsidP="006F3E0E">
      <w:pPr>
        <w:widowControl w:val="0"/>
        <w:spacing w:line="276" w:lineRule="auto"/>
      </w:pPr>
    </w:p>
    <w:p w14:paraId="6B6F2575" w14:textId="77777777" w:rsidR="006F3E0E" w:rsidRDefault="006F3E0E" w:rsidP="004B4A90">
      <w:pPr>
        <w:pStyle w:val="lgende"/>
      </w:pPr>
      <w:r>
        <w:t xml:space="preserve">Tableau 5 : Mesures d’accompagnement de la prise en charge pharmacologique de la </w:t>
      </w:r>
      <w:sdt>
        <w:sdtPr>
          <w:tag w:val="goog_rdk_5"/>
          <w:id w:val="1642945301"/>
        </w:sdtPr>
        <w:sdtContent/>
      </w:sdt>
      <w:r>
        <w:t>BPCO.</w:t>
      </w:r>
    </w:p>
    <w:tbl>
      <w:tblPr>
        <w:tblW w:w="9069" w:type="dxa"/>
        <w:tblBorders>
          <w:top w:val="single" w:sz="2" w:space="0" w:color="747474" w:themeColor="background2" w:themeShade="80"/>
          <w:left w:val="single" w:sz="2" w:space="0" w:color="747474" w:themeColor="background2" w:themeShade="80"/>
          <w:bottom w:val="single" w:sz="2" w:space="0" w:color="747474" w:themeColor="background2" w:themeShade="80"/>
          <w:right w:val="single" w:sz="2" w:space="0" w:color="747474" w:themeColor="background2" w:themeShade="80"/>
          <w:insideH w:val="single" w:sz="2" w:space="0" w:color="747474" w:themeColor="background2" w:themeShade="80"/>
          <w:insideV w:val="single" w:sz="2" w:space="0" w:color="747474" w:themeColor="background2" w:themeShade="80"/>
        </w:tblBorders>
        <w:tblLayout w:type="fixed"/>
        <w:tblLook w:val="0400" w:firstRow="0" w:lastRow="0" w:firstColumn="0" w:lastColumn="0" w:noHBand="0" w:noVBand="1"/>
      </w:tblPr>
      <w:tblGrid>
        <w:gridCol w:w="1982"/>
        <w:gridCol w:w="7087"/>
      </w:tblGrid>
      <w:tr w:rsidR="006F3E0E" w14:paraId="7F8F0EEA" w14:textId="77777777" w:rsidTr="004B4A90">
        <w:trPr>
          <w:trHeight w:val="478"/>
        </w:trPr>
        <w:tc>
          <w:tcPr>
            <w:tcW w:w="1982" w:type="dxa"/>
            <w:shd w:val="clear" w:color="auto" w:fill="D1D1D1" w:themeFill="background2" w:themeFillShade="E6"/>
            <w:tcMar>
              <w:top w:w="72" w:type="dxa"/>
              <w:left w:w="144" w:type="dxa"/>
              <w:bottom w:w="72" w:type="dxa"/>
              <w:right w:w="144" w:type="dxa"/>
            </w:tcMar>
            <w:vAlign w:val="center"/>
          </w:tcPr>
          <w:p w14:paraId="21FCF2D1" w14:textId="77777777" w:rsidR="006F3E0E" w:rsidRPr="004B4A90" w:rsidRDefault="006F3E0E" w:rsidP="0094705B">
            <w:pPr>
              <w:jc w:val="center"/>
              <w:rPr>
                <w:rFonts w:ascii="Calibri" w:eastAsia="Calibri" w:hAnsi="Calibri" w:cs="Calibri"/>
                <w:b/>
                <w:bCs/>
                <w:color w:val="000000" w:themeColor="text1"/>
              </w:rPr>
            </w:pPr>
            <w:r w:rsidRPr="004B4A90">
              <w:rPr>
                <w:rFonts w:ascii="Calibri" w:eastAsia="Calibri" w:hAnsi="Calibri" w:cs="Calibri"/>
                <w:b/>
                <w:bCs/>
                <w:color w:val="000000" w:themeColor="text1"/>
              </w:rPr>
              <w:t>Diagnostic de la BPCO</w:t>
            </w:r>
          </w:p>
        </w:tc>
        <w:tc>
          <w:tcPr>
            <w:tcW w:w="7087" w:type="dxa"/>
            <w:tcMar>
              <w:top w:w="72" w:type="dxa"/>
              <w:left w:w="144" w:type="dxa"/>
              <w:bottom w:w="72" w:type="dxa"/>
              <w:right w:w="144" w:type="dxa"/>
            </w:tcMar>
          </w:tcPr>
          <w:p w14:paraId="7FFBF265" w14:textId="77777777" w:rsidR="006F3E0E" w:rsidRDefault="006F3E0E" w:rsidP="0094705B">
            <w:pPr>
              <w:rPr>
                <w:rFonts w:ascii="Calibri" w:eastAsia="Calibri" w:hAnsi="Calibri" w:cs="Calibri"/>
              </w:rPr>
            </w:pPr>
            <w:r>
              <w:rPr>
                <w:rFonts w:ascii="Calibri" w:eastAsia="Calibri" w:hAnsi="Calibri" w:cs="Calibri"/>
              </w:rPr>
              <w:t>Le diagnostic doit être confirmé par spirométrie, avec mise en évidence d’un VEMS/CVF &lt; 0,70 après bronchodilatateur.</w:t>
            </w:r>
          </w:p>
        </w:tc>
      </w:tr>
      <w:tr w:rsidR="006F3E0E" w14:paraId="6C32A85A" w14:textId="77777777" w:rsidTr="004B4A90">
        <w:trPr>
          <w:trHeight w:val="2676"/>
        </w:trPr>
        <w:tc>
          <w:tcPr>
            <w:tcW w:w="1982" w:type="dxa"/>
            <w:shd w:val="clear" w:color="auto" w:fill="D1D1D1" w:themeFill="background2" w:themeFillShade="E6"/>
            <w:tcMar>
              <w:top w:w="72" w:type="dxa"/>
              <w:left w:w="144" w:type="dxa"/>
              <w:bottom w:w="72" w:type="dxa"/>
              <w:right w:w="144" w:type="dxa"/>
            </w:tcMar>
            <w:vAlign w:val="center"/>
          </w:tcPr>
          <w:p w14:paraId="2E3C1B86" w14:textId="77777777" w:rsidR="006F3E0E" w:rsidRPr="004B4A90" w:rsidRDefault="006F3E0E" w:rsidP="0094705B">
            <w:pPr>
              <w:jc w:val="center"/>
              <w:rPr>
                <w:rFonts w:ascii="Calibri" w:eastAsia="Calibri" w:hAnsi="Calibri" w:cs="Calibri"/>
                <w:b/>
                <w:bCs/>
                <w:color w:val="000000" w:themeColor="text1"/>
              </w:rPr>
            </w:pPr>
            <w:r w:rsidRPr="004B4A90">
              <w:rPr>
                <w:rFonts w:ascii="Calibri" w:eastAsia="Calibri" w:hAnsi="Calibri" w:cs="Calibri"/>
                <w:b/>
                <w:bCs/>
                <w:color w:val="000000" w:themeColor="text1"/>
              </w:rPr>
              <w:t>Dans tous les cas</w:t>
            </w:r>
          </w:p>
        </w:tc>
        <w:tc>
          <w:tcPr>
            <w:tcW w:w="7087" w:type="dxa"/>
            <w:tcMar>
              <w:top w:w="72" w:type="dxa"/>
              <w:left w:w="144" w:type="dxa"/>
              <w:bottom w:w="72" w:type="dxa"/>
              <w:right w:w="144" w:type="dxa"/>
            </w:tcMar>
          </w:tcPr>
          <w:p w14:paraId="52F8A88A" w14:textId="77777777" w:rsidR="006F3E0E" w:rsidRDefault="006F3E0E" w:rsidP="0094705B">
            <w:pPr>
              <w:spacing w:line="240" w:lineRule="auto"/>
              <w:jc w:val="left"/>
              <w:rPr>
                <w:rFonts w:ascii="Calibri" w:eastAsia="Calibri" w:hAnsi="Calibri" w:cs="Calibri"/>
              </w:rPr>
            </w:pPr>
            <w:r>
              <w:rPr>
                <w:rFonts w:ascii="Calibri" w:eastAsia="Calibri" w:hAnsi="Calibri" w:cs="Calibri"/>
              </w:rPr>
              <w:t>- Aide au sevrage tabagique.</w:t>
            </w:r>
          </w:p>
          <w:p w14:paraId="28668D34" w14:textId="77777777" w:rsidR="006F3E0E" w:rsidRDefault="006F3E0E" w:rsidP="0094705B">
            <w:pPr>
              <w:spacing w:line="240" w:lineRule="auto"/>
              <w:jc w:val="left"/>
              <w:rPr>
                <w:rFonts w:ascii="Calibri" w:eastAsia="Calibri" w:hAnsi="Calibri" w:cs="Calibri"/>
              </w:rPr>
            </w:pPr>
            <w:r>
              <w:rPr>
                <w:rFonts w:ascii="Calibri" w:eastAsia="Calibri" w:hAnsi="Calibri" w:cs="Calibri"/>
              </w:rPr>
              <w:t>- Vaccinations (grippe, pneumocoque, SARS-CoV2).</w:t>
            </w:r>
          </w:p>
          <w:p w14:paraId="0143B9EB" w14:textId="77777777" w:rsidR="006F3E0E" w:rsidRDefault="006F3E0E" w:rsidP="0094705B">
            <w:pPr>
              <w:spacing w:line="240" w:lineRule="auto"/>
              <w:jc w:val="left"/>
              <w:rPr>
                <w:rFonts w:ascii="Calibri" w:eastAsia="Calibri" w:hAnsi="Calibri" w:cs="Calibri"/>
              </w:rPr>
            </w:pPr>
            <w:r>
              <w:rPr>
                <w:rFonts w:ascii="Calibri" w:eastAsia="Calibri" w:hAnsi="Calibri" w:cs="Calibri"/>
              </w:rPr>
              <w:t>- Conseils d’activité physique.</w:t>
            </w:r>
          </w:p>
          <w:p w14:paraId="1E401E6D" w14:textId="77777777" w:rsidR="006F3E0E" w:rsidRDefault="006F3E0E" w:rsidP="0094705B">
            <w:pPr>
              <w:spacing w:line="240" w:lineRule="auto"/>
              <w:jc w:val="left"/>
              <w:rPr>
                <w:rFonts w:ascii="Calibri" w:eastAsia="Calibri" w:hAnsi="Calibri" w:cs="Calibri"/>
              </w:rPr>
            </w:pPr>
            <w:r>
              <w:rPr>
                <w:rFonts w:ascii="Calibri" w:eastAsia="Calibri" w:hAnsi="Calibri" w:cs="Calibri"/>
              </w:rPr>
              <w:t>- Conseils et suivi nutritionnel (surpoids et dénutrition).</w:t>
            </w:r>
          </w:p>
          <w:p w14:paraId="1CDBFBF7" w14:textId="77777777" w:rsidR="006F3E0E" w:rsidRDefault="006F3E0E" w:rsidP="0094705B">
            <w:pPr>
              <w:spacing w:line="240" w:lineRule="auto"/>
              <w:jc w:val="left"/>
              <w:rPr>
                <w:rFonts w:ascii="Calibri" w:eastAsia="Calibri" w:hAnsi="Calibri" w:cs="Calibri"/>
              </w:rPr>
            </w:pPr>
            <w:r>
              <w:rPr>
                <w:rFonts w:ascii="Calibri" w:eastAsia="Calibri" w:hAnsi="Calibri" w:cs="Calibri"/>
              </w:rPr>
              <w:t>- Bronchodilatateur(s) courte durée d’action à la demande en cas de dyspnée.</w:t>
            </w:r>
          </w:p>
          <w:p w14:paraId="3E5DF2D5" w14:textId="77777777" w:rsidR="006F3E0E" w:rsidRDefault="006F3E0E" w:rsidP="0094705B">
            <w:pPr>
              <w:spacing w:line="240" w:lineRule="auto"/>
              <w:jc w:val="left"/>
              <w:rPr>
                <w:rFonts w:ascii="Calibri" w:eastAsia="Calibri" w:hAnsi="Calibri" w:cs="Calibri"/>
              </w:rPr>
            </w:pPr>
            <w:r>
              <w:rPr>
                <w:rFonts w:ascii="Calibri" w:eastAsia="Calibri" w:hAnsi="Calibri" w:cs="Calibri"/>
              </w:rPr>
              <w:t>- Tenir compte des capacités du patient dans le choix du dispositif d’inhalation.</w:t>
            </w:r>
          </w:p>
          <w:p w14:paraId="3539AB23" w14:textId="77777777" w:rsidR="006F3E0E" w:rsidRDefault="006F3E0E" w:rsidP="0094705B">
            <w:pPr>
              <w:spacing w:line="240" w:lineRule="auto"/>
              <w:jc w:val="left"/>
              <w:rPr>
                <w:rFonts w:ascii="Calibri" w:eastAsia="Calibri" w:hAnsi="Calibri" w:cs="Calibri"/>
              </w:rPr>
            </w:pPr>
            <w:r>
              <w:rPr>
                <w:rFonts w:ascii="Calibri" w:eastAsia="Calibri" w:hAnsi="Calibri" w:cs="Calibri"/>
              </w:rPr>
              <w:t xml:space="preserve">- Réévaluer 1-3 mois après chaque changement puis tous les 3-12 mois. </w:t>
            </w:r>
          </w:p>
          <w:p w14:paraId="0067201B" w14:textId="77777777" w:rsidR="006F3E0E" w:rsidRDefault="006F3E0E" w:rsidP="0094705B">
            <w:pPr>
              <w:spacing w:line="240" w:lineRule="auto"/>
              <w:jc w:val="left"/>
              <w:rPr>
                <w:rFonts w:ascii="Calibri" w:eastAsia="Calibri" w:hAnsi="Calibri" w:cs="Calibri"/>
              </w:rPr>
            </w:pPr>
            <w:r>
              <w:rPr>
                <w:rFonts w:ascii="Calibri" w:eastAsia="Calibri" w:hAnsi="Calibri" w:cs="Calibri"/>
              </w:rPr>
              <w:t>- EFR annuelle au minimum.</w:t>
            </w:r>
          </w:p>
          <w:p w14:paraId="0F475CBD" w14:textId="77777777" w:rsidR="006F3E0E" w:rsidRDefault="006F3E0E" w:rsidP="0094705B">
            <w:pPr>
              <w:spacing w:line="240" w:lineRule="auto"/>
              <w:jc w:val="left"/>
              <w:rPr>
                <w:rFonts w:ascii="Calibri" w:eastAsia="Calibri" w:hAnsi="Calibri" w:cs="Calibri"/>
              </w:rPr>
            </w:pPr>
          </w:p>
          <w:p w14:paraId="65544046" w14:textId="73BB1B88" w:rsidR="006F3E0E" w:rsidRDefault="006F3E0E" w:rsidP="0094705B">
            <w:pPr>
              <w:rPr>
                <w:rFonts w:ascii="Calibri" w:eastAsia="Calibri" w:hAnsi="Calibri" w:cs="Calibri"/>
              </w:rPr>
            </w:pPr>
            <w:r>
              <w:rPr>
                <w:rFonts w:ascii="Calibri" w:eastAsia="Calibri" w:hAnsi="Calibri" w:cs="Calibri"/>
              </w:rPr>
              <w:t>En cas de difficulté à réaliser tous ces traitements et/ou à les coordonner ou si dyspnée/handicap persistants une réadaptation respiratoire doit être proposée.</w:t>
            </w:r>
          </w:p>
        </w:tc>
      </w:tr>
      <w:tr w:rsidR="006F3E0E" w14:paraId="19AACFA4" w14:textId="77777777" w:rsidTr="004B4A90">
        <w:trPr>
          <w:trHeight w:val="14"/>
        </w:trPr>
        <w:tc>
          <w:tcPr>
            <w:tcW w:w="1982" w:type="dxa"/>
            <w:shd w:val="clear" w:color="auto" w:fill="D1D1D1" w:themeFill="background2" w:themeFillShade="E6"/>
            <w:tcMar>
              <w:top w:w="72" w:type="dxa"/>
              <w:left w:w="144" w:type="dxa"/>
              <w:bottom w:w="72" w:type="dxa"/>
              <w:right w:w="144" w:type="dxa"/>
            </w:tcMar>
            <w:vAlign w:val="center"/>
          </w:tcPr>
          <w:p w14:paraId="6E716640" w14:textId="77777777" w:rsidR="006F3E0E" w:rsidRPr="004B4A90" w:rsidRDefault="006F3E0E" w:rsidP="0094705B">
            <w:pPr>
              <w:jc w:val="center"/>
              <w:rPr>
                <w:rFonts w:ascii="Calibri" w:eastAsia="Calibri" w:hAnsi="Calibri" w:cs="Calibri"/>
                <w:b/>
                <w:bCs/>
                <w:color w:val="000000" w:themeColor="text1"/>
              </w:rPr>
            </w:pPr>
            <w:r w:rsidRPr="004B4A90">
              <w:rPr>
                <w:rFonts w:ascii="Calibri" w:eastAsia="Calibri" w:hAnsi="Calibri" w:cs="Calibri"/>
                <w:b/>
                <w:bCs/>
                <w:color w:val="000000" w:themeColor="text1"/>
              </w:rPr>
              <w:t>Effet insuffisant</w:t>
            </w:r>
          </w:p>
          <w:p w14:paraId="0F6C9246" w14:textId="77777777" w:rsidR="006F3E0E" w:rsidRPr="004B4A90" w:rsidRDefault="006F3E0E" w:rsidP="0094705B">
            <w:pPr>
              <w:jc w:val="center"/>
              <w:rPr>
                <w:rFonts w:ascii="Calibri" w:eastAsia="Calibri" w:hAnsi="Calibri" w:cs="Calibri"/>
                <w:b/>
                <w:bCs/>
                <w:color w:val="000000" w:themeColor="text1"/>
              </w:rPr>
            </w:pPr>
            <w:r w:rsidRPr="004B4A90">
              <w:rPr>
                <w:rFonts w:ascii="Calibri" w:eastAsia="Calibri" w:hAnsi="Calibri" w:cs="Calibri"/>
                <w:b/>
                <w:bCs/>
                <w:color w:val="000000" w:themeColor="text1"/>
              </w:rPr>
              <w:t>= Persistance sous traitement d’une dyspnée ou d’exacerbations</w:t>
            </w:r>
          </w:p>
        </w:tc>
        <w:tc>
          <w:tcPr>
            <w:tcW w:w="7087" w:type="dxa"/>
            <w:tcMar>
              <w:top w:w="72" w:type="dxa"/>
              <w:left w:w="144" w:type="dxa"/>
              <w:bottom w:w="72" w:type="dxa"/>
              <w:right w:w="144" w:type="dxa"/>
            </w:tcMar>
          </w:tcPr>
          <w:p w14:paraId="533445FE" w14:textId="77777777" w:rsidR="006F3E0E" w:rsidRDefault="006F3E0E" w:rsidP="0094705B">
            <w:pPr>
              <w:rPr>
                <w:rFonts w:ascii="Calibri" w:eastAsia="Calibri" w:hAnsi="Calibri" w:cs="Calibri"/>
              </w:rPr>
            </w:pPr>
            <w:r>
              <w:rPr>
                <w:rFonts w:ascii="Calibri" w:eastAsia="Calibri" w:hAnsi="Calibri" w:cs="Calibri"/>
              </w:rPr>
              <w:t xml:space="preserve">Vérifier :  </w:t>
            </w:r>
          </w:p>
          <w:p w14:paraId="176E14D1" w14:textId="77777777" w:rsidR="006F3E0E" w:rsidRDefault="006F3E0E" w:rsidP="0094705B">
            <w:pPr>
              <w:spacing w:line="240" w:lineRule="auto"/>
              <w:jc w:val="left"/>
              <w:rPr>
                <w:rFonts w:ascii="Calibri" w:eastAsia="Calibri" w:hAnsi="Calibri" w:cs="Calibri"/>
              </w:rPr>
            </w:pPr>
            <w:r>
              <w:rPr>
                <w:rFonts w:ascii="Calibri" w:eastAsia="Calibri" w:hAnsi="Calibri" w:cs="Calibri"/>
              </w:rPr>
              <w:t>- Diagnostic différentiel (asthme…).</w:t>
            </w:r>
          </w:p>
          <w:p w14:paraId="75214CD8" w14:textId="77777777" w:rsidR="006F3E0E" w:rsidRDefault="006F3E0E" w:rsidP="0094705B">
            <w:pPr>
              <w:spacing w:line="240" w:lineRule="auto"/>
              <w:jc w:val="left"/>
              <w:rPr>
                <w:rFonts w:ascii="Calibri" w:eastAsia="Calibri" w:hAnsi="Calibri" w:cs="Calibri"/>
              </w:rPr>
            </w:pPr>
            <w:r>
              <w:rPr>
                <w:rFonts w:ascii="Calibri" w:eastAsia="Calibri" w:hAnsi="Calibri" w:cs="Calibri"/>
              </w:rPr>
              <w:t>- La réalité du sevrage tabagique.</w:t>
            </w:r>
          </w:p>
          <w:p w14:paraId="198E0025" w14:textId="77777777" w:rsidR="006F3E0E" w:rsidRDefault="006F3E0E" w:rsidP="0094705B">
            <w:pPr>
              <w:spacing w:line="240" w:lineRule="auto"/>
              <w:jc w:val="left"/>
              <w:rPr>
                <w:rFonts w:ascii="Calibri" w:eastAsia="Calibri" w:hAnsi="Calibri" w:cs="Calibri"/>
              </w:rPr>
            </w:pPr>
            <w:r>
              <w:rPr>
                <w:rFonts w:ascii="Calibri" w:eastAsia="Calibri" w:hAnsi="Calibri" w:cs="Calibri"/>
              </w:rPr>
              <w:t>- Fonction respiratoire.</w:t>
            </w:r>
          </w:p>
          <w:p w14:paraId="77A840B6" w14:textId="77777777" w:rsidR="006F3E0E" w:rsidRDefault="006F3E0E" w:rsidP="0094705B">
            <w:pPr>
              <w:spacing w:line="240" w:lineRule="auto"/>
              <w:jc w:val="left"/>
              <w:rPr>
                <w:rFonts w:ascii="Calibri" w:eastAsia="Calibri" w:hAnsi="Calibri" w:cs="Calibri"/>
              </w:rPr>
            </w:pPr>
            <w:r>
              <w:rPr>
                <w:rFonts w:ascii="Calibri" w:eastAsia="Calibri" w:hAnsi="Calibri" w:cs="Calibri"/>
              </w:rPr>
              <w:t>- Observance/Technique de prise des thérapeutiques inhalées.</w:t>
            </w:r>
          </w:p>
          <w:p w14:paraId="0CC78BF1" w14:textId="77777777" w:rsidR="006F3E0E" w:rsidRDefault="006F3E0E" w:rsidP="0094705B">
            <w:pPr>
              <w:spacing w:line="240" w:lineRule="auto"/>
              <w:jc w:val="left"/>
              <w:rPr>
                <w:rFonts w:ascii="Calibri" w:eastAsia="Calibri" w:hAnsi="Calibri" w:cs="Calibri"/>
              </w:rPr>
            </w:pPr>
            <w:r>
              <w:rPr>
                <w:rFonts w:ascii="Calibri" w:eastAsia="Calibri" w:hAnsi="Calibri" w:cs="Calibri"/>
              </w:rPr>
              <w:t>- Éducation thérapeutique/réhabilitation.</w:t>
            </w:r>
          </w:p>
          <w:p w14:paraId="5E505FE9" w14:textId="77777777" w:rsidR="006F3E0E" w:rsidRDefault="006F3E0E" w:rsidP="0094705B">
            <w:pPr>
              <w:spacing w:line="240" w:lineRule="auto"/>
              <w:jc w:val="left"/>
              <w:rPr>
                <w:rFonts w:ascii="Calibri" w:eastAsia="Calibri" w:hAnsi="Calibri" w:cs="Calibri"/>
              </w:rPr>
            </w:pPr>
            <w:r>
              <w:rPr>
                <w:rFonts w:ascii="Calibri" w:eastAsia="Calibri" w:hAnsi="Calibri" w:cs="Calibri"/>
              </w:rPr>
              <w:lastRenderedPageBreak/>
              <w:t>- Comorbidités (cardiovasculaires +++).</w:t>
            </w:r>
          </w:p>
          <w:p w14:paraId="4C7C52CC" w14:textId="77777777" w:rsidR="006F3E0E" w:rsidRDefault="006F3E0E" w:rsidP="0094705B">
            <w:pPr>
              <w:ind w:left="423"/>
              <w:rPr>
                <w:rFonts w:ascii="Calibri" w:eastAsia="Calibri" w:hAnsi="Calibri" w:cs="Calibri"/>
              </w:rPr>
            </w:pPr>
          </w:p>
          <w:p w14:paraId="713BAEB8" w14:textId="295E448D" w:rsidR="006F3E0E" w:rsidRDefault="006F3E0E" w:rsidP="0094705B">
            <w:pPr>
              <w:rPr>
                <w:rFonts w:ascii="Calibri" w:eastAsia="Calibri" w:hAnsi="Calibri" w:cs="Calibri"/>
              </w:rPr>
            </w:pPr>
            <w:r>
              <w:rPr>
                <w:rFonts w:ascii="Calibri" w:eastAsia="Calibri" w:hAnsi="Calibri" w:cs="Calibri"/>
              </w:rPr>
              <w:t>En cas de difficulté à réaliser cette prise en charge globale et si dyspnée/handicap persistant une réadaptation respiratoire doit être proposée.</w:t>
            </w:r>
          </w:p>
        </w:tc>
      </w:tr>
    </w:tbl>
    <w:p w14:paraId="48EC97BA" w14:textId="77777777" w:rsidR="006F3E0E" w:rsidRDefault="006F3E0E" w:rsidP="006F3E0E">
      <w:pPr>
        <w:widowControl w:val="0"/>
        <w:spacing w:line="276" w:lineRule="auto"/>
      </w:pPr>
    </w:p>
    <w:p w14:paraId="3785898C" w14:textId="77777777" w:rsidR="006F3E0E" w:rsidRDefault="006F3E0E" w:rsidP="006F3E0E">
      <w:pPr>
        <w:widowControl w:val="0"/>
        <w:spacing w:line="276" w:lineRule="auto"/>
      </w:pPr>
      <w:r>
        <w:t>En détail le contenu des traitements est :</w:t>
      </w:r>
    </w:p>
    <w:p w14:paraId="18FA8492" w14:textId="77777777" w:rsidR="006F3E0E" w:rsidRDefault="006F3E0E" w:rsidP="006F3E0E">
      <w:pPr>
        <w:widowControl w:val="0"/>
        <w:spacing w:line="276" w:lineRule="auto"/>
      </w:pPr>
    </w:p>
    <w:p w14:paraId="5DBC9E2B" w14:textId="77777777" w:rsidR="006F3E0E" w:rsidRDefault="006F3E0E">
      <w:pPr>
        <w:pStyle w:val="1titre"/>
        <w:numPr>
          <w:ilvl w:val="0"/>
          <w:numId w:val="33"/>
        </w:numPr>
      </w:pPr>
      <w:r>
        <w:t>Sevrage tabagique (cf. item 75)</w:t>
      </w:r>
    </w:p>
    <w:p w14:paraId="280CBC40" w14:textId="77777777" w:rsidR="006F3E0E" w:rsidRDefault="006F3E0E" w:rsidP="006F3E0E">
      <w:pPr>
        <w:widowControl w:val="0"/>
        <w:spacing w:line="276" w:lineRule="auto"/>
      </w:pPr>
      <w:r>
        <w:t xml:space="preserve">L’arrêt du tabagisme est la </w:t>
      </w:r>
      <w:r>
        <w:rPr>
          <w:b/>
          <w:bCs/>
        </w:rPr>
        <w:t>principale mesure</w:t>
      </w:r>
      <w:r>
        <w:t xml:space="preserve"> susceptible d’interrompre la progression de l’obstruction bronchique et de retarder l’apparition de l’insuffisance respiratoire et le décès. Le sevrage tabagique est difficile et ne doit pas être stigmatisant. Les aides au sevrage doivent être proposées sans attendre par tout médecin prenant en charge un sujet fumeur (item 75).</w:t>
      </w:r>
    </w:p>
    <w:p w14:paraId="0B9EBAEB" w14:textId="77777777" w:rsidR="006F3E0E" w:rsidRDefault="006F3E0E" w:rsidP="006F3E0E">
      <w:pPr>
        <w:widowControl w:val="0"/>
        <w:spacing w:line="276" w:lineRule="auto"/>
      </w:pPr>
      <w:r>
        <w:t>Le sevrage total et définitif est la base de la prise en charge, quel que soit le stade de la maladie. Une éviction des autres expositions (cannabis, professionnelles…) doit également être recommandée.</w:t>
      </w:r>
    </w:p>
    <w:p w14:paraId="637590C7" w14:textId="77777777" w:rsidR="006F3E0E" w:rsidRDefault="006F3E0E" w:rsidP="006F3E0E">
      <w:pPr>
        <w:widowControl w:val="0"/>
        <w:spacing w:line="276" w:lineRule="auto"/>
      </w:pPr>
    </w:p>
    <w:p w14:paraId="3040001B" w14:textId="77777777" w:rsidR="006F3E0E" w:rsidRDefault="006F3E0E" w:rsidP="004B4A90">
      <w:pPr>
        <w:pStyle w:val="Titre2"/>
      </w:pPr>
      <w:r>
        <w:t>Vaccins</w:t>
      </w:r>
    </w:p>
    <w:p w14:paraId="2250CF2C" w14:textId="77777777" w:rsidR="006F3E0E" w:rsidRDefault="006F3E0E" w:rsidP="006F3E0E">
      <w:pPr>
        <w:widowControl w:val="0"/>
        <w:spacing w:line="276" w:lineRule="auto"/>
        <w:rPr>
          <w:b/>
          <w:bCs/>
        </w:rPr>
      </w:pPr>
      <w:r>
        <w:t xml:space="preserve">Les vaccinations annuelles antigrippale et anti-SARS-CoV2 et la vaccination </w:t>
      </w:r>
      <w:proofErr w:type="spellStart"/>
      <w:r>
        <w:t>anti-pneumococcique</w:t>
      </w:r>
      <w:proofErr w:type="spellEnd"/>
      <w:r>
        <w:t xml:space="preserve"> sont recommandées. La vaccination </w:t>
      </w:r>
      <w:proofErr w:type="spellStart"/>
      <w:r>
        <w:t>anti-pneumococcique</w:t>
      </w:r>
      <w:proofErr w:type="spellEnd"/>
      <w:r>
        <w:t xml:space="preserve"> est basée sur le vaccin pneumococcique conjugué 20- ou 21-valent. Il est nécessaire de tracer les prises vaccinales</w:t>
      </w:r>
      <w:r>
        <w:rPr>
          <w:i/>
          <w:iCs/>
        </w:rPr>
        <w:t xml:space="preserve"> </w:t>
      </w:r>
      <w:r>
        <w:t xml:space="preserve">pour éviter des revaccinations inutiles. </w:t>
      </w:r>
    </w:p>
    <w:p w14:paraId="112889C7" w14:textId="77777777" w:rsidR="006F3E0E" w:rsidRDefault="006F3E0E" w:rsidP="006F3E0E">
      <w:pPr>
        <w:widowControl w:val="0"/>
        <w:spacing w:line="276" w:lineRule="auto"/>
        <w:rPr>
          <w:b/>
          <w:bCs/>
        </w:rPr>
      </w:pPr>
    </w:p>
    <w:p w14:paraId="5B3A5302" w14:textId="77777777" w:rsidR="006F3E0E" w:rsidRDefault="006F3E0E" w:rsidP="004B4A90">
      <w:pPr>
        <w:pStyle w:val="Titre2"/>
      </w:pPr>
      <w:r>
        <w:t>Bronchodilatateurs inhalés</w:t>
      </w:r>
    </w:p>
    <w:p w14:paraId="678F6B03" w14:textId="77777777" w:rsidR="006F3E0E" w:rsidRDefault="006F3E0E" w:rsidP="006F3E0E">
      <w:pPr>
        <w:pBdr>
          <w:top w:val="nil"/>
          <w:left w:val="nil"/>
          <w:bottom w:val="nil"/>
          <w:right w:val="nil"/>
          <w:between w:val="nil"/>
        </w:pBdr>
        <w:spacing w:line="240" w:lineRule="auto"/>
        <w:jc w:val="left"/>
      </w:pPr>
      <w:r>
        <w:t xml:space="preserve">Deux familles : les anticholinergiques (= </w:t>
      </w:r>
      <w:proofErr w:type="spellStart"/>
      <w:r>
        <w:t>antimuscariniques</w:t>
      </w:r>
      <w:proofErr w:type="spellEnd"/>
      <w:r>
        <w:t>) et les bêta-2-agonistes (= bêta 2 mimétiques)</w:t>
      </w:r>
    </w:p>
    <w:p w14:paraId="04093287" w14:textId="77777777" w:rsidR="006F3E0E" w:rsidRDefault="006F3E0E" w:rsidP="006F3E0E">
      <w:pPr>
        <w:widowControl w:val="0"/>
        <w:spacing w:line="276" w:lineRule="auto"/>
      </w:pPr>
      <w:r>
        <w:t xml:space="preserve">- Les bronchodilatateurs de longue durée d’action (BDLA) sont efficaces sur la dyspnée, la capacité d’exercice, la réduction du nombre d’exacerbations et l’amélioration de la qualité de vie. </w:t>
      </w:r>
    </w:p>
    <w:p w14:paraId="6FE40FC0" w14:textId="77777777" w:rsidR="006F3E0E" w:rsidRDefault="006F3E0E" w:rsidP="006F3E0E">
      <w:pPr>
        <w:widowControl w:val="0"/>
        <w:spacing w:line="276" w:lineRule="auto"/>
      </w:pPr>
      <w:r>
        <w:rPr>
          <w:b/>
          <w:bCs/>
        </w:rPr>
        <w:t>- La voie inhalée,</w:t>
      </w:r>
      <w:r>
        <w:t xml:space="preserve"> seule recommandée </w:t>
      </w:r>
      <w:r>
        <w:rPr>
          <w:b/>
          <w:bCs/>
        </w:rPr>
        <w:t>implique une éducation du malade pour utiliser correctement les dispositifs d’inhalation et la vérification régulière de sa maîtrise</w:t>
      </w:r>
      <w:r>
        <w:t>.</w:t>
      </w:r>
    </w:p>
    <w:p w14:paraId="1B3D271F" w14:textId="77777777" w:rsidR="006F3E0E" w:rsidRDefault="006F3E0E" w:rsidP="006F3E0E">
      <w:pPr>
        <w:widowControl w:val="0"/>
        <w:spacing w:line="276" w:lineRule="auto"/>
      </w:pPr>
      <w:r>
        <w:t>- Les traitements de courte durée d’action (bêta-2-agonistes seuls ou une combinaison bêta-2-agonistes + anticholinergique) sont à prendre «</w:t>
      </w:r>
      <w:r>
        <w:rPr>
          <w:rFonts w:ascii="Arial" w:eastAsia="Arial" w:hAnsi="Arial" w:cs="Arial"/>
        </w:rPr>
        <w:t> </w:t>
      </w:r>
      <w:r>
        <w:t>à la demande</w:t>
      </w:r>
      <w:r>
        <w:rPr>
          <w:rFonts w:ascii="Arial" w:eastAsia="Arial" w:hAnsi="Arial" w:cs="Arial"/>
        </w:rPr>
        <w:t> </w:t>
      </w:r>
      <w:r>
        <w:t xml:space="preserve">», en cas de dyspnée et lors des exacerbations pour en diminuer l’impact. </w:t>
      </w:r>
    </w:p>
    <w:p w14:paraId="1412992C" w14:textId="77777777" w:rsidR="006F3E0E" w:rsidRDefault="006F3E0E" w:rsidP="006F3E0E">
      <w:pPr>
        <w:widowControl w:val="0"/>
        <w:spacing w:line="276" w:lineRule="auto"/>
      </w:pPr>
      <w:r>
        <w:t>- Anticholinergiques et bêta-2-agonistes ont une efficacité globalement équivalente sur la fonction respiratoire et la dyspnée dans la BPCO. Ils ont un effet bronchodilatateur additif. Pour la prévention des exacerbations, l’efficacité des anticholinergiques de longue durée d’action est supérieure à celle des bêta-2-agonistes de longue d’action.</w:t>
      </w:r>
    </w:p>
    <w:p w14:paraId="288AD659" w14:textId="77777777" w:rsidR="006F3E0E" w:rsidRDefault="006F3E0E" w:rsidP="006F3E0E">
      <w:pPr>
        <w:widowControl w:val="0"/>
        <w:spacing w:line="276" w:lineRule="auto"/>
        <w:rPr>
          <w:b/>
          <w:bCs/>
        </w:rPr>
      </w:pPr>
      <w:r>
        <w:t>- Il existe des combinaisons bêta-2 agonistes et anticholinergiques de longue durée d’action dans le même dispositif.</w:t>
      </w:r>
    </w:p>
    <w:p w14:paraId="714DD1FF" w14:textId="77777777" w:rsidR="006F3E0E" w:rsidRDefault="006F3E0E" w:rsidP="006F3E0E">
      <w:pPr>
        <w:widowControl w:val="0"/>
        <w:spacing w:line="276" w:lineRule="auto"/>
        <w:rPr>
          <w:b/>
          <w:bCs/>
        </w:rPr>
      </w:pPr>
    </w:p>
    <w:p w14:paraId="517E1048" w14:textId="77777777" w:rsidR="006F3E0E" w:rsidRDefault="006F3E0E" w:rsidP="004B4A90">
      <w:pPr>
        <w:pStyle w:val="Titre2"/>
      </w:pPr>
      <w:r>
        <w:t>Corticostéroïdes inhalés</w:t>
      </w:r>
    </w:p>
    <w:p w14:paraId="6C4382AE" w14:textId="351B5469" w:rsidR="006F3E0E" w:rsidRDefault="006F3E0E" w:rsidP="006F3E0E">
      <w:pPr>
        <w:widowControl w:val="0"/>
        <w:spacing w:line="276" w:lineRule="auto"/>
      </w:pPr>
      <w:r>
        <w:t xml:space="preserve">À la différence de l’asthme, les corticostéroïdes inhalés en monothérapie </w:t>
      </w:r>
      <w:r>
        <w:rPr>
          <w:u w:val="single"/>
        </w:rPr>
        <w:t>ne sont jamais indiqués</w:t>
      </w:r>
      <w:r>
        <w:t xml:space="preserve"> dans le traitement de fond de la BPCO. La corticothérapie inhalée </w:t>
      </w:r>
      <w:r>
        <w:rPr>
          <w:u w:val="single"/>
        </w:rPr>
        <w:t>associée aux bêta-2-agonistes de longue durée d’action</w:t>
      </w:r>
      <w:r w:rsidR="004B4A90" w:rsidRPr="004B4A90">
        <w:t xml:space="preserve"> n’est indiquée que chez les malades qui restent </w:t>
      </w:r>
      <w:proofErr w:type="spellStart"/>
      <w:r w:rsidR="004B4A90" w:rsidRPr="004B4A90">
        <w:t>exacerbateurs</w:t>
      </w:r>
      <w:proofErr w:type="spellEnd"/>
      <w:r w:rsidR="004B4A90" w:rsidRPr="004B4A90">
        <w:t xml:space="preserve"> fréquents (≥2 </w:t>
      </w:r>
      <w:r w:rsidR="004B4A90" w:rsidRPr="004B4A90">
        <w:lastRenderedPageBreak/>
        <w:t xml:space="preserve">exacerbations/an) malgré l’administration régulière de BDLA et qui ne présentent pas de dyspnée notable. Ces malades sont rares. Elle a pour principal objectif la réduction du nombre d’exacerbations, mais expose à un risque accru de pneumonies. Une triple thérapie associant </w:t>
      </w:r>
      <w:r>
        <w:rPr>
          <w:u w:val="single"/>
        </w:rPr>
        <w:t>bêta-2-agonistes, anticholinergiques et corticothérapie inhalée</w:t>
      </w:r>
      <w:r>
        <w:t xml:space="preserve"> est considérée en cas de persistance d’exacerbations malgré une bithérapie. </w:t>
      </w:r>
    </w:p>
    <w:p w14:paraId="74F935F5" w14:textId="77777777" w:rsidR="006F3E0E" w:rsidRDefault="006F3E0E" w:rsidP="006F3E0E">
      <w:pPr>
        <w:widowControl w:val="0"/>
        <w:spacing w:line="276" w:lineRule="auto"/>
        <w:rPr>
          <w:i/>
          <w:iCs/>
        </w:rPr>
      </w:pPr>
    </w:p>
    <w:p w14:paraId="1797F5D0" w14:textId="77777777" w:rsidR="006F3E0E" w:rsidRDefault="006F3E0E" w:rsidP="004B4A90">
      <w:pPr>
        <w:pStyle w:val="Titre2"/>
      </w:pPr>
      <w:r>
        <w:t>Précautions en rapport avec les traitements associés</w:t>
      </w:r>
    </w:p>
    <w:p w14:paraId="3BBDDF24" w14:textId="77777777" w:rsidR="006F3E0E" w:rsidRDefault="006F3E0E" w:rsidP="006F3E0E">
      <w:pPr>
        <w:widowControl w:val="0"/>
        <w:spacing w:line="276" w:lineRule="auto"/>
      </w:pPr>
      <w:r>
        <w:t>- Bêtabloquants : la BPCO n’est pas une contre-indication à leur utilisation lorsqu’il existe une indication cardiologique (choisir un cardiosélectif).</w:t>
      </w:r>
    </w:p>
    <w:p w14:paraId="7E2632DA" w14:textId="77777777" w:rsidR="006F3E0E" w:rsidRDefault="006F3E0E" w:rsidP="006F3E0E">
      <w:pPr>
        <w:widowControl w:val="0"/>
        <w:spacing w:line="276" w:lineRule="auto"/>
      </w:pPr>
      <w:r>
        <w:t>- Les médicaments susceptibles de provoquer une dépression respiratoire (benzodiazépines, neuroleptiques sédatifs, opiacés notamment) doivent être utilisés avec prudence en cas d’insuffisance respiratoire chronique hypercapnique s’ils sont absolument nécessaires (contrôle gazométrique diurne, voire nocturne, recommandé).</w:t>
      </w:r>
    </w:p>
    <w:p w14:paraId="1A79E00A" w14:textId="77777777" w:rsidR="006F3E0E" w:rsidRDefault="006F3E0E" w:rsidP="006F3E0E">
      <w:pPr>
        <w:widowControl w:val="0"/>
        <w:spacing w:line="276" w:lineRule="auto"/>
        <w:rPr>
          <w:i/>
          <w:iCs/>
        </w:rPr>
      </w:pPr>
    </w:p>
    <w:tbl>
      <w:tblPr>
        <w:tblW w:w="9067" w:type="dxa"/>
        <w:tblBorders>
          <w:top w:val="single" w:sz="2" w:space="0" w:color="747474" w:themeColor="background2" w:themeShade="80"/>
          <w:left w:val="single" w:sz="2" w:space="0" w:color="747474" w:themeColor="background2" w:themeShade="80"/>
          <w:bottom w:val="single" w:sz="2" w:space="0" w:color="747474" w:themeColor="background2" w:themeShade="80"/>
          <w:right w:val="single" w:sz="2" w:space="0" w:color="747474" w:themeColor="background2" w:themeShade="80"/>
          <w:insideH w:val="single" w:sz="2" w:space="0" w:color="747474" w:themeColor="background2" w:themeShade="80"/>
          <w:insideV w:val="single" w:sz="2" w:space="0" w:color="747474" w:themeColor="background2" w:themeShade="80"/>
        </w:tblBorders>
        <w:tblLayout w:type="fixed"/>
        <w:tblLook w:val="0400" w:firstRow="0" w:lastRow="0" w:firstColumn="0" w:lastColumn="0" w:noHBand="0" w:noVBand="1"/>
      </w:tblPr>
      <w:tblGrid>
        <w:gridCol w:w="9067"/>
      </w:tblGrid>
      <w:tr w:rsidR="006F3E0E" w14:paraId="62EB57A5" w14:textId="77777777" w:rsidTr="004B4A90">
        <w:trPr>
          <w:trHeight w:val="1077"/>
        </w:trPr>
        <w:tc>
          <w:tcPr>
            <w:tcW w:w="9067" w:type="dxa"/>
            <w:vAlign w:val="center"/>
          </w:tcPr>
          <w:p w14:paraId="5094A970" w14:textId="77777777" w:rsidR="006F3E0E" w:rsidRDefault="006F3E0E" w:rsidP="0094705B">
            <w:pPr>
              <w:widowControl w:val="0"/>
              <w:spacing w:line="276" w:lineRule="auto"/>
              <w:rPr>
                <w:b/>
                <w:bCs/>
              </w:rPr>
            </w:pPr>
            <w:r>
              <w:rPr>
                <w:noProof/>
              </w:rPr>
              <w:drawing>
                <wp:anchor distT="0" distB="0" distL="114300" distR="114300" simplePos="0" relativeHeight="251914240" behindDoc="0" locked="0" layoutInCell="1" hidden="0" allowOverlap="1" wp14:anchorId="6D7AD7F1" wp14:editId="1CBB3622">
                  <wp:simplePos x="0" y="0"/>
                  <wp:positionH relativeFrom="column">
                    <wp:posOffset>-444499</wp:posOffset>
                  </wp:positionH>
                  <wp:positionV relativeFrom="paragraph">
                    <wp:posOffset>-31114</wp:posOffset>
                  </wp:positionV>
                  <wp:extent cx="508000" cy="612140"/>
                  <wp:effectExtent l="0" t="0" r="0" b="0"/>
                  <wp:wrapSquare wrapText="bothSides" distT="0" distB="0" distL="114300" distR="114300"/>
                  <wp:docPr id="1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9"/>
                          <a:srcRect/>
                          <a:stretch>
                            <a:fillRect/>
                          </a:stretch>
                        </pic:blipFill>
                        <pic:spPr>
                          <a:xfrm>
                            <a:off x="0" y="0"/>
                            <a:ext cx="508000" cy="612140"/>
                          </a:xfrm>
                          <a:prstGeom prst="rect">
                            <a:avLst/>
                          </a:prstGeom>
                          <a:ln/>
                        </pic:spPr>
                      </pic:pic>
                    </a:graphicData>
                  </a:graphic>
                </wp:anchor>
              </w:drawing>
            </w:r>
          </w:p>
          <w:p w14:paraId="76F2FD46" w14:textId="23A361AE" w:rsidR="006F3E0E" w:rsidRPr="004B4A90" w:rsidRDefault="006F3E0E" w:rsidP="0094705B">
            <w:pPr>
              <w:widowControl w:val="0"/>
              <w:spacing w:line="276" w:lineRule="auto"/>
            </w:pPr>
            <w:proofErr w:type="spellStart"/>
            <w:r>
              <w:rPr>
                <w:b/>
                <w:bCs/>
              </w:rPr>
              <w:t>Mucomodificateurs</w:t>
            </w:r>
            <w:proofErr w:type="spellEnd"/>
            <w:r>
              <w:rPr>
                <w:b/>
                <w:bCs/>
              </w:rPr>
              <w:t>/</w:t>
            </w:r>
            <w:proofErr w:type="spellStart"/>
            <w:r>
              <w:rPr>
                <w:b/>
                <w:bCs/>
              </w:rPr>
              <w:t>Antileucotriènes</w:t>
            </w:r>
            <w:proofErr w:type="spellEnd"/>
            <w:r>
              <w:rPr>
                <w:b/>
                <w:bCs/>
              </w:rPr>
              <w:t>/Antitussifs</w:t>
            </w:r>
            <w:r>
              <w:t xml:space="preserve"> n’ont </w:t>
            </w:r>
            <w:r>
              <w:rPr>
                <w:b/>
                <w:bCs/>
              </w:rPr>
              <w:t>aucun intérêt</w:t>
            </w:r>
            <w:r>
              <w:t xml:space="preserve"> dans la BPCO</w:t>
            </w:r>
            <w:r>
              <w:rPr>
                <w:i/>
                <w:iCs/>
              </w:rPr>
              <w:t>.</w:t>
            </w:r>
          </w:p>
        </w:tc>
      </w:tr>
    </w:tbl>
    <w:p w14:paraId="798E4076" w14:textId="77777777" w:rsidR="006F3E0E" w:rsidRDefault="006F3E0E" w:rsidP="006F3E0E">
      <w:pPr>
        <w:widowControl w:val="0"/>
        <w:spacing w:line="276" w:lineRule="auto"/>
        <w:rPr>
          <w:i/>
          <w:iCs/>
        </w:rPr>
      </w:pPr>
    </w:p>
    <w:p w14:paraId="614BE1CE" w14:textId="77777777" w:rsidR="006F3E0E" w:rsidRDefault="006F3E0E" w:rsidP="004B4A90">
      <w:pPr>
        <w:pStyle w:val="Titre2"/>
      </w:pPr>
      <w:r>
        <w:t xml:space="preserve">Activité physique </w:t>
      </w:r>
    </w:p>
    <w:p w14:paraId="37228E41" w14:textId="77777777" w:rsidR="006F3E0E" w:rsidRDefault="006F3E0E" w:rsidP="006F3E0E">
      <w:r>
        <w:t xml:space="preserve">Comme dans toutes les maladies chroniques, il est recommandé de pratiquer une activité physique régulière, à type d’entretien musculaire et d’endurance. Des marches de 30 min chaque jour ou plus de 2 heures par semaine diminuent la mortalité des patients atteints de BPCO. </w:t>
      </w:r>
    </w:p>
    <w:p w14:paraId="43B8151A" w14:textId="77777777" w:rsidR="006F3E0E" w:rsidRDefault="006F3E0E" w:rsidP="006F3E0E"/>
    <w:p w14:paraId="080E56D9" w14:textId="77777777" w:rsidR="006F3E0E" w:rsidRDefault="006F3E0E" w:rsidP="004B4A90">
      <w:pPr>
        <w:pStyle w:val="Titre2"/>
      </w:pPr>
      <w:r>
        <w:t>Réadaptation (</w:t>
      </w:r>
      <w:proofErr w:type="gramStart"/>
      <w:r>
        <w:t>ex « réhabilitation »</w:t>
      </w:r>
      <w:proofErr w:type="gramEnd"/>
      <w:r>
        <w:t>) respiratoire</w:t>
      </w:r>
    </w:p>
    <w:p w14:paraId="2926727D" w14:textId="77777777" w:rsidR="006F3E0E" w:rsidRDefault="006F3E0E" w:rsidP="006F3E0E">
      <w:r>
        <w:t>La « réadaptation</w:t>
      </w:r>
      <w:r>
        <w:rPr>
          <w:b/>
          <w:bCs/>
        </w:rPr>
        <w:t xml:space="preserve"> </w:t>
      </w:r>
      <w:r>
        <w:t xml:space="preserve">respiratoire » désigne une approche globale et interprofessionnelle centrée sur les objectifs du malade pour des malades atteints de maladies respiratoires chroniques dont la BPCO. </w:t>
      </w:r>
    </w:p>
    <w:p w14:paraId="4302ECF8" w14:textId="487DA482" w:rsidR="006F3E0E" w:rsidRDefault="004B4A90" w:rsidP="006F3E0E">
      <w:pPr>
        <w:rPr>
          <w:color w:val="0070C0"/>
        </w:rPr>
      </w:pPr>
      <w:r>
        <w:rPr>
          <w:noProof/>
        </w:rPr>
        <w:drawing>
          <wp:anchor distT="0" distB="0" distL="114300" distR="114300" simplePos="0" relativeHeight="251915264" behindDoc="0" locked="0" layoutInCell="1" hidden="0" allowOverlap="1" wp14:anchorId="55187A50" wp14:editId="2C3FE05A">
            <wp:simplePos x="0" y="0"/>
            <wp:positionH relativeFrom="column">
              <wp:posOffset>-263997</wp:posOffset>
            </wp:positionH>
            <wp:positionV relativeFrom="paragraph">
              <wp:posOffset>10160</wp:posOffset>
            </wp:positionV>
            <wp:extent cx="153670" cy="137160"/>
            <wp:effectExtent l="0" t="0" r="0" b="0"/>
            <wp:wrapSquare wrapText="bothSides" distT="0" distB="0" distL="114300" distR="114300"/>
            <wp:docPr id="2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6F3E0E">
        <w:rPr>
          <w:color w:val="0070C0"/>
        </w:rPr>
        <w:t>Son efficacité a été démontrée sur :</w:t>
      </w:r>
    </w:p>
    <w:p w14:paraId="6249AB7A" w14:textId="77777777" w:rsidR="006F3E0E" w:rsidRDefault="006F3E0E" w:rsidP="006F3E0E">
      <w:pPr>
        <w:widowControl w:val="0"/>
        <w:spacing w:line="276" w:lineRule="auto"/>
        <w:rPr>
          <w:color w:val="0070C0"/>
        </w:rPr>
      </w:pPr>
      <w:r>
        <w:rPr>
          <w:color w:val="0070C0"/>
        </w:rPr>
        <w:t>- La dyspnée.</w:t>
      </w:r>
    </w:p>
    <w:p w14:paraId="3F4448CD" w14:textId="77777777" w:rsidR="006F3E0E" w:rsidRDefault="006F3E0E" w:rsidP="006F3E0E">
      <w:pPr>
        <w:widowControl w:val="0"/>
        <w:spacing w:line="276" w:lineRule="auto"/>
        <w:rPr>
          <w:color w:val="0070C0"/>
        </w:rPr>
      </w:pPr>
      <w:r>
        <w:rPr>
          <w:color w:val="0070C0"/>
        </w:rPr>
        <w:t>- La capacité à l’exercice.</w:t>
      </w:r>
    </w:p>
    <w:p w14:paraId="39A9C660" w14:textId="77777777" w:rsidR="006F3E0E" w:rsidRDefault="006F3E0E" w:rsidP="006F3E0E">
      <w:pPr>
        <w:widowControl w:val="0"/>
        <w:spacing w:line="276" w:lineRule="auto"/>
        <w:rPr>
          <w:color w:val="0070C0"/>
        </w:rPr>
      </w:pPr>
      <w:r>
        <w:rPr>
          <w:color w:val="0070C0"/>
        </w:rPr>
        <w:t>- La qualité de vie.</w:t>
      </w:r>
    </w:p>
    <w:p w14:paraId="412C2BEA" w14:textId="77777777" w:rsidR="006F3E0E" w:rsidRDefault="006F3E0E" w:rsidP="006F3E0E">
      <w:pPr>
        <w:widowControl w:val="0"/>
        <w:spacing w:line="276" w:lineRule="auto"/>
        <w:rPr>
          <w:color w:val="0070C0"/>
        </w:rPr>
      </w:pPr>
      <w:r>
        <w:rPr>
          <w:color w:val="0070C0"/>
        </w:rPr>
        <w:t>- La réduction des exacerbations et des hospitalisations.</w:t>
      </w:r>
    </w:p>
    <w:p w14:paraId="569D7E15" w14:textId="77777777" w:rsidR="006F3E0E" w:rsidRDefault="006F3E0E" w:rsidP="006F3E0E">
      <w:pPr>
        <w:widowControl w:val="0"/>
        <w:spacing w:line="276" w:lineRule="auto"/>
        <w:rPr>
          <w:color w:val="0070C0"/>
        </w:rPr>
      </w:pPr>
      <w:r>
        <w:rPr>
          <w:color w:val="0070C0"/>
        </w:rPr>
        <w:t>- Et la consommation de soins.</w:t>
      </w:r>
    </w:p>
    <w:p w14:paraId="72FACFCE" w14:textId="77777777" w:rsidR="006F3E0E" w:rsidRDefault="006F3E0E" w:rsidP="006F3E0E"/>
    <w:p w14:paraId="1B030C6C" w14:textId="77777777" w:rsidR="006F3E0E" w:rsidRDefault="006F3E0E" w:rsidP="006F3E0E">
      <w:pPr>
        <w:rPr>
          <w:color w:val="0070C0"/>
        </w:rPr>
      </w:pPr>
      <w:r>
        <w:rPr>
          <w:color w:val="0070C0"/>
        </w:rPr>
        <w:t>Elle comprend :</w:t>
      </w:r>
    </w:p>
    <w:p w14:paraId="5F004501" w14:textId="77777777" w:rsidR="006F3E0E" w:rsidRDefault="006F3E0E" w:rsidP="006F3E0E">
      <w:pPr>
        <w:widowControl w:val="0"/>
        <w:spacing w:line="276" w:lineRule="auto"/>
        <w:rPr>
          <w:color w:val="0070C0"/>
        </w:rPr>
      </w:pPr>
      <w:r>
        <w:rPr>
          <w:color w:val="0070C0"/>
        </w:rPr>
        <w:t>- L’aide à l’arrêt du tabac.</w:t>
      </w:r>
    </w:p>
    <w:p w14:paraId="286412ED" w14:textId="77777777" w:rsidR="006F3E0E" w:rsidRDefault="006F3E0E" w:rsidP="006F3E0E">
      <w:pPr>
        <w:widowControl w:val="0"/>
        <w:spacing w:line="276" w:lineRule="auto"/>
        <w:rPr>
          <w:color w:val="0070C0"/>
        </w:rPr>
      </w:pPr>
      <w:r>
        <w:rPr>
          <w:color w:val="0070C0"/>
        </w:rPr>
        <w:t>- L’optimisation du traitement pharmacologique.</w:t>
      </w:r>
    </w:p>
    <w:p w14:paraId="2236E697" w14:textId="77777777" w:rsidR="006F3E0E" w:rsidRDefault="006F3E0E" w:rsidP="006F3E0E">
      <w:pPr>
        <w:widowControl w:val="0"/>
        <w:spacing w:line="276" w:lineRule="auto"/>
        <w:rPr>
          <w:color w:val="0070C0"/>
        </w:rPr>
      </w:pPr>
      <w:r>
        <w:rPr>
          <w:color w:val="0070C0"/>
        </w:rPr>
        <w:t>- Le réentraînement à l’exercice.</w:t>
      </w:r>
    </w:p>
    <w:p w14:paraId="2F38F630" w14:textId="77777777" w:rsidR="006F3E0E" w:rsidRDefault="006F3E0E" w:rsidP="006F3E0E">
      <w:pPr>
        <w:widowControl w:val="0"/>
        <w:spacing w:line="276" w:lineRule="auto"/>
        <w:rPr>
          <w:color w:val="0070C0"/>
        </w:rPr>
      </w:pPr>
      <w:r>
        <w:rPr>
          <w:color w:val="0070C0"/>
        </w:rPr>
        <w:t>- La kinésithérapie de drainage bronchique.</w:t>
      </w:r>
    </w:p>
    <w:p w14:paraId="37496648" w14:textId="77777777" w:rsidR="006F3E0E" w:rsidRDefault="006F3E0E" w:rsidP="006F3E0E">
      <w:pPr>
        <w:widowControl w:val="0"/>
        <w:spacing w:line="276" w:lineRule="auto"/>
        <w:rPr>
          <w:color w:val="0070C0"/>
        </w:rPr>
      </w:pPr>
      <w:r>
        <w:rPr>
          <w:color w:val="0070C0"/>
        </w:rPr>
        <w:t>- La prise en charge psychologique.</w:t>
      </w:r>
    </w:p>
    <w:p w14:paraId="15E59FA4" w14:textId="77777777" w:rsidR="006F3E0E" w:rsidRDefault="006F3E0E" w:rsidP="006F3E0E">
      <w:pPr>
        <w:widowControl w:val="0"/>
        <w:spacing w:line="276" w:lineRule="auto"/>
        <w:rPr>
          <w:color w:val="0070C0"/>
        </w:rPr>
      </w:pPr>
      <w:r>
        <w:rPr>
          <w:color w:val="0070C0"/>
        </w:rPr>
        <w:t>- La prise en charge sociale.</w:t>
      </w:r>
    </w:p>
    <w:p w14:paraId="252A14FF" w14:textId="77777777" w:rsidR="006F3E0E" w:rsidRDefault="006F3E0E" w:rsidP="006F3E0E">
      <w:pPr>
        <w:widowControl w:val="0"/>
        <w:spacing w:line="276" w:lineRule="auto"/>
        <w:rPr>
          <w:color w:val="0070C0"/>
        </w:rPr>
      </w:pPr>
      <w:r>
        <w:rPr>
          <w:color w:val="0070C0"/>
        </w:rPr>
        <w:t>- L’éducation thérapeutique du patient,</w:t>
      </w:r>
    </w:p>
    <w:p w14:paraId="5A7439E0" w14:textId="77777777" w:rsidR="006F3E0E" w:rsidRDefault="006F3E0E" w:rsidP="006F3E0E">
      <w:pPr>
        <w:widowControl w:val="0"/>
        <w:spacing w:line="276" w:lineRule="auto"/>
        <w:rPr>
          <w:color w:val="0070C0"/>
        </w:rPr>
      </w:pPr>
      <w:r>
        <w:rPr>
          <w:color w:val="0070C0"/>
        </w:rPr>
        <w:t xml:space="preserve">- La prise en charge nutritionnelle. </w:t>
      </w:r>
    </w:p>
    <w:p w14:paraId="37DD2BE7" w14:textId="77777777" w:rsidR="006F3E0E" w:rsidRDefault="006F3E0E" w:rsidP="006F3E0E">
      <w:pPr>
        <w:widowControl w:val="0"/>
        <w:spacing w:line="276" w:lineRule="auto"/>
        <w:rPr>
          <w:color w:val="0070C0"/>
        </w:rPr>
      </w:pPr>
    </w:p>
    <w:p w14:paraId="3AEA1B7A" w14:textId="77777777" w:rsidR="006F3E0E" w:rsidRDefault="006F3E0E" w:rsidP="006F3E0E">
      <w:pPr>
        <w:rPr>
          <w:color w:val="0070C0"/>
        </w:rPr>
      </w:pPr>
      <w:r>
        <w:rPr>
          <w:color w:val="0070C0"/>
        </w:rPr>
        <w:t xml:space="preserve">Son efficacité à long terme repose sur la poursuite des activités physiques initialement mises en place. Les modes d’organisation sont multiples : à domicile, en ambulatoire ou dans des centres spécialisés. </w:t>
      </w:r>
    </w:p>
    <w:p w14:paraId="422CFA00" w14:textId="77777777" w:rsidR="006F3E0E" w:rsidRDefault="006F3E0E" w:rsidP="006F3E0E">
      <w:pPr>
        <w:rPr>
          <w:i/>
          <w:iCs/>
        </w:rPr>
      </w:pPr>
    </w:p>
    <w:p w14:paraId="527FB44E" w14:textId="77777777" w:rsidR="006F3E0E" w:rsidRDefault="006F3E0E" w:rsidP="006F3E0E">
      <w:r>
        <w:t xml:space="preserve">Elle est recommandée si : </w:t>
      </w:r>
    </w:p>
    <w:p w14:paraId="0834FA2B" w14:textId="77777777" w:rsidR="006F3E0E" w:rsidRDefault="006F3E0E" w:rsidP="006F3E0E">
      <w:r>
        <w:t>- Existe un handicap dû à la maladie (même si dû à une dyspnée isolée).</w:t>
      </w:r>
    </w:p>
    <w:p w14:paraId="736DF153" w14:textId="77777777" w:rsidR="006F3E0E" w:rsidRDefault="006F3E0E" w:rsidP="006F3E0E">
      <w:r>
        <w:t xml:space="preserve">- Malgré le traitement pharmacologique ou dans l’impossibilité de mettre en place tous les traitements </w:t>
      </w:r>
      <w:proofErr w:type="spellStart"/>
      <w:r>
        <w:t>sus-cités</w:t>
      </w:r>
      <w:proofErr w:type="spellEnd"/>
      <w:r>
        <w:t xml:space="preserve">. </w:t>
      </w:r>
    </w:p>
    <w:p w14:paraId="5BCFF5B6" w14:textId="77777777" w:rsidR="006F3E0E" w:rsidRDefault="006F3E0E" w:rsidP="006F3E0E">
      <w:r>
        <w:t xml:space="preserve">En cas d’exacerbation grave, il est recommandé d’initier une réadaptation respiratoire dans les 3 mois suivant la sortie pour réduire la mortalité dans l’année. </w:t>
      </w:r>
    </w:p>
    <w:p w14:paraId="54122AFF" w14:textId="77777777" w:rsidR="006F3E0E" w:rsidRDefault="006F3E0E" w:rsidP="006F3E0E">
      <w:pPr>
        <w:spacing w:line="276" w:lineRule="auto"/>
        <w:rPr>
          <w:b/>
          <w:bCs/>
        </w:rPr>
      </w:pPr>
      <w:r>
        <w:rPr>
          <w:noProof/>
        </w:rPr>
        <mc:AlternateContent>
          <mc:Choice Requires="wps">
            <w:drawing>
              <wp:anchor distT="0" distB="0" distL="114300" distR="114300" simplePos="0" relativeHeight="251916288" behindDoc="0" locked="0" layoutInCell="1" hidden="0" allowOverlap="1" wp14:anchorId="09D02847" wp14:editId="11A5D95A">
                <wp:simplePos x="0" y="0"/>
                <wp:positionH relativeFrom="column">
                  <wp:posOffset>-25399</wp:posOffset>
                </wp:positionH>
                <wp:positionV relativeFrom="paragraph">
                  <wp:posOffset>147955</wp:posOffset>
                </wp:positionV>
                <wp:extent cx="12700" cy="574675"/>
                <wp:effectExtent l="0" t="0" r="0" b="0"/>
                <wp:wrapNone/>
                <wp:docPr id="6" name="Connecteur droit avec flèche 6"/>
                <wp:cNvGraphicFramePr/>
                <a:graphic xmlns:a="http://schemas.openxmlformats.org/drawingml/2006/main">
                  <a:graphicData uri="http://schemas.microsoft.com/office/word/2010/wordprocessingShape">
                    <wps:wsp>
                      <wps:cNvCnPr/>
                      <wps:spPr>
                        <a:xfrm>
                          <a:off x="5346000" y="3492663"/>
                          <a:ext cx="0" cy="574675"/>
                        </a:xfrm>
                        <a:prstGeom prst="straightConnector1">
                          <a:avLst/>
                        </a:prstGeom>
                        <a:noFill/>
                        <a:ln>
                          <a:noFill/>
                        </a:ln>
                      </wps:spPr>
                      <wps:bodyPr/>
                    </wps:wsp>
                  </a:graphicData>
                </a:graphic>
              </wp:anchor>
            </w:drawing>
          </mc:Choice>
          <mc:Fallback>
            <w:pict>
              <v:shapetype w14:anchorId="50DAC6F8" id="_x0000_t32" coordsize="21600,21600" o:spt="32" o:oned="t" path="m,l21600,21600e" filled="f">
                <v:path arrowok="t" fillok="f" o:connecttype="none"/>
                <o:lock v:ext="edit" shapetype="t"/>
              </v:shapetype>
              <v:shape id="Connecteur droit avec flèche 6" o:spid="_x0000_s1026" type="#_x0000_t32" style="position:absolute;margin-left:-2pt;margin-top:11.65pt;width:1pt;height:45.25pt;z-index:251916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" stroked="f"/>
            </w:pict>
          </mc:Fallback>
        </mc:AlternateContent>
      </w:r>
    </w:p>
    <w:p w14:paraId="58085758" w14:textId="77777777" w:rsidR="006F3E0E" w:rsidRDefault="006F3E0E" w:rsidP="004B4A90">
      <w:pPr>
        <w:pStyle w:val="Titre2"/>
      </w:pPr>
      <w:r>
        <w:t>Oxygénothérapie au long cours et ventilation assistée au long cours</w:t>
      </w:r>
    </w:p>
    <w:p w14:paraId="530BBB96" w14:textId="77777777" w:rsidR="006F3E0E" w:rsidRDefault="006F3E0E" w:rsidP="006F3E0E">
      <w:pPr>
        <w:pBdr>
          <w:top w:val="nil"/>
          <w:left w:val="nil"/>
          <w:bottom w:val="nil"/>
          <w:right w:val="nil"/>
          <w:between w:val="nil"/>
        </w:pBdr>
        <w:tabs>
          <w:tab w:val="center" w:pos="4536"/>
          <w:tab w:val="right" w:pos="9072"/>
        </w:tabs>
        <w:spacing w:line="276" w:lineRule="auto"/>
      </w:pPr>
      <w:r>
        <w:t>En cas d’insuffisance respiratoire chronique. Leurs indications et leurs modalités d’administration sont détaillées dans l’item 208.</w:t>
      </w:r>
    </w:p>
    <w:p w14:paraId="0428438F" w14:textId="77777777" w:rsidR="006F3E0E" w:rsidRDefault="006F3E0E" w:rsidP="006F3E0E">
      <w:pPr>
        <w:pBdr>
          <w:top w:val="nil"/>
          <w:left w:val="nil"/>
          <w:bottom w:val="nil"/>
          <w:right w:val="nil"/>
          <w:between w:val="nil"/>
        </w:pBdr>
        <w:tabs>
          <w:tab w:val="center" w:pos="4536"/>
          <w:tab w:val="right" w:pos="9072"/>
        </w:tabs>
        <w:spacing w:line="276" w:lineRule="auto"/>
      </w:pPr>
    </w:p>
    <w:p w14:paraId="17B4852A" w14:textId="1D8A7FBD" w:rsidR="006F3E0E" w:rsidRDefault="004B4A90" w:rsidP="004B4A90">
      <w:pPr>
        <w:pStyle w:val="Titre2"/>
      </w:pPr>
      <w:r>
        <w:rPr>
          <w:noProof/>
        </w:rPr>
        <w:drawing>
          <wp:anchor distT="0" distB="0" distL="114300" distR="114300" simplePos="0" relativeHeight="251917312" behindDoc="0" locked="0" layoutInCell="1" hidden="0" allowOverlap="1" wp14:anchorId="229015F5" wp14:editId="1A944853">
            <wp:simplePos x="0" y="0"/>
            <wp:positionH relativeFrom="margin">
              <wp:posOffset>-267335</wp:posOffset>
            </wp:positionH>
            <wp:positionV relativeFrom="paragraph">
              <wp:posOffset>311622</wp:posOffset>
            </wp:positionV>
            <wp:extent cx="153670" cy="137160"/>
            <wp:effectExtent l="0" t="0" r="0" b="0"/>
            <wp:wrapSquare wrapText="bothSides" distT="0" distB="0" distL="114300" distR="114300"/>
            <wp:docPr id="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6F3E0E">
        <w:t>Traitements d’exception et d’expertise</w:t>
      </w:r>
    </w:p>
    <w:p w14:paraId="0365694A" w14:textId="03638FA6" w:rsidR="006F3E0E" w:rsidRDefault="006F3E0E" w:rsidP="006F3E0E">
      <w:pPr>
        <w:widowControl w:val="0"/>
        <w:spacing w:line="276" w:lineRule="auto"/>
        <w:rPr>
          <w:b/>
          <w:bCs/>
          <w:color w:val="0070C0"/>
        </w:rPr>
      </w:pPr>
      <w:r>
        <w:rPr>
          <w:b/>
          <w:bCs/>
          <w:color w:val="0070C0"/>
        </w:rPr>
        <w:t>Biothérapies</w:t>
      </w:r>
    </w:p>
    <w:p w14:paraId="6484E4DE" w14:textId="77777777" w:rsidR="006F3E0E" w:rsidRDefault="006F3E0E" w:rsidP="006F3E0E">
      <w:pPr>
        <w:widowControl w:val="0"/>
        <w:spacing w:line="276" w:lineRule="auto"/>
        <w:rPr>
          <w:color w:val="0070C0"/>
        </w:rPr>
      </w:pPr>
      <w:r>
        <w:rPr>
          <w:color w:val="0070C0"/>
        </w:rPr>
        <w:t>Des biothérapies sont indiquées chez les malades « non contrôlés » sous traitement inhalé maximal, c’est-à-dire continuant de présenter des exacerbations fréquentes malgré la bonne prise de ces traitements. Il s’agit de traitements d’exception qui ne seront prescrits que par un pneumologue chez un sous-groupe très particulier de patient et après une réévaluation systématique et globale visant à comprendre les mécanismes de ce mauvais contrôle.</w:t>
      </w:r>
    </w:p>
    <w:p w14:paraId="594D0033" w14:textId="77777777" w:rsidR="006F3E0E" w:rsidRDefault="006F3E0E" w:rsidP="006F3E0E">
      <w:pPr>
        <w:widowControl w:val="0"/>
        <w:spacing w:line="276" w:lineRule="auto"/>
        <w:rPr>
          <w:color w:val="0070C0"/>
        </w:rPr>
      </w:pPr>
    </w:p>
    <w:p w14:paraId="7A0D7F6A" w14:textId="77777777" w:rsidR="006F3E0E" w:rsidRDefault="006F3E0E" w:rsidP="006F3E0E">
      <w:pPr>
        <w:widowControl w:val="0"/>
        <w:spacing w:line="276" w:lineRule="auto"/>
        <w:rPr>
          <w:b/>
          <w:bCs/>
          <w:color w:val="0070C0"/>
        </w:rPr>
      </w:pPr>
      <w:r>
        <w:rPr>
          <w:b/>
          <w:bCs/>
          <w:color w:val="0070C0"/>
        </w:rPr>
        <w:t>Chirurgie et endoscopie interventionnelle</w:t>
      </w:r>
    </w:p>
    <w:p w14:paraId="72DDEC02" w14:textId="77777777" w:rsidR="006F3E0E" w:rsidRDefault="006F3E0E" w:rsidP="006F3E0E">
      <w:pPr>
        <w:widowControl w:val="0"/>
        <w:spacing w:line="276" w:lineRule="auto"/>
        <w:rPr>
          <w:color w:val="0070C0"/>
        </w:rPr>
      </w:pPr>
      <w:r>
        <w:rPr>
          <w:color w:val="0070C0"/>
        </w:rPr>
        <w:t>Elles sont pratiquées dans des centres spécialisés. La réduction de volume pulmonaire a pour objectif de réduire la distension pulmonaire et de soulager la dyspnée. Elle peut être chirurgicale ou endoscopique.</w:t>
      </w:r>
    </w:p>
    <w:p w14:paraId="46B3F526" w14:textId="77777777" w:rsidR="006F3E0E" w:rsidRDefault="006F3E0E" w:rsidP="006F3E0E">
      <w:pPr>
        <w:widowControl w:val="0"/>
        <w:spacing w:line="276" w:lineRule="auto"/>
        <w:rPr>
          <w:color w:val="0070C0"/>
        </w:rPr>
      </w:pPr>
      <w:r>
        <w:rPr>
          <w:color w:val="0070C0"/>
        </w:rPr>
        <w:t xml:space="preserve">Une </w:t>
      </w:r>
      <w:proofErr w:type="spellStart"/>
      <w:r>
        <w:rPr>
          <w:color w:val="0070C0"/>
        </w:rPr>
        <w:t>bullectomie</w:t>
      </w:r>
      <w:proofErr w:type="spellEnd"/>
      <w:r>
        <w:rPr>
          <w:color w:val="0070C0"/>
        </w:rPr>
        <w:t xml:space="preserve"> chirurgicale peut être proposée en cas de bulles de grande taille, compliquées (infections, hémorragie, pneumothorax) ou compressives.</w:t>
      </w:r>
    </w:p>
    <w:p w14:paraId="00D0865B" w14:textId="77777777" w:rsidR="006F3E0E" w:rsidRDefault="006F3E0E" w:rsidP="006F3E0E">
      <w:pPr>
        <w:widowControl w:val="0"/>
        <w:spacing w:line="276" w:lineRule="auto"/>
        <w:rPr>
          <w:i/>
          <w:iCs/>
        </w:rPr>
      </w:pPr>
    </w:p>
    <w:p w14:paraId="5ABEF27A" w14:textId="77777777" w:rsidR="006F3E0E" w:rsidRDefault="006F3E0E" w:rsidP="006F3E0E">
      <w:pPr>
        <w:rPr>
          <w:color w:val="0070C0"/>
        </w:rPr>
      </w:pPr>
      <w:r>
        <w:rPr>
          <w:b/>
          <w:bCs/>
          <w:color w:val="0070C0"/>
          <w:u w:val="single"/>
        </w:rPr>
        <w:t>Transplantation pulmonaire</w:t>
      </w:r>
      <w:r>
        <w:rPr>
          <w:color w:val="0070C0"/>
        </w:rPr>
        <w:t xml:space="preserve"> (cf. item 204)</w:t>
      </w:r>
    </w:p>
    <w:p w14:paraId="6A690C9C" w14:textId="77777777" w:rsidR="006F3E0E" w:rsidRDefault="006F3E0E" w:rsidP="006F3E0E">
      <w:pPr>
        <w:spacing w:line="276" w:lineRule="auto"/>
        <w:rPr>
          <w:b/>
          <w:bCs/>
        </w:rPr>
      </w:pPr>
    </w:p>
    <w:p w14:paraId="5B159D41" w14:textId="09105CEA" w:rsidR="006F3E0E" w:rsidRDefault="004B4A90" w:rsidP="004B4A90">
      <w:pPr>
        <w:pStyle w:val="titredepartie"/>
      </w:pPr>
      <w:r>
        <w:rPr>
          <w:noProof/>
        </w:rPr>
        <w:drawing>
          <wp:anchor distT="0" distB="0" distL="114300" distR="114300" simplePos="0" relativeHeight="251918336" behindDoc="0" locked="0" layoutInCell="1" hidden="0" allowOverlap="1" wp14:anchorId="022ABFEF" wp14:editId="53C9429E">
            <wp:simplePos x="0" y="0"/>
            <wp:positionH relativeFrom="margin">
              <wp:align>right</wp:align>
            </wp:positionH>
            <wp:positionV relativeFrom="paragraph">
              <wp:posOffset>3175</wp:posOffset>
            </wp:positionV>
            <wp:extent cx="1298575" cy="1439545"/>
            <wp:effectExtent l="0" t="0" r="0" b="8255"/>
            <wp:wrapSquare wrapText="bothSides" distT="0" distB="0" distL="114300" distR="114300"/>
            <wp:docPr id="1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0"/>
                    <a:srcRect/>
                    <a:stretch>
                      <a:fillRect/>
                    </a:stretch>
                  </pic:blipFill>
                  <pic:spPr>
                    <a:xfrm>
                      <a:off x="0" y="0"/>
                      <a:ext cx="1298575" cy="1439545"/>
                    </a:xfrm>
                    <a:prstGeom prst="rect">
                      <a:avLst/>
                    </a:prstGeom>
                    <a:ln/>
                  </pic:spPr>
                </pic:pic>
              </a:graphicData>
            </a:graphic>
          </wp:anchor>
        </w:drawing>
      </w:r>
      <w:r w:rsidR="006F3E0E">
        <w:t xml:space="preserve">CONNAISSSANCE + : PRISE EN CHARGE D’UNE EXACERBATION DE BPCO </w:t>
      </w:r>
    </w:p>
    <w:p w14:paraId="673EA59F" w14:textId="52C80EBC" w:rsidR="006F3E0E" w:rsidRPr="004B4A90" w:rsidRDefault="006F3E0E">
      <w:pPr>
        <w:pStyle w:val="titredesous-partie"/>
        <w:numPr>
          <w:ilvl w:val="3"/>
          <w:numId w:val="16"/>
        </w:numPr>
        <w:ind w:left="426" w:hanging="284"/>
      </w:pPr>
      <w:r>
        <w:rPr>
          <w:shd w:val="clear" w:color="auto" w:fill="auto"/>
        </w:rPr>
        <w:t xml:space="preserve"> Définitions</w:t>
      </w:r>
    </w:p>
    <w:p w14:paraId="6964AAE3" w14:textId="77777777" w:rsidR="006F3E0E" w:rsidRDefault="006F3E0E" w:rsidP="004B4A90">
      <w:r>
        <w:t>Évènement caractérisé par une augmentation de la dyspnée et/ou de la toux et des expectorations qui s’aggravent sur moins de 14 jours, et qui est souvent associé avec une augmentation de l’inflammation locale et systémique en lien avec une infection, la pollution ou une autre agression des voies aériennes.</w:t>
      </w:r>
    </w:p>
    <w:p w14:paraId="55FCB668" w14:textId="39E32DB3" w:rsidR="006F3E0E" w:rsidRDefault="006F3E0E" w:rsidP="006F3E0E">
      <w:pPr>
        <w:spacing w:line="276" w:lineRule="auto"/>
      </w:pPr>
      <w:r>
        <w:t xml:space="preserve">Les </w:t>
      </w:r>
      <w:r>
        <w:rPr>
          <w:b/>
          <w:bCs/>
        </w:rPr>
        <w:t>exacerbations graves</w:t>
      </w:r>
      <w:r w:rsidR="004B4A90" w:rsidRPr="004B4A90">
        <w:rPr>
          <w:b/>
          <w:bCs/>
        </w:rPr>
        <w:t xml:space="preserve"> </w:t>
      </w:r>
      <w:r w:rsidR="004B4A90" w:rsidRPr="004B4A90">
        <w:t xml:space="preserve">sont celles qui nécessitent une hospitalisation. Le pronostic vital peut être engagé en cas d’hypoxémie profonde et/ou d’acidose respiratoire décompensée (pH ≤ 7,35). Des </w:t>
      </w:r>
      <w:r w:rsidR="004B4A90" w:rsidRPr="004B4A90">
        <w:lastRenderedPageBreak/>
        <w:t>mesures d’assistance respiratoire (oxygénothérapie, ventilation assistée) sont souvent nécessaires dans ces cas-là.</w:t>
      </w:r>
    </w:p>
    <w:p w14:paraId="5AEE9BDB" w14:textId="77777777" w:rsidR="006F3E0E" w:rsidRDefault="006F3E0E" w:rsidP="006F3E0E">
      <w:pPr>
        <w:spacing w:line="276" w:lineRule="auto"/>
      </w:pPr>
    </w:p>
    <w:p w14:paraId="0EDE05DD" w14:textId="5F712906" w:rsidR="006F3E0E" w:rsidRDefault="006F3E0E">
      <w:pPr>
        <w:pStyle w:val="titredesous-partie"/>
        <w:numPr>
          <w:ilvl w:val="3"/>
          <w:numId w:val="16"/>
        </w:numPr>
        <w:ind w:left="426" w:hanging="284"/>
      </w:pPr>
      <w:r>
        <w:rPr>
          <w:shd w:val="clear" w:color="auto" w:fill="auto"/>
        </w:rPr>
        <w:t>Diagnostic</w:t>
      </w:r>
    </w:p>
    <w:p w14:paraId="7693B8F0" w14:textId="77777777" w:rsidR="006F3E0E" w:rsidRDefault="006F3E0E" w:rsidP="006F3E0E">
      <w:pPr>
        <w:spacing w:line="276" w:lineRule="auto"/>
        <w:rPr>
          <w:i/>
          <w:iCs/>
        </w:rPr>
      </w:pPr>
      <w:r>
        <w:t>Quand la BPCO est connue, le diagnostic d’exacerbation repose sur la majoration de la dyspnée, de la toux et/ou de l’expectoration</w:t>
      </w:r>
      <w:r>
        <w:rPr>
          <w:i/>
          <w:iCs/>
        </w:rPr>
        <w:t xml:space="preserve">. </w:t>
      </w:r>
    </w:p>
    <w:p w14:paraId="1C2ABE3C" w14:textId="77777777" w:rsidR="006F3E0E" w:rsidRDefault="006F3E0E" w:rsidP="006F3E0E">
      <w:pPr>
        <w:widowControl w:val="0"/>
        <w:spacing w:line="276" w:lineRule="auto"/>
      </w:pPr>
      <w:r>
        <w:t>L’exacerbation peut être inaugurale et parfois d’emblée grave. La stratégie diagnostique est alors celle d’une insuffisance respiratoire aiguë (item 359).</w:t>
      </w:r>
    </w:p>
    <w:p w14:paraId="2ED0BEC4" w14:textId="77777777" w:rsidR="006F3E0E" w:rsidRDefault="006F3E0E" w:rsidP="006F3E0E">
      <w:pPr>
        <w:spacing w:line="276" w:lineRule="auto"/>
        <w:rPr>
          <w:b/>
          <w:bCs/>
        </w:rPr>
      </w:pPr>
    </w:p>
    <w:p w14:paraId="19333D2C" w14:textId="77777777" w:rsidR="006F3E0E" w:rsidRDefault="006F3E0E" w:rsidP="006F3E0E">
      <w:pPr>
        <w:spacing w:line="276" w:lineRule="auto"/>
      </w:pPr>
      <w:r>
        <w:t>Outre les signes de détresse respiratoire, le terrain (âge, comorbidités, contexte social) et la sévérité de la maladie sont des critères influençant la prise en charge (tableau 6).</w:t>
      </w:r>
    </w:p>
    <w:p w14:paraId="5DBE7DE6" w14:textId="77777777" w:rsidR="006F3E0E" w:rsidRDefault="006F3E0E" w:rsidP="006F3E0E">
      <w:pPr>
        <w:spacing w:line="276" w:lineRule="auto"/>
      </w:pPr>
    </w:p>
    <w:p w14:paraId="6FF0D43E" w14:textId="77777777" w:rsidR="006F3E0E" w:rsidRDefault="006F3E0E" w:rsidP="004B4A90">
      <w:pPr>
        <w:pStyle w:val="lgende"/>
      </w:pPr>
      <w:r>
        <w:t>Tableau 6 : Critères d’hospitalisation des exacerbations de BPCO.</w:t>
      </w:r>
    </w:p>
    <w:tbl>
      <w:tblPr>
        <w:tblW w:w="9067" w:type="dxa"/>
        <w:tblBorders>
          <w:top w:val="single" w:sz="2" w:space="0" w:color="747474" w:themeColor="background2" w:themeShade="80"/>
          <w:left w:val="single" w:sz="2" w:space="0" w:color="747474" w:themeColor="background2" w:themeShade="80"/>
          <w:bottom w:val="single" w:sz="2" w:space="0" w:color="747474" w:themeColor="background2" w:themeShade="80"/>
          <w:right w:val="single" w:sz="2" w:space="0" w:color="747474" w:themeColor="background2" w:themeShade="80"/>
          <w:insideH w:val="single" w:sz="2" w:space="0" w:color="747474" w:themeColor="background2" w:themeShade="80"/>
          <w:insideV w:val="single" w:sz="2" w:space="0" w:color="747474" w:themeColor="background2" w:themeShade="80"/>
        </w:tblBorders>
        <w:tblLayout w:type="fixed"/>
        <w:tblLook w:val="0400" w:firstRow="0" w:lastRow="0" w:firstColumn="0" w:lastColumn="0" w:noHBand="0" w:noVBand="1"/>
      </w:tblPr>
      <w:tblGrid>
        <w:gridCol w:w="9067"/>
      </w:tblGrid>
      <w:tr w:rsidR="006F3E0E" w14:paraId="222395E2" w14:textId="77777777" w:rsidTr="004B4A90">
        <w:tc>
          <w:tcPr>
            <w:tcW w:w="9067" w:type="dxa"/>
          </w:tcPr>
          <w:p w14:paraId="050B39C0" w14:textId="77777777" w:rsidR="006F3E0E" w:rsidRDefault="006F3E0E" w:rsidP="0094705B">
            <w:pPr>
              <w:rPr>
                <w:rFonts w:ascii="Calibri" w:eastAsia="Calibri" w:hAnsi="Calibri" w:cs="Calibri"/>
              </w:rPr>
            </w:pPr>
            <w:r>
              <w:rPr>
                <w:rFonts w:ascii="Calibri" w:eastAsia="Calibri" w:hAnsi="Calibri" w:cs="Calibri"/>
              </w:rPr>
              <w:t>- Signes de gravité immédiate (cf. item 359)</w:t>
            </w:r>
          </w:p>
          <w:p w14:paraId="1AB32B88" w14:textId="77777777" w:rsidR="006F3E0E" w:rsidRDefault="006F3E0E" w:rsidP="0094705B">
            <w:pPr>
              <w:rPr>
                <w:rFonts w:ascii="Calibri" w:eastAsia="Calibri" w:hAnsi="Calibri" w:cs="Calibri"/>
              </w:rPr>
            </w:pPr>
            <w:r>
              <w:rPr>
                <w:rFonts w:ascii="Calibri" w:eastAsia="Calibri" w:hAnsi="Calibri" w:cs="Calibri"/>
              </w:rPr>
              <w:t>- Aggravation rapide des symptômes</w:t>
            </w:r>
          </w:p>
          <w:p w14:paraId="6699BD65" w14:textId="77777777" w:rsidR="006F3E0E" w:rsidRDefault="006F3E0E" w:rsidP="0094705B">
            <w:pPr>
              <w:rPr>
                <w:rFonts w:ascii="Calibri" w:eastAsia="Calibri" w:hAnsi="Calibri" w:cs="Calibri"/>
              </w:rPr>
            </w:pPr>
            <w:r>
              <w:rPr>
                <w:rFonts w:ascii="Calibri" w:eastAsia="Calibri" w:hAnsi="Calibri" w:cs="Calibri"/>
              </w:rPr>
              <w:t>- Dyspnée dans les activités quotidiennes (habillage…) à l’état basal</w:t>
            </w:r>
          </w:p>
          <w:p w14:paraId="3303C65A" w14:textId="77777777" w:rsidR="006F3E0E" w:rsidRDefault="006F3E0E" w:rsidP="0094705B">
            <w:pPr>
              <w:rPr>
                <w:rFonts w:ascii="Calibri" w:eastAsia="Calibri" w:hAnsi="Calibri" w:cs="Calibri"/>
              </w:rPr>
            </w:pPr>
            <w:r>
              <w:rPr>
                <w:rFonts w:ascii="Calibri" w:eastAsia="Calibri" w:hAnsi="Calibri" w:cs="Calibri"/>
              </w:rPr>
              <w:t>- Absence de réponse au traitement médical initial</w:t>
            </w:r>
          </w:p>
          <w:p w14:paraId="32DD2B6F" w14:textId="77777777" w:rsidR="006F3E0E" w:rsidRDefault="006F3E0E" w:rsidP="0094705B">
            <w:pPr>
              <w:rPr>
                <w:rFonts w:ascii="Calibri" w:eastAsia="Calibri" w:hAnsi="Calibri" w:cs="Calibri"/>
              </w:rPr>
            </w:pPr>
            <w:r>
              <w:rPr>
                <w:rFonts w:ascii="Calibri" w:eastAsia="Calibri" w:hAnsi="Calibri" w:cs="Calibri"/>
              </w:rPr>
              <w:t>- Incertitude diagnostique</w:t>
            </w:r>
          </w:p>
          <w:p w14:paraId="69D818C3" w14:textId="77777777" w:rsidR="006F3E0E" w:rsidRDefault="006F3E0E" w:rsidP="0094705B">
            <w:pPr>
              <w:rPr>
                <w:rFonts w:ascii="Calibri" w:eastAsia="Calibri" w:hAnsi="Calibri" w:cs="Calibri"/>
              </w:rPr>
            </w:pPr>
            <w:r>
              <w:rPr>
                <w:rFonts w:ascii="Calibri" w:eastAsia="Calibri" w:hAnsi="Calibri" w:cs="Calibri"/>
              </w:rPr>
              <w:t>- Âge avancé, fragilité</w:t>
            </w:r>
          </w:p>
          <w:p w14:paraId="223AF012" w14:textId="77777777" w:rsidR="006F3E0E" w:rsidRDefault="006F3E0E" w:rsidP="0094705B">
            <w:pPr>
              <w:rPr>
                <w:rFonts w:ascii="Calibri" w:eastAsia="Calibri" w:hAnsi="Calibri" w:cs="Calibri"/>
              </w:rPr>
            </w:pPr>
            <w:r>
              <w:rPr>
                <w:rFonts w:ascii="Calibri" w:eastAsia="Calibri" w:hAnsi="Calibri" w:cs="Calibri"/>
              </w:rPr>
              <w:t>- Absence de soutien à domicile</w:t>
            </w:r>
          </w:p>
          <w:p w14:paraId="4A18A659" w14:textId="77777777" w:rsidR="006F3E0E" w:rsidRDefault="006F3E0E" w:rsidP="0094705B">
            <w:pPr>
              <w:rPr>
                <w:rFonts w:ascii="Calibri" w:eastAsia="Calibri" w:hAnsi="Calibri" w:cs="Calibri"/>
              </w:rPr>
            </w:pPr>
            <w:r>
              <w:rPr>
                <w:rFonts w:ascii="Calibri" w:eastAsia="Calibri" w:hAnsi="Calibri" w:cs="Calibri"/>
              </w:rPr>
              <w:t>- Oxygénothérapie au long cours, ventilation assistée à domicile</w:t>
            </w:r>
          </w:p>
          <w:p w14:paraId="2EB28CEF" w14:textId="77777777" w:rsidR="006F3E0E" w:rsidRDefault="006F3E0E" w:rsidP="0094705B">
            <w:pPr>
              <w:rPr>
                <w:rFonts w:ascii="Calibri" w:eastAsia="Calibri" w:hAnsi="Calibri" w:cs="Calibri"/>
              </w:rPr>
            </w:pPr>
            <w:r>
              <w:rPr>
                <w:rFonts w:ascii="Calibri" w:eastAsia="Calibri" w:hAnsi="Calibri" w:cs="Calibri"/>
              </w:rPr>
              <w:t>- Antécédent de séjour en réanimation pour exacerbation</w:t>
            </w:r>
          </w:p>
          <w:p w14:paraId="12D5762F" w14:textId="77777777" w:rsidR="006F3E0E" w:rsidRDefault="006F3E0E" w:rsidP="0094705B">
            <w:pPr>
              <w:rPr>
                <w:rFonts w:ascii="Calibri" w:eastAsia="Calibri" w:hAnsi="Calibri" w:cs="Calibri"/>
              </w:rPr>
            </w:pPr>
            <w:r>
              <w:rPr>
                <w:rFonts w:ascii="Calibri" w:eastAsia="Calibri" w:hAnsi="Calibri" w:cs="Calibri"/>
              </w:rPr>
              <w:t>- Comorbidités : cardiovasculaires, alcoolisme, neurologiques, psychiatriques</w:t>
            </w:r>
          </w:p>
        </w:tc>
      </w:tr>
    </w:tbl>
    <w:p w14:paraId="4A39CA67" w14:textId="77777777" w:rsidR="006F3E0E" w:rsidRDefault="006F3E0E" w:rsidP="006F3E0E">
      <w:pPr>
        <w:spacing w:line="276" w:lineRule="auto"/>
        <w:rPr>
          <w:b/>
          <w:bCs/>
        </w:rPr>
      </w:pPr>
    </w:p>
    <w:p w14:paraId="2616C050" w14:textId="541CF1A6" w:rsidR="006F3E0E" w:rsidRDefault="004B4A90">
      <w:pPr>
        <w:pStyle w:val="titredesous-partie"/>
        <w:numPr>
          <w:ilvl w:val="3"/>
          <w:numId w:val="16"/>
        </w:numPr>
        <w:ind w:left="426" w:hanging="284"/>
      </w:pPr>
      <w:r>
        <w:rPr>
          <w:noProof/>
        </w:rPr>
        <w:drawing>
          <wp:anchor distT="0" distB="0" distL="114300" distR="114300" simplePos="0" relativeHeight="251919360" behindDoc="0" locked="0" layoutInCell="1" hidden="0" allowOverlap="1" wp14:anchorId="7239AE46" wp14:editId="4060BF42">
            <wp:simplePos x="0" y="0"/>
            <wp:positionH relativeFrom="column">
              <wp:posOffset>-267172</wp:posOffset>
            </wp:positionH>
            <wp:positionV relativeFrom="paragraph">
              <wp:posOffset>335915</wp:posOffset>
            </wp:positionV>
            <wp:extent cx="153670" cy="137160"/>
            <wp:effectExtent l="0" t="0" r="0" b="0"/>
            <wp:wrapSquare wrapText="bothSides" distT="0" distB="0" distL="114300" distR="114300"/>
            <wp:docPr id="3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6F3E0E">
        <w:rPr>
          <w:shd w:val="clear" w:color="auto" w:fill="auto"/>
        </w:rPr>
        <w:t>Facteurs précipitants des exacerbations</w:t>
      </w:r>
    </w:p>
    <w:p w14:paraId="51DC904F" w14:textId="71653E89" w:rsidR="006F3E0E" w:rsidRDefault="006F3E0E" w:rsidP="006F3E0E">
      <w:pPr>
        <w:spacing w:line="276" w:lineRule="auto"/>
        <w:rPr>
          <w:color w:val="0070C0"/>
        </w:rPr>
      </w:pPr>
      <w:r>
        <w:rPr>
          <w:color w:val="0070C0"/>
        </w:rPr>
        <w:t>La majorité des exacerbations de la BPCO est d’origine infectieuse (virale, bactérienne, ou mixte).</w:t>
      </w:r>
    </w:p>
    <w:p w14:paraId="1598F8F9" w14:textId="77777777" w:rsidR="006F3E0E" w:rsidRDefault="006F3E0E" w:rsidP="006F3E0E">
      <w:pPr>
        <w:pBdr>
          <w:top w:val="nil"/>
          <w:left w:val="nil"/>
          <w:bottom w:val="nil"/>
          <w:right w:val="nil"/>
          <w:between w:val="nil"/>
        </w:pBdr>
        <w:spacing w:line="276" w:lineRule="auto"/>
        <w:rPr>
          <w:b/>
          <w:bCs/>
          <w:color w:val="0070C0"/>
        </w:rPr>
      </w:pPr>
      <w:r>
        <w:rPr>
          <w:b/>
          <w:bCs/>
          <w:color w:val="0070C0"/>
        </w:rPr>
        <w:t>Les virus les plus souvent en cause sont : grippe, VRS, SARS-CoV-2, rhinovirus, adénovirus.</w:t>
      </w:r>
    </w:p>
    <w:p w14:paraId="28942CDE" w14:textId="77777777" w:rsidR="006F3E0E" w:rsidRDefault="006F3E0E" w:rsidP="006F3E0E">
      <w:pPr>
        <w:widowControl w:val="0"/>
        <w:spacing w:line="276" w:lineRule="auto"/>
        <w:rPr>
          <w:color w:val="0070C0"/>
        </w:rPr>
      </w:pPr>
      <w:r>
        <w:rPr>
          <w:color w:val="0070C0"/>
        </w:rPr>
        <w:t xml:space="preserve">Les bactéries les plus souvent en cause sont Haemophilus influenzae, Streptococcus pneumoniae et </w:t>
      </w:r>
      <w:proofErr w:type="spellStart"/>
      <w:r>
        <w:rPr>
          <w:color w:val="0070C0"/>
        </w:rPr>
        <w:t>Moraxella</w:t>
      </w:r>
      <w:proofErr w:type="spellEnd"/>
      <w:r>
        <w:rPr>
          <w:color w:val="0070C0"/>
        </w:rPr>
        <w:t xml:space="preserve"> </w:t>
      </w:r>
      <w:proofErr w:type="spellStart"/>
      <w:r>
        <w:rPr>
          <w:color w:val="0070C0"/>
        </w:rPr>
        <w:t>catarrhalis</w:t>
      </w:r>
      <w:proofErr w:type="spellEnd"/>
      <w:r>
        <w:rPr>
          <w:color w:val="0070C0"/>
        </w:rPr>
        <w:t xml:space="preserve">. Pseudomonas </w:t>
      </w:r>
      <w:proofErr w:type="spellStart"/>
      <w:r>
        <w:rPr>
          <w:color w:val="0070C0"/>
        </w:rPr>
        <w:t>aeruginosa</w:t>
      </w:r>
      <w:proofErr w:type="spellEnd"/>
      <w:r>
        <w:rPr>
          <w:color w:val="0070C0"/>
        </w:rPr>
        <w:t xml:space="preserve"> est rarement impliqué, sauf chez les patients sévères (VEMS &lt; 30 % de la valeur prédite) et/ou ayant des bronchectasies et/ou ayant déjà séjourné en milieu hospitalier avec exposition à une antibiothérapie à large spectre et/ou traités de façon chronique par une corticothérapie systémique. Le principal argument en faveur d’une infection bactérienne est la purulence franche des expectorations.</w:t>
      </w:r>
    </w:p>
    <w:p w14:paraId="578A1444" w14:textId="77777777" w:rsidR="006F3E0E" w:rsidRDefault="006F3E0E" w:rsidP="006F3E0E">
      <w:pPr>
        <w:widowControl w:val="0"/>
        <w:spacing w:line="276" w:lineRule="auto"/>
        <w:rPr>
          <w:color w:val="0070C0"/>
        </w:rPr>
      </w:pPr>
      <w:r>
        <w:rPr>
          <w:color w:val="0070C0"/>
        </w:rPr>
        <w:t>Une cause environnementale (pic de pollution, tabagisme massif) est parfois à l’origine de l’exacerbation.</w:t>
      </w:r>
    </w:p>
    <w:p w14:paraId="673869D0" w14:textId="77777777" w:rsidR="006F3E0E" w:rsidRDefault="006F3E0E" w:rsidP="006F3E0E">
      <w:pPr>
        <w:widowControl w:val="0"/>
        <w:spacing w:line="276" w:lineRule="auto"/>
        <w:rPr>
          <w:b/>
          <w:bCs/>
          <w:color w:val="0070C0"/>
        </w:rPr>
      </w:pPr>
      <w:r>
        <w:rPr>
          <w:color w:val="0070C0"/>
        </w:rPr>
        <w:t>La cause exacte de l’exacerbation n’est souvent pas identifiée</w:t>
      </w:r>
      <w:r>
        <w:rPr>
          <w:b/>
          <w:bCs/>
          <w:color w:val="0070C0"/>
        </w:rPr>
        <w:t>.</w:t>
      </w:r>
    </w:p>
    <w:p w14:paraId="7A404D17" w14:textId="77777777" w:rsidR="006F3E0E" w:rsidRDefault="006F3E0E" w:rsidP="006F3E0E">
      <w:pPr>
        <w:spacing w:line="276" w:lineRule="auto"/>
        <w:rPr>
          <w:b/>
          <w:bCs/>
        </w:rPr>
      </w:pPr>
    </w:p>
    <w:p w14:paraId="0FDA6737" w14:textId="5322CE74" w:rsidR="006F3E0E" w:rsidRDefault="006F3E0E">
      <w:pPr>
        <w:pStyle w:val="titredesous-partie"/>
        <w:numPr>
          <w:ilvl w:val="3"/>
          <w:numId w:val="16"/>
        </w:numPr>
        <w:ind w:left="426" w:hanging="142"/>
      </w:pPr>
      <w:r>
        <w:rPr>
          <w:shd w:val="clear" w:color="auto" w:fill="auto"/>
        </w:rPr>
        <w:t>Diagnostic différentiel</w:t>
      </w:r>
    </w:p>
    <w:p w14:paraId="48B66632" w14:textId="77777777" w:rsidR="006F3E0E" w:rsidRDefault="006F3E0E" w:rsidP="006F3E0E">
      <w:pPr>
        <w:spacing w:line="276" w:lineRule="auto"/>
      </w:pPr>
      <w:r>
        <w:t>La majoration des symptômes respiratoires et notamment la dyspnée chez un patient porteur de BPCO peut être en rapport avec un certain nombre d’</w:t>
      </w:r>
      <w:r>
        <w:rPr>
          <w:u w:val="single"/>
        </w:rPr>
        <w:t>autres pathologies</w:t>
      </w:r>
      <w:r>
        <w:t>.</w:t>
      </w:r>
    </w:p>
    <w:p w14:paraId="187B755E" w14:textId="77777777" w:rsidR="006F3E0E" w:rsidRDefault="006F3E0E" w:rsidP="006F3E0E">
      <w:pPr>
        <w:spacing w:line="276" w:lineRule="auto"/>
      </w:pPr>
      <w:r>
        <w:t>Même si elles peuvent survenir de façon concomitante, ces pathologies doivent être distinguées d’une exacerbation de BPCO, car elles requièrent un traitement bien spécifique.</w:t>
      </w:r>
    </w:p>
    <w:p w14:paraId="53524B86" w14:textId="77777777" w:rsidR="006F3E0E" w:rsidRDefault="006F3E0E" w:rsidP="006F3E0E">
      <w:pPr>
        <w:pBdr>
          <w:top w:val="nil"/>
          <w:left w:val="nil"/>
          <w:bottom w:val="nil"/>
          <w:right w:val="nil"/>
          <w:between w:val="nil"/>
        </w:pBdr>
        <w:spacing w:line="276" w:lineRule="auto"/>
        <w:rPr>
          <w:b/>
          <w:bCs/>
        </w:rPr>
      </w:pPr>
      <w:r>
        <w:rPr>
          <w:b/>
          <w:bCs/>
        </w:rPr>
        <w:t>- Pneumonie aiguë communautaire (PAC) – item 154 :</w:t>
      </w:r>
    </w:p>
    <w:p w14:paraId="17282C3F" w14:textId="77777777" w:rsidR="006F3E0E" w:rsidRDefault="006F3E0E">
      <w:pPr>
        <w:widowControl w:val="0"/>
        <w:numPr>
          <w:ilvl w:val="0"/>
          <w:numId w:val="19"/>
        </w:numPr>
        <w:spacing w:line="276" w:lineRule="auto"/>
        <w:ind w:left="284" w:hanging="142"/>
      </w:pPr>
      <w:r>
        <w:lastRenderedPageBreak/>
        <w:t>L’auscultation pulmonaire peut identifier un foyer de crépitants, la fièvre est typiquement à 38,5 °C ou plus.</w:t>
      </w:r>
    </w:p>
    <w:p w14:paraId="7B363B2F" w14:textId="77777777" w:rsidR="006F3E0E" w:rsidRDefault="006F3E0E">
      <w:pPr>
        <w:widowControl w:val="0"/>
        <w:numPr>
          <w:ilvl w:val="0"/>
          <w:numId w:val="19"/>
        </w:numPr>
        <w:spacing w:line="276" w:lineRule="auto"/>
        <w:ind w:left="284" w:hanging="142"/>
      </w:pPr>
      <w:r>
        <w:t>L’imagerie thoracique objective un syndrome alvéolaire.</w:t>
      </w:r>
    </w:p>
    <w:p w14:paraId="6A897328" w14:textId="77777777" w:rsidR="006F3E0E" w:rsidRDefault="006F3E0E">
      <w:pPr>
        <w:widowControl w:val="0"/>
        <w:numPr>
          <w:ilvl w:val="0"/>
          <w:numId w:val="19"/>
        </w:numPr>
        <w:spacing w:line="276" w:lineRule="auto"/>
        <w:ind w:left="284" w:hanging="142"/>
      </w:pPr>
      <w:r>
        <w:t>Le schéma thérapeutique à utiliser est celui des PAC, associé si nécessaire à un renforcement du traitement bronchodilatateur.</w:t>
      </w:r>
    </w:p>
    <w:p w14:paraId="3613B3C0" w14:textId="77777777" w:rsidR="006F3E0E" w:rsidRDefault="006F3E0E" w:rsidP="006F3E0E">
      <w:pPr>
        <w:pBdr>
          <w:top w:val="nil"/>
          <w:left w:val="nil"/>
          <w:bottom w:val="nil"/>
          <w:right w:val="nil"/>
          <w:between w:val="nil"/>
        </w:pBdr>
        <w:spacing w:line="276" w:lineRule="auto"/>
        <w:rPr>
          <w:b/>
          <w:bCs/>
        </w:rPr>
      </w:pPr>
      <w:r>
        <w:rPr>
          <w:b/>
          <w:bCs/>
        </w:rPr>
        <w:t>- Œdème pulmonaire (insuffisance ventriculaire gauche induite par un infarctus du myocarde, un trouble du rythme) :</w:t>
      </w:r>
    </w:p>
    <w:p w14:paraId="2CE3AE02" w14:textId="77777777" w:rsidR="006F3E0E" w:rsidRDefault="006F3E0E">
      <w:pPr>
        <w:widowControl w:val="0"/>
        <w:numPr>
          <w:ilvl w:val="0"/>
          <w:numId w:val="19"/>
        </w:numPr>
        <w:spacing w:line="276" w:lineRule="auto"/>
        <w:ind w:left="284" w:hanging="142"/>
      </w:pPr>
      <w:r>
        <w:t xml:space="preserve">Clinique, radiographie thoracique, ECG et biologie (dosage du BNP et troponine) permettent d’évoquer cette hypothèse. </w:t>
      </w:r>
    </w:p>
    <w:p w14:paraId="359753BA" w14:textId="77777777" w:rsidR="006F3E0E" w:rsidRDefault="006F3E0E" w:rsidP="006F3E0E">
      <w:pPr>
        <w:pBdr>
          <w:top w:val="nil"/>
          <w:left w:val="nil"/>
          <w:bottom w:val="nil"/>
          <w:right w:val="nil"/>
          <w:between w:val="nil"/>
        </w:pBdr>
        <w:spacing w:line="276" w:lineRule="auto"/>
        <w:rPr>
          <w:b/>
          <w:bCs/>
        </w:rPr>
      </w:pPr>
      <w:r>
        <w:rPr>
          <w:b/>
          <w:bCs/>
        </w:rPr>
        <w:t>- Embolie pulmonaire :</w:t>
      </w:r>
    </w:p>
    <w:p w14:paraId="0973C79D" w14:textId="77777777" w:rsidR="006F3E0E" w:rsidRDefault="006F3E0E">
      <w:pPr>
        <w:widowControl w:val="0"/>
        <w:numPr>
          <w:ilvl w:val="0"/>
          <w:numId w:val="18"/>
        </w:numPr>
        <w:spacing w:line="276" w:lineRule="auto"/>
        <w:ind w:left="284" w:hanging="142"/>
      </w:pPr>
      <w:r>
        <w:t>Diagnostic difficile</w:t>
      </w:r>
    </w:p>
    <w:p w14:paraId="39BD78A0" w14:textId="77777777" w:rsidR="006F3E0E" w:rsidRDefault="006F3E0E">
      <w:pPr>
        <w:widowControl w:val="0"/>
        <w:numPr>
          <w:ilvl w:val="0"/>
          <w:numId w:val="18"/>
        </w:numPr>
        <w:spacing w:line="276" w:lineRule="auto"/>
        <w:ind w:left="284" w:hanging="142"/>
      </w:pPr>
      <w:r>
        <w:t xml:space="preserve">Nécessite la réalisation d’une </w:t>
      </w:r>
      <w:proofErr w:type="spellStart"/>
      <w:r>
        <w:t>angio</w:t>
      </w:r>
      <w:proofErr w:type="spellEnd"/>
      <w:r>
        <w:t>-TDM thoracique</w:t>
      </w:r>
    </w:p>
    <w:p w14:paraId="34C95A82" w14:textId="77777777" w:rsidR="006F3E0E" w:rsidRDefault="006F3E0E" w:rsidP="006F3E0E">
      <w:pPr>
        <w:pBdr>
          <w:top w:val="nil"/>
          <w:left w:val="nil"/>
          <w:bottom w:val="nil"/>
          <w:right w:val="nil"/>
          <w:between w:val="nil"/>
        </w:pBdr>
        <w:spacing w:line="276" w:lineRule="auto"/>
        <w:rPr>
          <w:b/>
          <w:bCs/>
        </w:rPr>
      </w:pPr>
      <w:r>
        <w:rPr>
          <w:b/>
          <w:bCs/>
        </w:rPr>
        <w:t>- Pneumothorax.</w:t>
      </w:r>
    </w:p>
    <w:p w14:paraId="2BA1F289" w14:textId="77777777" w:rsidR="006F3E0E" w:rsidRDefault="006F3E0E" w:rsidP="006F3E0E">
      <w:pPr>
        <w:pBdr>
          <w:top w:val="nil"/>
          <w:left w:val="nil"/>
          <w:bottom w:val="nil"/>
          <w:right w:val="nil"/>
          <w:between w:val="nil"/>
        </w:pBdr>
        <w:spacing w:line="276" w:lineRule="auto"/>
        <w:rPr>
          <w:b/>
          <w:bCs/>
        </w:rPr>
      </w:pPr>
      <w:r>
        <w:rPr>
          <w:b/>
          <w:bCs/>
        </w:rPr>
        <w:t>- Prise de traitement contre-indiqué ou mal encadré : sédatifs, oxygène à haut débit, opiacés.</w:t>
      </w:r>
    </w:p>
    <w:p w14:paraId="7EE24C48" w14:textId="77777777" w:rsidR="006F3E0E" w:rsidRDefault="006F3E0E" w:rsidP="006F3E0E">
      <w:pPr>
        <w:pBdr>
          <w:top w:val="nil"/>
          <w:left w:val="nil"/>
          <w:bottom w:val="nil"/>
          <w:right w:val="nil"/>
          <w:between w:val="nil"/>
        </w:pBdr>
        <w:spacing w:line="276" w:lineRule="auto"/>
        <w:rPr>
          <w:b/>
          <w:bCs/>
        </w:rPr>
      </w:pPr>
      <w:r>
        <w:rPr>
          <w:b/>
          <w:bCs/>
        </w:rPr>
        <w:t>- Traumatisme thoracique (fractures de côtes…), fracture-tassement vertébrale.</w:t>
      </w:r>
    </w:p>
    <w:p w14:paraId="4A95502E" w14:textId="77777777" w:rsidR="006F3E0E" w:rsidRDefault="006F3E0E" w:rsidP="006F3E0E">
      <w:pPr>
        <w:pBdr>
          <w:top w:val="nil"/>
          <w:left w:val="nil"/>
          <w:bottom w:val="nil"/>
          <w:right w:val="nil"/>
          <w:between w:val="nil"/>
        </w:pBdr>
        <w:spacing w:line="276" w:lineRule="auto"/>
        <w:rPr>
          <w:b/>
          <w:bCs/>
        </w:rPr>
      </w:pPr>
      <w:r>
        <w:rPr>
          <w:b/>
          <w:bCs/>
        </w:rPr>
        <w:t xml:space="preserve">- Chirurgie thoracique ou abdominale. </w:t>
      </w:r>
    </w:p>
    <w:p w14:paraId="5D31CF73" w14:textId="77777777" w:rsidR="006F3E0E" w:rsidRDefault="006F3E0E" w:rsidP="006F3E0E">
      <w:pPr>
        <w:spacing w:line="276" w:lineRule="auto"/>
        <w:rPr>
          <w:b/>
          <w:bCs/>
        </w:rPr>
      </w:pPr>
    </w:p>
    <w:p w14:paraId="5AF04757" w14:textId="4D11B10C" w:rsidR="006F3E0E" w:rsidRDefault="006F3E0E">
      <w:pPr>
        <w:pStyle w:val="titredesous-partie"/>
        <w:numPr>
          <w:ilvl w:val="3"/>
          <w:numId w:val="16"/>
        </w:numPr>
        <w:ind w:left="709" w:hanging="425"/>
      </w:pPr>
      <w:r>
        <w:rPr>
          <w:shd w:val="clear" w:color="auto" w:fill="auto"/>
        </w:rPr>
        <w:t>Explorations au cours des exacerbations</w:t>
      </w:r>
    </w:p>
    <w:p w14:paraId="4EEDC945" w14:textId="77777777" w:rsidR="006F3E0E" w:rsidRDefault="006F3E0E" w:rsidP="006F3E0E">
      <w:pPr>
        <w:spacing w:line="276" w:lineRule="auto"/>
      </w:pPr>
      <w:r>
        <w:t>La majorité des exacerbations de BPCO ne s’accompagne pas de signe de gravité et peut être prise en charge en ville (exacerbations légères ou modérées). Dans ce cas, aucune exploration paraclinique n’est justifiée.</w:t>
      </w:r>
    </w:p>
    <w:p w14:paraId="134F2ECA" w14:textId="77777777" w:rsidR="006F3E0E" w:rsidRDefault="006F3E0E" w:rsidP="006F3E0E">
      <w:pPr>
        <w:spacing w:line="276" w:lineRule="auto"/>
      </w:pPr>
    </w:p>
    <w:p w14:paraId="5FC2C33D" w14:textId="77777777" w:rsidR="006F3E0E" w:rsidRDefault="006F3E0E" w:rsidP="006F3E0E">
      <w:pPr>
        <w:spacing w:line="276" w:lineRule="auto"/>
      </w:pPr>
      <w:r>
        <w:t xml:space="preserve">Chez le patient hospitalisé (exacerbations sévères), le choix des examens dépend de la gravité de l’épisode aigu (cf. item 359), de la sévérité de la BPCO, et de l’orientation étiologique. </w:t>
      </w:r>
    </w:p>
    <w:p w14:paraId="4DC8DC6B" w14:textId="77777777" w:rsidR="006F3E0E" w:rsidRDefault="006F3E0E" w:rsidP="006F3E0E">
      <w:pPr>
        <w:pBdr>
          <w:top w:val="nil"/>
          <w:left w:val="nil"/>
          <w:bottom w:val="nil"/>
          <w:right w:val="nil"/>
          <w:between w:val="nil"/>
        </w:pBdr>
        <w:spacing w:line="276" w:lineRule="auto"/>
        <w:rPr>
          <w:b/>
          <w:bCs/>
        </w:rPr>
      </w:pPr>
      <w:r>
        <w:rPr>
          <w:b/>
          <w:bCs/>
        </w:rPr>
        <w:t xml:space="preserve">- En systématique : </w:t>
      </w:r>
    </w:p>
    <w:p w14:paraId="2DBCC5DF" w14:textId="77777777" w:rsidR="006F3E0E" w:rsidRDefault="006F3E0E">
      <w:pPr>
        <w:widowControl w:val="0"/>
        <w:numPr>
          <w:ilvl w:val="0"/>
          <w:numId w:val="20"/>
        </w:numPr>
        <w:spacing w:line="276" w:lineRule="auto"/>
        <w:ind w:left="284" w:hanging="142"/>
      </w:pPr>
      <w:r>
        <w:t>Radiographie thoracique.</w:t>
      </w:r>
    </w:p>
    <w:p w14:paraId="3DFFBD0D" w14:textId="77777777" w:rsidR="006F3E0E" w:rsidRDefault="006F3E0E">
      <w:pPr>
        <w:widowControl w:val="0"/>
        <w:numPr>
          <w:ilvl w:val="0"/>
          <w:numId w:val="20"/>
        </w:numPr>
        <w:spacing w:line="276" w:lineRule="auto"/>
        <w:ind w:left="284" w:hanging="142"/>
      </w:pPr>
      <w:r>
        <w:t>Électrocardiogramme.</w:t>
      </w:r>
    </w:p>
    <w:p w14:paraId="170468AD" w14:textId="77777777" w:rsidR="006F3E0E" w:rsidRDefault="006F3E0E">
      <w:pPr>
        <w:widowControl w:val="0"/>
        <w:numPr>
          <w:ilvl w:val="0"/>
          <w:numId w:val="20"/>
        </w:numPr>
        <w:spacing w:line="276" w:lineRule="auto"/>
        <w:ind w:left="284" w:hanging="142"/>
      </w:pPr>
      <w:r>
        <w:t>NFS, CRP, ionogramme sanguin, créatinine.</w:t>
      </w:r>
    </w:p>
    <w:p w14:paraId="1F307D3B" w14:textId="77777777" w:rsidR="006F3E0E" w:rsidRDefault="006F3E0E">
      <w:pPr>
        <w:widowControl w:val="0"/>
        <w:numPr>
          <w:ilvl w:val="0"/>
          <w:numId w:val="20"/>
        </w:numPr>
        <w:spacing w:line="276" w:lineRule="auto"/>
        <w:ind w:left="284" w:hanging="142"/>
      </w:pPr>
      <w:r>
        <w:t>Gazométrie artérielle.</w:t>
      </w:r>
    </w:p>
    <w:p w14:paraId="224105BF" w14:textId="77777777" w:rsidR="006F3E0E" w:rsidRDefault="006F3E0E" w:rsidP="006F3E0E">
      <w:pPr>
        <w:pBdr>
          <w:top w:val="nil"/>
          <w:left w:val="nil"/>
          <w:bottom w:val="nil"/>
          <w:right w:val="nil"/>
          <w:between w:val="nil"/>
        </w:pBdr>
        <w:spacing w:line="276" w:lineRule="auto"/>
        <w:rPr>
          <w:b/>
          <w:bCs/>
        </w:rPr>
      </w:pPr>
      <w:r>
        <w:rPr>
          <w:b/>
          <w:bCs/>
        </w:rPr>
        <w:t>- Selon orientation clinique/signes de gravité :</w:t>
      </w:r>
    </w:p>
    <w:p w14:paraId="3386248A" w14:textId="77777777" w:rsidR="006F3E0E" w:rsidRDefault="006F3E0E">
      <w:pPr>
        <w:widowControl w:val="0"/>
        <w:numPr>
          <w:ilvl w:val="0"/>
          <w:numId w:val="20"/>
        </w:numPr>
        <w:spacing w:line="276" w:lineRule="auto"/>
        <w:ind w:left="284" w:hanging="142"/>
      </w:pPr>
      <w:proofErr w:type="spellStart"/>
      <w:r>
        <w:t>AngioTDM</w:t>
      </w:r>
      <w:proofErr w:type="spellEnd"/>
      <w:r>
        <w:t xml:space="preserve"> thoracique.</w:t>
      </w:r>
    </w:p>
    <w:p w14:paraId="3C3485CB" w14:textId="42F959DA" w:rsidR="006F3E0E" w:rsidRDefault="006F3E0E">
      <w:pPr>
        <w:widowControl w:val="0"/>
        <w:numPr>
          <w:ilvl w:val="0"/>
          <w:numId w:val="20"/>
        </w:numPr>
        <w:spacing w:line="276" w:lineRule="auto"/>
        <w:ind w:left="284" w:hanging="142"/>
      </w:pPr>
      <w:r>
        <w:t>BNP, troponine, échocardiographie cardiaque.</w:t>
      </w:r>
    </w:p>
    <w:p w14:paraId="45FD9769" w14:textId="72F8C6DA" w:rsidR="006F3E0E" w:rsidRDefault="004B4A90" w:rsidP="006F3E0E">
      <w:pPr>
        <w:pBdr>
          <w:top w:val="nil"/>
          <w:left w:val="nil"/>
          <w:bottom w:val="nil"/>
          <w:right w:val="nil"/>
          <w:between w:val="nil"/>
        </w:pBdr>
        <w:spacing w:line="276" w:lineRule="auto"/>
        <w:rPr>
          <w:b/>
          <w:bCs/>
        </w:rPr>
      </w:pPr>
      <w:r>
        <w:rPr>
          <w:noProof/>
        </w:rPr>
        <w:drawing>
          <wp:anchor distT="0" distB="0" distL="114300" distR="114300" simplePos="0" relativeHeight="251920384" behindDoc="0" locked="0" layoutInCell="1" hidden="0" allowOverlap="1" wp14:anchorId="058DE484" wp14:editId="6C1970D3">
            <wp:simplePos x="0" y="0"/>
            <wp:positionH relativeFrom="column">
              <wp:posOffset>-267970</wp:posOffset>
            </wp:positionH>
            <wp:positionV relativeFrom="paragraph">
              <wp:posOffset>200188</wp:posOffset>
            </wp:positionV>
            <wp:extent cx="153670" cy="137160"/>
            <wp:effectExtent l="0" t="0" r="0" b="0"/>
            <wp:wrapSquare wrapText="bothSides" distT="0" distB="0" distL="114300" distR="11430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6F3E0E">
        <w:rPr>
          <w:b/>
          <w:bCs/>
        </w:rPr>
        <w:t>- ECBC est indiqué en cas :</w:t>
      </w:r>
    </w:p>
    <w:p w14:paraId="2CA668BE" w14:textId="75526622" w:rsidR="006F3E0E" w:rsidRDefault="006F3E0E">
      <w:pPr>
        <w:widowControl w:val="0"/>
        <w:numPr>
          <w:ilvl w:val="0"/>
          <w:numId w:val="21"/>
        </w:numPr>
        <w:spacing w:line="276" w:lineRule="auto"/>
        <w:ind w:left="284" w:hanging="142"/>
        <w:rPr>
          <w:color w:val="0070C0"/>
        </w:rPr>
      </w:pPr>
      <w:r>
        <w:rPr>
          <w:color w:val="0070C0"/>
        </w:rPr>
        <w:t>D’échec d’antibiothérapie préalable.</w:t>
      </w:r>
    </w:p>
    <w:p w14:paraId="070D1373" w14:textId="77777777" w:rsidR="006F3E0E" w:rsidRDefault="006F3E0E">
      <w:pPr>
        <w:widowControl w:val="0"/>
        <w:numPr>
          <w:ilvl w:val="0"/>
          <w:numId w:val="21"/>
        </w:numPr>
        <w:spacing w:line="276" w:lineRule="auto"/>
        <w:ind w:left="284" w:hanging="142"/>
        <w:rPr>
          <w:color w:val="0070C0"/>
        </w:rPr>
      </w:pPr>
      <w:r>
        <w:rPr>
          <w:color w:val="0070C0"/>
        </w:rPr>
        <w:t xml:space="preserve">D’antécédent de colonisation/infection à Pseudomonas </w:t>
      </w:r>
      <w:proofErr w:type="spellStart"/>
      <w:r>
        <w:rPr>
          <w:color w:val="0070C0"/>
        </w:rPr>
        <w:t>aeruginosa</w:t>
      </w:r>
      <w:proofErr w:type="spellEnd"/>
      <w:r>
        <w:rPr>
          <w:color w:val="0070C0"/>
        </w:rPr>
        <w:t>.</w:t>
      </w:r>
    </w:p>
    <w:p w14:paraId="1BAFCEC3" w14:textId="77777777" w:rsidR="006F3E0E" w:rsidRDefault="006F3E0E">
      <w:pPr>
        <w:widowControl w:val="0"/>
        <w:numPr>
          <w:ilvl w:val="0"/>
          <w:numId w:val="21"/>
        </w:numPr>
        <w:spacing w:line="276" w:lineRule="auto"/>
        <w:ind w:left="284" w:hanging="142"/>
        <w:rPr>
          <w:color w:val="0070C0"/>
        </w:rPr>
      </w:pPr>
      <w:r>
        <w:rPr>
          <w:color w:val="0070C0"/>
        </w:rPr>
        <w:t>D’obstruction bronchique sévère connue motivant l’hospitalisation.</w:t>
      </w:r>
    </w:p>
    <w:p w14:paraId="429BDA38" w14:textId="1E041387" w:rsidR="006F3E0E" w:rsidRDefault="006F3E0E">
      <w:pPr>
        <w:widowControl w:val="0"/>
        <w:numPr>
          <w:ilvl w:val="0"/>
          <w:numId w:val="21"/>
        </w:numPr>
        <w:spacing w:line="276" w:lineRule="auto"/>
        <w:ind w:left="284" w:hanging="142"/>
        <w:rPr>
          <w:color w:val="0070C0"/>
        </w:rPr>
      </w:pPr>
      <w:r>
        <w:rPr>
          <w:color w:val="0070C0"/>
        </w:rPr>
        <w:t>De gravité de l’épisode motivant l’hospitalisation dans un secteur de réanimation ou de soins intensifs</w:t>
      </w:r>
      <w:r w:rsidR="004B4A90">
        <w:rPr>
          <w:color w:val="0070C0"/>
        </w:rPr>
        <w:t>.</w:t>
      </w:r>
    </w:p>
    <w:p w14:paraId="700F65D7" w14:textId="77777777" w:rsidR="006F3E0E" w:rsidRDefault="006F3E0E">
      <w:pPr>
        <w:widowControl w:val="0"/>
        <w:numPr>
          <w:ilvl w:val="0"/>
          <w:numId w:val="21"/>
        </w:numPr>
        <w:spacing w:line="276" w:lineRule="auto"/>
        <w:ind w:left="284" w:hanging="142"/>
        <w:rPr>
          <w:color w:val="0070C0"/>
        </w:rPr>
      </w:pPr>
      <w:r>
        <w:rPr>
          <w:color w:val="0070C0"/>
        </w:rPr>
        <w:t>D’immunodépression associée.</w:t>
      </w:r>
    </w:p>
    <w:p w14:paraId="19C2DE98" w14:textId="77777777" w:rsidR="006F3E0E" w:rsidRDefault="006F3E0E" w:rsidP="006F3E0E">
      <w:pPr>
        <w:widowControl w:val="0"/>
        <w:spacing w:line="276" w:lineRule="auto"/>
        <w:rPr>
          <w:color w:val="0070C0"/>
        </w:rPr>
      </w:pPr>
    </w:p>
    <w:p w14:paraId="63E23FDD" w14:textId="6746EA14" w:rsidR="006F3E0E" w:rsidRDefault="006F3E0E">
      <w:pPr>
        <w:pStyle w:val="titredesous-partie"/>
        <w:numPr>
          <w:ilvl w:val="3"/>
          <w:numId w:val="16"/>
        </w:numPr>
        <w:ind w:left="567" w:hanging="283"/>
      </w:pPr>
      <w:r>
        <w:rPr>
          <w:shd w:val="clear" w:color="auto" w:fill="auto"/>
        </w:rPr>
        <w:t>Traitement</w:t>
      </w:r>
    </w:p>
    <w:p w14:paraId="3FA4E037" w14:textId="77777777" w:rsidR="004B4A90" w:rsidRPr="004B4A90" w:rsidRDefault="004B4A90" w:rsidP="004B4A90">
      <w:pPr>
        <w:pStyle w:val="Paragraphedeliste"/>
        <w:numPr>
          <w:ilvl w:val="0"/>
          <w:numId w:val="1"/>
        </w:numPr>
        <w:spacing w:after="240"/>
        <w:outlineLvl w:val="2"/>
        <w:rPr>
          <w:b/>
          <w:bCs/>
          <w:vanish/>
        </w:rPr>
      </w:pPr>
    </w:p>
    <w:p w14:paraId="62DD3E70" w14:textId="77777777" w:rsidR="004B4A90" w:rsidRPr="004B4A90" w:rsidRDefault="004B4A90" w:rsidP="004B4A90">
      <w:pPr>
        <w:pStyle w:val="Paragraphedeliste"/>
        <w:numPr>
          <w:ilvl w:val="0"/>
          <w:numId w:val="1"/>
        </w:numPr>
        <w:spacing w:after="240"/>
        <w:outlineLvl w:val="2"/>
        <w:rPr>
          <w:b/>
          <w:bCs/>
          <w:vanish/>
        </w:rPr>
      </w:pPr>
    </w:p>
    <w:p w14:paraId="1449EAC2" w14:textId="77777777" w:rsidR="004B4A90" w:rsidRPr="004B4A90" w:rsidRDefault="004B4A90" w:rsidP="004B4A90">
      <w:pPr>
        <w:pStyle w:val="Paragraphedeliste"/>
        <w:numPr>
          <w:ilvl w:val="0"/>
          <w:numId w:val="1"/>
        </w:numPr>
        <w:spacing w:after="240"/>
        <w:outlineLvl w:val="2"/>
        <w:rPr>
          <w:b/>
          <w:bCs/>
          <w:vanish/>
        </w:rPr>
      </w:pPr>
    </w:p>
    <w:p w14:paraId="46859DDA" w14:textId="77777777" w:rsidR="004B4A90" w:rsidRPr="004B4A90" w:rsidRDefault="004B4A90" w:rsidP="004B4A90">
      <w:pPr>
        <w:pStyle w:val="Paragraphedeliste"/>
        <w:numPr>
          <w:ilvl w:val="0"/>
          <w:numId w:val="1"/>
        </w:numPr>
        <w:spacing w:after="240"/>
        <w:outlineLvl w:val="2"/>
        <w:rPr>
          <w:b/>
          <w:bCs/>
          <w:vanish/>
        </w:rPr>
      </w:pPr>
    </w:p>
    <w:p w14:paraId="60A89DA6" w14:textId="77777777" w:rsidR="004B4A90" w:rsidRPr="004B4A90" w:rsidRDefault="004B4A90" w:rsidP="004B4A90">
      <w:pPr>
        <w:pStyle w:val="Paragraphedeliste"/>
        <w:numPr>
          <w:ilvl w:val="0"/>
          <w:numId w:val="1"/>
        </w:numPr>
        <w:spacing w:after="240"/>
        <w:outlineLvl w:val="2"/>
        <w:rPr>
          <w:b/>
          <w:bCs/>
          <w:vanish/>
        </w:rPr>
      </w:pPr>
    </w:p>
    <w:p w14:paraId="197D7CC4" w14:textId="77777777" w:rsidR="004B4A90" w:rsidRPr="004B4A90" w:rsidRDefault="004B4A90" w:rsidP="004B4A90">
      <w:pPr>
        <w:pStyle w:val="Paragraphedeliste"/>
        <w:numPr>
          <w:ilvl w:val="0"/>
          <w:numId w:val="1"/>
        </w:numPr>
        <w:spacing w:after="240"/>
        <w:outlineLvl w:val="2"/>
        <w:rPr>
          <w:b/>
          <w:bCs/>
          <w:vanish/>
        </w:rPr>
      </w:pPr>
    </w:p>
    <w:p w14:paraId="79B8E888" w14:textId="3FB4E337" w:rsidR="006F3E0E" w:rsidRDefault="006F3E0E" w:rsidP="004B4A90">
      <w:pPr>
        <w:pStyle w:val="Titre3"/>
      </w:pPr>
      <w:r>
        <w:t>Bronchodilatateurs</w:t>
      </w:r>
    </w:p>
    <w:p w14:paraId="45BDB526" w14:textId="77777777" w:rsidR="006F3E0E" w:rsidRDefault="006F3E0E" w:rsidP="006F3E0E">
      <w:pPr>
        <w:pBdr>
          <w:top w:val="nil"/>
          <w:left w:val="nil"/>
          <w:bottom w:val="nil"/>
          <w:right w:val="nil"/>
          <w:between w:val="nil"/>
        </w:pBdr>
        <w:spacing w:line="276" w:lineRule="auto"/>
      </w:pPr>
      <w:r>
        <w:lastRenderedPageBreak/>
        <w:t>Il s’agit du traitement essentiel, administré exclusivement par voie inhalée. Les posologies des bronchodilatateurs doivent être élevées. Les bêta-2 agonistes de courte durée d’action sont administrés en première intention, seuls ou associés aux anticholinergiques de courte durée d’action.</w:t>
      </w:r>
    </w:p>
    <w:p w14:paraId="19DB4381" w14:textId="77777777" w:rsidR="006F3E0E" w:rsidRDefault="006F3E0E" w:rsidP="006F3E0E">
      <w:pPr>
        <w:pBdr>
          <w:top w:val="nil"/>
          <w:left w:val="nil"/>
          <w:bottom w:val="nil"/>
          <w:right w:val="nil"/>
          <w:between w:val="nil"/>
        </w:pBdr>
        <w:spacing w:line="276" w:lineRule="auto"/>
      </w:pPr>
      <w:r>
        <w:t>À domicile, l’efficacité des aérosols-doseurs pressurisés peut être augmentée par l’utilisation d’une chambre d’inhalation.</w:t>
      </w:r>
    </w:p>
    <w:p w14:paraId="0BB97765" w14:textId="77777777" w:rsidR="006F3E0E" w:rsidRDefault="006F3E0E" w:rsidP="006F3E0E">
      <w:pPr>
        <w:pBdr>
          <w:top w:val="nil"/>
          <w:left w:val="nil"/>
          <w:bottom w:val="nil"/>
          <w:right w:val="nil"/>
          <w:between w:val="nil"/>
        </w:pBdr>
        <w:spacing w:line="276" w:lineRule="auto"/>
        <w:rPr>
          <w:u w:val="single"/>
        </w:rPr>
      </w:pPr>
      <w:r>
        <w:t xml:space="preserve">À l’hôpital, la nébulisation est le mode d’administration privilégié. </w:t>
      </w:r>
    </w:p>
    <w:p w14:paraId="652614C3" w14:textId="77777777" w:rsidR="006F3E0E" w:rsidRDefault="006F3E0E" w:rsidP="006F3E0E">
      <w:pPr>
        <w:pBdr>
          <w:top w:val="nil"/>
          <w:left w:val="nil"/>
          <w:bottom w:val="nil"/>
          <w:right w:val="nil"/>
          <w:between w:val="nil"/>
        </w:pBdr>
        <w:spacing w:line="276" w:lineRule="auto"/>
        <w:rPr>
          <w:b/>
          <w:bCs/>
          <w:u w:val="single"/>
        </w:rPr>
      </w:pPr>
    </w:p>
    <w:p w14:paraId="00F76A17" w14:textId="2254B127" w:rsidR="006F3E0E" w:rsidRDefault="006F3E0E" w:rsidP="004B4A90">
      <w:pPr>
        <w:pStyle w:val="Titre3"/>
      </w:pPr>
      <w:r>
        <w:t xml:space="preserve">Antibiotiques </w:t>
      </w:r>
    </w:p>
    <w:p w14:paraId="2EADA164" w14:textId="77777777" w:rsidR="006F3E0E" w:rsidRDefault="006F3E0E" w:rsidP="006F3E0E">
      <w:pPr>
        <w:pBdr>
          <w:top w:val="nil"/>
          <w:left w:val="nil"/>
          <w:bottom w:val="nil"/>
          <w:right w:val="nil"/>
          <w:between w:val="nil"/>
        </w:pBdr>
        <w:spacing w:line="276" w:lineRule="auto"/>
      </w:pPr>
      <w:r>
        <w:t>Les antibiotiques sont indiqués en cas d’augmentation du volume et de purulence franche des expectorations :</w:t>
      </w:r>
    </w:p>
    <w:p w14:paraId="5615332C" w14:textId="77777777" w:rsidR="006F3E0E" w:rsidRDefault="006F3E0E" w:rsidP="006F3E0E">
      <w:pPr>
        <w:pBdr>
          <w:top w:val="nil"/>
          <w:left w:val="nil"/>
          <w:bottom w:val="nil"/>
          <w:right w:val="nil"/>
          <w:between w:val="nil"/>
        </w:pBdr>
        <w:spacing w:line="276" w:lineRule="auto"/>
      </w:pPr>
      <w:r>
        <w:t>- D’emblée si la BPCO sous-jacente est très sévère (VEMS &lt; 30 % de la théorique).</w:t>
      </w:r>
    </w:p>
    <w:p w14:paraId="06590D05" w14:textId="77777777" w:rsidR="006F3E0E" w:rsidRDefault="006F3E0E" w:rsidP="006F3E0E">
      <w:pPr>
        <w:pBdr>
          <w:top w:val="nil"/>
          <w:left w:val="nil"/>
          <w:bottom w:val="nil"/>
          <w:right w:val="nil"/>
          <w:between w:val="nil"/>
        </w:pBdr>
        <w:spacing w:line="276" w:lineRule="auto"/>
      </w:pPr>
      <w:r>
        <w:t>- Ou si ces manifestations persistent durant au moins 48 h dans les autres cas.</w:t>
      </w:r>
    </w:p>
    <w:p w14:paraId="21553583" w14:textId="77777777" w:rsidR="006F3E0E" w:rsidRDefault="006F3E0E" w:rsidP="006F3E0E">
      <w:pPr>
        <w:pBdr>
          <w:top w:val="nil"/>
          <w:left w:val="nil"/>
          <w:bottom w:val="nil"/>
          <w:right w:val="nil"/>
          <w:between w:val="nil"/>
        </w:pBdr>
        <w:spacing w:line="276" w:lineRule="auto"/>
      </w:pPr>
      <w:r>
        <w:t>En cas d’abstention initiale, cette indication doit être estimée de nouveau lors de la réévaluation médicale préconisée à 48-72 h.</w:t>
      </w:r>
    </w:p>
    <w:p w14:paraId="5CF29B02" w14:textId="77777777" w:rsidR="006F3E0E" w:rsidRDefault="006F3E0E" w:rsidP="006F3E0E">
      <w:pPr>
        <w:pBdr>
          <w:top w:val="nil"/>
          <w:left w:val="nil"/>
          <w:bottom w:val="nil"/>
          <w:right w:val="nil"/>
          <w:between w:val="nil"/>
        </w:pBdr>
        <w:spacing w:line="276" w:lineRule="auto"/>
      </w:pPr>
    </w:p>
    <w:p w14:paraId="6231934F" w14:textId="77777777" w:rsidR="006F3E0E" w:rsidRDefault="006F3E0E" w:rsidP="006F3E0E">
      <w:pPr>
        <w:pBdr>
          <w:top w:val="nil"/>
          <w:left w:val="nil"/>
          <w:bottom w:val="nil"/>
          <w:right w:val="nil"/>
          <w:between w:val="nil"/>
        </w:pBdr>
        <w:spacing w:line="276" w:lineRule="auto"/>
      </w:pPr>
      <w:r>
        <w:t xml:space="preserve">Les molécules utilisées en première intention sont : </w:t>
      </w:r>
    </w:p>
    <w:p w14:paraId="22ED3A02" w14:textId="77777777" w:rsidR="006F3E0E" w:rsidRDefault="006F3E0E" w:rsidP="006F3E0E">
      <w:pPr>
        <w:pBdr>
          <w:top w:val="nil"/>
          <w:left w:val="nil"/>
          <w:bottom w:val="nil"/>
          <w:right w:val="nil"/>
          <w:between w:val="nil"/>
        </w:pBdr>
        <w:spacing w:line="276" w:lineRule="auto"/>
      </w:pPr>
      <w:r>
        <w:t>- Amoxicilline +/– acide clavulanique.</w:t>
      </w:r>
    </w:p>
    <w:p w14:paraId="01D71F52" w14:textId="77777777" w:rsidR="006F3E0E" w:rsidRDefault="006F3E0E" w:rsidP="006F3E0E">
      <w:pPr>
        <w:pBdr>
          <w:top w:val="nil"/>
          <w:left w:val="nil"/>
          <w:bottom w:val="nil"/>
          <w:right w:val="nil"/>
          <w:between w:val="nil"/>
        </w:pBdr>
        <w:spacing w:line="276" w:lineRule="auto"/>
      </w:pPr>
      <w:r>
        <w:t>- En cas d’allergie aux pénicillines : pristinamycine, ceftriaxone (si pas de CI aux céphalosporines) ou triméthoprime-</w:t>
      </w:r>
      <w:proofErr w:type="spellStart"/>
      <w:r>
        <w:t>sulfaméthoxazole</w:t>
      </w:r>
      <w:proofErr w:type="spellEnd"/>
      <w:r>
        <w:t>.</w:t>
      </w:r>
    </w:p>
    <w:p w14:paraId="34D92FEE" w14:textId="77777777" w:rsidR="006F3E0E" w:rsidRDefault="006F3E0E" w:rsidP="006F3E0E">
      <w:pPr>
        <w:pBdr>
          <w:top w:val="nil"/>
          <w:left w:val="nil"/>
          <w:bottom w:val="nil"/>
          <w:right w:val="nil"/>
          <w:between w:val="nil"/>
        </w:pBdr>
        <w:spacing w:line="276" w:lineRule="auto"/>
      </w:pPr>
    </w:p>
    <w:p w14:paraId="0B109E93" w14:textId="77777777" w:rsidR="006F3E0E" w:rsidRDefault="006F3E0E" w:rsidP="006F3E0E">
      <w:pPr>
        <w:pBdr>
          <w:top w:val="nil"/>
          <w:left w:val="nil"/>
          <w:bottom w:val="nil"/>
          <w:right w:val="nil"/>
          <w:between w:val="nil"/>
        </w:pBdr>
        <w:spacing w:line="276" w:lineRule="auto"/>
      </w:pPr>
      <w:r>
        <w:t>Les quinolones actives sur le pneumocoque (</w:t>
      </w:r>
      <w:proofErr w:type="spellStart"/>
      <w:r>
        <w:t>lévofloxacine</w:t>
      </w:r>
      <w:proofErr w:type="spellEnd"/>
      <w:r>
        <w:t>) sont des molécules de dernier recours dans cette indication.</w:t>
      </w:r>
    </w:p>
    <w:p w14:paraId="17A0211B" w14:textId="3DEC6542" w:rsidR="006F3E0E" w:rsidRDefault="004B4A90" w:rsidP="006F3E0E">
      <w:pPr>
        <w:pBdr>
          <w:top w:val="nil"/>
          <w:left w:val="nil"/>
          <w:bottom w:val="nil"/>
          <w:right w:val="nil"/>
          <w:between w:val="nil"/>
        </w:pBdr>
        <w:spacing w:line="276" w:lineRule="auto"/>
      </w:pPr>
      <w:r>
        <w:rPr>
          <w:noProof/>
        </w:rPr>
        <w:drawing>
          <wp:anchor distT="0" distB="0" distL="114300" distR="114300" simplePos="0" relativeHeight="251921408" behindDoc="0" locked="0" layoutInCell="1" hidden="0" allowOverlap="1" wp14:anchorId="035ACFF4" wp14:editId="60630125">
            <wp:simplePos x="0" y="0"/>
            <wp:positionH relativeFrom="column">
              <wp:posOffset>-280507</wp:posOffset>
            </wp:positionH>
            <wp:positionV relativeFrom="paragraph">
              <wp:posOffset>182880</wp:posOffset>
            </wp:positionV>
            <wp:extent cx="153670" cy="137160"/>
            <wp:effectExtent l="0" t="0" r="0" b="0"/>
            <wp:wrapSquare wrapText="bothSides" distT="0" distB="0" distL="114300" distR="114300"/>
            <wp:docPr id="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p>
    <w:p w14:paraId="7522C905" w14:textId="20A39088" w:rsidR="006F3E0E" w:rsidRDefault="006F3E0E" w:rsidP="006F3E0E">
      <w:pPr>
        <w:pBdr>
          <w:top w:val="nil"/>
          <w:left w:val="nil"/>
          <w:bottom w:val="nil"/>
          <w:right w:val="nil"/>
          <w:between w:val="nil"/>
        </w:pBdr>
        <w:spacing w:line="276" w:lineRule="auto"/>
        <w:rPr>
          <w:color w:val="0070C0"/>
        </w:rPr>
      </w:pPr>
      <w:r>
        <w:rPr>
          <w:color w:val="0070C0"/>
        </w:rPr>
        <w:t>Les autres familles d’antibiotiques (macrolides, doxycycline) ne sont pas recommandées sauf en cas de pénurie des molécules de première intention. Selon l’historique des exacerbations, des germes résistants peuvent être ciblés (Pseudomonas…) avec réévaluation secondaire de l’antibiothérapie en fonction des résultats microbiologiques (ECBC).</w:t>
      </w:r>
    </w:p>
    <w:p w14:paraId="5286B835" w14:textId="77777777" w:rsidR="006F3E0E" w:rsidRDefault="006F3E0E" w:rsidP="006F3E0E">
      <w:pPr>
        <w:pBdr>
          <w:top w:val="nil"/>
          <w:left w:val="nil"/>
          <w:bottom w:val="nil"/>
          <w:right w:val="nil"/>
          <w:between w:val="nil"/>
        </w:pBdr>
        <w:spacing w:line="276" w:lineRule="auto"/>
        <w:rPr>
          <w:b/>
          <w:bCs/>
        </w:rPr>
      </w:pPr>
    </w:p>
    <w:p w14:paraId="1555989B" w14:textId="77777777" w:rsidR="006F3E0E" w:rsidRDefault="006F3E0E" w:rsidP="006F3E0E">
      <w:pPr>
        <w:spacing w:line="276" w:lineRule="auto"/>
        <w:ind w:right="294"/>
      </w:pPr>
      <w:r>
        <w:t>Le traitement, réévalué à J2 ou J3, est prescrit pour une durée de 5 jours.</w:t>
      </w:r>
    </w:p>
    <w:p w14:paraId="0FCC3380" w14:textId="77777777" w:rsidR="006F3E0E" w:rsidRDefault="006F3E0E" w:rsidP="006F3E0E">
      <w:pPr>
        <w:spacing w:line="276" w:lineRule="auto"/>
        <w:ind w:right="294"/>
      </w:pPr>
    </w:p>
    <w:p w14:paraId="27E06A07" w14:textId="515037D9" w:rsidR="006F3E0E" w:rsidRDefault="006F3E0E" w:rsidP="004B4A90">
      <w:pPr>
        <w:pStyle w:val="Titre3"/>
      </w:pPr>
      <w:r>
        <w:t>Oxygénothérapie</w:t>
      </w:r>
    </w:p>
    <w:p w14:paraId="67504EAE" w14:textId="77777777" w:rsidR="006F3E0E" w:rsidRDefault="006F3E0E" w:rsidP="006F3E0E">
      <w:pPr>
        <w:spacing w:line="276" w:lineRule="auto"/>
      </w:pPr>
      <w:r>
        <w:t>Le recours à une oxygénothérapie (ou la modification de son débit chez un patient sous OLD) est un motif d’hospitalisation.</w:t>
      </w:r>
    </w:p>
    <w:p w14:paraId="0EE755A3" w14:textId="77777777" w:rsidR="006F3E0E" w:rsidRDefault="006F3E0E" w:rsidP="006F3E0E">
      <w:pPr>
        <w:spacing w:line="276" w:lineRule="auto"/>
      </w:pPr>
      <w:r>
        <w:t xml:space="preserve">Le débit d’oxygène est </w:t>
      </w:r>
      <w:r>
        <w:rPr>
          <w:b/>
          <w:bCs/>
        </w:rPr>
        <w:t>titré</w:t>
      </w:r>
      <w:r>
        <w:t xml:space="preserve"> afin d’obtenir une saturation pulsée en oxygène (SpO</w:t>
      </w:r>
      <w:r>
        <w:rPr>
          <w:vertAlign w:val="subscript"/>
        </w:rPr>
        <w:t>2</w:t>
      </w:r>
      <w:r>
        <w:t>) comprise entre 88 et 92 %.</w:t>
      </w:r>
    </w:p>
    <w:p w14:paraId="5BCCFB52" w14:textId="77777777" w:rsidR="006F3E0E" w:rsidRDefault="006F3E0E" w:rsidP="006F3E0E">
      <w:pPr>
        <w:spacing w:line="276" w:lineRule="auto"/>
      </w:pPr>
    </w:p>
    <w:tbl>
      <w:tblPr>
        <w:tblW w:w="9067" w:type="dxa"/>
        <w:tblBorders>
          <w:top w:val="single" w:sz="2" w:space="0" w:color="747474" w:themeColor="background2" w:themeShade="80"/>
          <w:left w:val="single" w:sz="2" w:space="0" w:color="747474" w:themeColor="background2" w:themeShade="80"/>
          <w:bottom w:val="single" w:sz="2" w:space="0" w:color="747474" w:themeColor="background2" w:themeShade="80"/>
          <w:right w:val="single" w:sz="2" w:space="0" w:color="747474" w:themeColor="background2" w:themeShade="80"/>
          <w:insideH w:val="single" w:sz="2" w:space="0" w:color="747474" w:themeColor="background2" w:themeShade="80"/>
          <w:insideV w:val="single" w:sz="2" w:space="0" w:color="747474" w:themeColor="background2" w:themeShade="80"/>
        </w:tblBorders>
        <w:tblLayout w:type="fixed"/>
        <w:tblLook w:val="0400" w:firstRow="0" w:lastRow="0" w:firstColumn="0" w:lastColumn="0" w:noHBand="0" w:noVBand="1"/>
      </w:tblPr>
      <w:tblGrid>
        <w:gridCol w:w="9067"/>
      </w:tblGrid>
      <w:tr w:rsidR="006F3E0E" w14:paraId="630CEAD2" w14:textId="77777777" w:rsidTr="004B4A90">
        <w:trPr>
          <w:trHeight w:val="1077"/>
        </w:trPr>
        <w:tc>
          <w:tcPr>
            <w:tcW w:w="9067" w:type="dxa"/>
            <w:vAlign w:val="center"/>
          </w:tcPr>
          <w:p w14:paraId="61D25FF7" w14:textId="77777777" w:rsidR="006F3E0E" w:rsidRDefault="006F3E0E" w:rsidP="0094705B">
            <w:pPr>
              <w:pBdr>
                <w:top w:val="nil"/>
                <w:left w:val="nil"/>
                <w:bottom w:val="nil"/>
                <w:right w:val="nil"/>
                <w:between w:val="nil"/>
              </w:pBdr>
              <w:spacing w:line="276" w:lineRule="auto"/>
              <w:ind w:left="720"/>
            </w:pPr>
            <w:r>
              <w:t>L’hypoxémie mal tolérée ou profonde est un signe de gravité majeur et doit toujours être corrigée par des débits d’oxygène adéquats.</w:t>
            </w:r>
            <w:r>
              <w:rPr>
                <w:noProof/>
              </w:rPr>
              <w:drawing>
                <wp:anchor distT="0" distB="0" distL="114300" distR="114300" simplePos="0" relativeHeight="251922432" behindDoc="0" locked="0" layoutInCell="1" hidden="0" allowOverlap="1" wp14:anchorId="6AEF22E7" wp14:editId="731AF01A">
                  <wp:simplePos x="0" y="0"/>
                  <wp:positionH relativeFrom="column">
                    <wp:posOffset>1</wp:posOffset>
                  </wp:positionH>
                  <wp:positionV relativeFrom="paragraph">
                    <wp:posOffset>49815</wp:posOffset>
                  </wp:positionV>
                  <wp:extent cx="615950" cy="591820"/>
                  <wp:effectExtent l="0" t="0" r="0" b="0"/>
                  <wp:wrapSquare wrapText="bothSides" distT="0" distB="0" distL="114300" distR="114300"/>
                  <wp:docPr id="2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615950" cy="591820"/>
                          </a:xfrm>
                          <a:prstGeom prst="rect">
                            <a:avLst/>
                          </a:prstGeom>
                          <a:ln/>
                        </pic:spPr>
                      </pic:pic>
                    </a:graphicData>
                  </a:graphic>
                </wp:anchor>
              </w:drawing>
            </w:r>
          </w:p>
          <w:p w14:paraId="5EB86523" w14:textId="77777777" w:rsidR="006F3E0E" w:rsidRDefault="006F3E0E" w:rsidP="0094705B">
            <w:pPr>
              <w:pBdr>
                <w:top w:val="nil"/>
                <w:left w:val="nil"/>
                <w:bottom w:val="nil"/>
                <w:right w:val="nil"/>
                <w:between w:val="nil"/>
              </w:pBdr>
              <w:spacing w:line="276" w:lineRule="auto"/>
              <w:ind w:left="720"/>
            </w:pPr>
            <w:r>
              <w:t xml:space="preserve">En cas d’hypercapnie, il convient d’effectuer une surveillance gazométrique afin de détecter les patients chez qui l’oxygène aggrave l’acidose respiratoire. </w:t>
            </w:r>
          </w:p>
        </w:tc>
      </w:tr>
    </w:tbl>
    <w:p w14:paraId="019964D7" w14:textId="77777777" w:rsidR="006F3E0E" w:rsidRDefault="006F3E0E" w:rsidP="006F3E0E">
      <w:pPr>
        <w:spacing w:line="276" w:lineRule="auto"/>
      </w:pPr>
    </w:p>
    <w:p w14:paraId="74BE4AD1" w14:textId="41F352F6" w:rsidR="006F3E0E" w:rsidRDefault="006F3E0E" w:rsidP="004B4A90">
      <w:pPr>
        <w:pStyle w:val="Titre3"/>
      </w:pPr>
      <w:r>
        <w:t>Corticothérapie systémique (courte durée)</w:t>
      </w:r>
    </w:p>
    <w:p w14:paraId="43493567" w14:textId="17E7D1B7" w:rsidR="006F3E0E" w:rsidRDefault="006F3E0E" w:rsidP="006F3E0E">
      <w:pPr>
        <w:spacing w:line="276" w:lineRule="auto"/>
      </w:pPr>
      <w:r>
        <w:lastRenderedPageBreak/>
        <w:t xml:space="preserve">Elle n’est envisagée qu’en seconde intention, en l’absence d’amélioration après 48 heures de traitement ou d’emblée chez les malades hospitalisés, sans être systématique, elle est discutée au cas par cas, </w:t>
      </w:r>
      <w:r>
        <w:rPr>
          <w:color w:val="0070C0"/>
        </w:rPr>
        <w:t>à une dose de 30-40 mg/j pendant une durée courte (5 jours), sans décroissance.</w:t>
      </w:r>
    </w:p>
    <w:p w14:paraId="6A929100" w14:textId="77777777" w:rsidR="006F3E0E" w:rsidRDefault="006F3E0E" w:rsidP="006F3E0E">
      <w:pPr>
        <w:spacing w:line="276" w:lineRule="auto"/>
        <w:rPr>
          <w:u w:val="single"/>
        </w:rPr>
      </w:pPr>
    </w:p>
    <w:p w14:paraId="13D18C03" w14:textId="7D4F341A" w:rsidR="006F3E0E" w:rsidRDefault="004B4A90" w:rsidP="004B4A90">
      <w:pPr>
        <w:pStyle w:val="Titre3"/>
      </w:pPr>
      <w:r>
        <w:rPr>
          <w:noProof/>
        </w:rPr>
        <w:drawing>
          <wp:anchor distT="0" distB="0" distL="114300" distR="114300" simplePos="0" relativeHeight="251924480" behindDoc="0" locked="0" layoutInCell="1" hidden="0" allowOverlap="1" wp14:anchorId="392D431A" wp14:editId="22858CED">
            <wp:simplePos x="0" y="0"/>
            <wp:positionH relativeFrom="column">
              <wp:posOffset>-266228</wp:posOffset>
            </wp:positionH>
            <wp:positionV relativeFrom="paragraph">
              <wp:posOffset>325120</wp:posOffset>
            </wp:positionV>
            <wp:extent cx="153670" cy="137160"/>
            <wp:effectExtent l="0" t="0" r="0" b="0"/>
            <wp:wrapSquare wrapText="bothSides" distT="0" distB="0" distL="114300" distR="114300"/>
            <wp:docPr id="25307068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6F3E0E">
        <w:t>Autres traitements</w:t>
      </w:r>
    </w:p>
    <w:p w14:paraId="68F50EDA" w14:textId="59571861" w:rsidR="006F3E0E" w:rsidRDefault="006F3E0E" w:rsidP="006F3E0E">
      <w:pPr>
        <w:pBdr>
          <w:top w:val="nil"/>
          <w:left w:val="nil"/>
          <w:bottom w:val="nil"/>
          <w:right w:val="nil"/>
          <w:between w:val="nil"/>
        </w:pBdr>
        <w:spacing w:line="276" w:lineRule="auto"/>
        <w:rPr>
          <w:color w:val="0070C0"/>
        </w:rPr>
      </w:pPr>
      <w:r>
        <w:rPr>
          <w:color w:val="0070C0"/>
        </w:rPr>
        <w:t>- Kinésithérapie de drainage en cas d’encombrement bronchique.</w:t>
      </w:r>
    </w:p>
    <w:p w14:paraId="1C47B124" w14:textId="77777777" w:rsidR="006F3E0E" w:rsidRDefault="006F3E0E" w:rsidP="006F3E0E">
      <w:pPr>
        <w:pBdr>
          <w:top w:val="nil"/>
          <w:left w:val="nil"/>
          <w:bottom w:val="nil"/>
          <w:right w:val="nil"/>
          <w:between w:val="nil"/>
        </w:pBdr>
        <w:spacing w:line="276" w:lineRule="auto"/>
        <w:rPr>
          <w:color w:val="0070C0"/>
        </w:rPr>
      </w:pPr>
      <w:r>
        <w:rPr>
          <w:color w:val="0070C0"/>
        </w:rPr>
        <w:t xml:space="preserve">- Traitement étiologique du facteur déclenchant de l’exacerbation. </w:t>
      </w:r>
    </w:p>
    <w:p w14:paraId="056373CB" w14:textId="77777777" w:rsidR="006F3E0E" w:rsidRDefault="006F3E0E" w:rsidP="006F3E0E">
      <w:pPr>
        <w:pBdr>
          <w:top w:val="nil"/>
          <w:left w:val="nil"/>
          <w:bottom w:val="nil"/>
          <w:right w:val="nil"/>
          <w:between w:val="nil"/>
        </w:pBdr>
        <w:spacing w:line="276" w:lineRule="auto"/>
        <w:rPr>
          <w:color w:val="0070C0"/>
        </w:rPr>
      </w:pPr>
      <w:r>
        <w:rPr>
          <w:color w:val="0070C0"/>
        </w:rPr>
        <w:t>- Prévention des complications de décubitus : prophylaxie de la maladie thrombo-embolique chez les malades hospitalisés (HBPM en l’absence d’insuffisance rénale).</w:t>
      </w:r>
    </w:p>
    <w:p w14:paraId="535DF1AF" w14:textId="77777777" w:rsidR="006F3E0E" w:rsidRDefault="006F3E0E" w:rsidP="006F3E0E">
      <w:pPr>
        <w:pBdr>
          <w:top w:val="nil"/>
          <w:left w:val="nil"/>
          <w:bottom w:val="nil"/>
          <w:right w:val="nil"/>
          <w:between w:val="nil"/>
        </w:pBdr>
        <w:spacing w:line="276" w:lineRule="auto"/>
        <w:rPr>
          <w:color w:val="0070C0"/>
        </w:rPr>
      </w:pPr>
      <w:r>
        <w:rPr>
          <w:color w:val="0070C0"/>
        </w:rPr>
        <w:t>- Prise en charge du sevrage tabagique.</w:t>
      </w:r>
    </w:p>
    <w:p w14:paraId="560DB697" w14:textId="77777777" w:rsidR="006F3E0E" w:rsidRDefault="006F3E0E" w:rsidP="006F3E0E">
      <w:pPr>
        <w:pBdr>
          <w:top w:val="nil"/>
          <w:left w:val="nil"/>
          <w:bottom w:val="nil"/>
          <w:right w:val="nil"/>
          <w:between w:val="nil"/>
        </w:pBdr>
        <w:spacing w:line="276" w:lineRule="auto"/>
        <w:rPr>
          <w:color w:val="0070C0"/>
        </w:rPr>
      </w:pPr>
      <w:r>
        <w:rPr>
          <w:color w:val="0070C0"/>
        </w:rPr>
        <w:t>- Réévaluation de la technique de prise des traitements inhalés.</w:t>
      </w:r>
    </w:p>
    <w:p w14:paraId="6722ADE6" w14:textId="77777777" w:rsidR="006F3E0E" w:rsidRDefault="006F3E0E" w:rsidP="006F3E0E">
      <w:pPr>
        <w:pBdr>
          <w:top w:val="nil"/>
          <w:left w:val="nil"/>
          <w:bottom w:val="nil"/>
          <w:right w:val="nil"/>
          <w:between w:val="nil"/>
        </w:pBdr>
        <w:spacing w:line="276" w:lineRule="auto"/>
        <w:rPr>
          <w:color w:val="0070C0"/>
        </w:rPr>
      </w:pPr>
      <w:r>
        <w:rPr>
          <w:color w:val="0070C0"/>
        </w:rPr>
        <w:t>- Prise en charge des comorbidités associées.</w:t>
      </w:r>
    </w:p>
    <w:p w14:paraId="387631BD" w14:textId="77777777" w:rsidR="006F3E0E" w:rsidRDefault="006F3E0E" w:rsidP="006F3E0E">
      <w:pPr>
        <w:spacing w:line="276" w:lineRule="auto"/>
        <w:rPr>
          <w:u w:val="single"/>
        </w:rPr>
      </w:pPr>
    </w:p>
    <w:p w14:paraId="295EE9B1" w14:textId="6E373A17" w:rsidR="006F3E0E" w:rsidRDefault="006F3E0E" w:rsidP="004B4A90">
      <w:pPr>
        <w:pStyle w:val="Titre3"/>
      </w:pPr>
      <w:r>
        <w:t>Ventilation mécanique</w:t>
      </w:r>
    </w:p>
    <w:p w14:paraId="3937F076" w14:textId="77777777" w:rsidR="006F3E0E" w:rsidRDefault="006F3E0E" w:rsidP="006F3E0E">
      <w:pPr>
        <w:spacing w:line="276" w:lineRule="auto"/>
      </w:pPr>
      <w:r>
        <w:t>Elle est indiquée en cas d’</w:t>
      </w:r>
      <w:r>
        <w:rPr>
          <w:b/>
          <w:bCs/>
        </w:rPr>
        <w:t xml:space="preserve">acidose respiratoire </w:t>
      </w:r>
      <w:r>
        <w:t xml:space="preserve">(pH &lt; 7,35). </w:t>
      </w:r>
    </w:p>
    <w:p w14:paraId="3210AB72" w14:textId="77777777" w:rsidR="006F3E0E" w:rsidRDefault="006F3E0E" w:rsidP="006F3E0E">
      <w:pPr>
        <w:spacing w:line="276" w:lineRule="auto"/>
        <w:rPr>
          <w:b/>
          <w:bCs/>
        </w:rPr>
      </w:pPr>
    </w:p>
    <w:p w14:paraId="448E0051" w14:textId="3E01CF34" w:rsidR="006F3E0E" w:rsidRDefault="006F3E0E" w:rsidP="004B4A90">
      <w:pPr>
        <w:pStyle w:val="titredesous-partie"/>
        <w:numPr>
          <w:ilvl w:val="0"/>
          <w:numId w:val="1"/>
        </w:numPr>
        <w:ind w:left="567" w:hanging="283"/>
      </w:pPr>
      <w:r>
        <w:rPr>
          <w:shd w:val="clear" w:color="auto" w:fill="auto"/>
        </w:rPr>
        <w:t>Suivi</w:t>
      </w:r>
    </w:p>
    <w:p w14:paraId="16AEFD58" w14:textId="77777777" w:rsidR="006F3E0E" w:rsidRDefault="006F3E0E" w:rsidP="006F3E0E">
      <w:pPr>
        <w:spacing w:line="276" w:lineRule="auto"/>
      </w:pPr>
      <w:r>
        <w:t xml:space="preserve">Toute exacerbation est un motif de renforcement du suivi clinique (symptômes, handicap) et fonctionnel respiratoire (spirométrie à distance). </w:t>
      </w:r>
    </w:p>
    <w:p w14:paraId="5239CB3F" w14:textId="77777777" w:rsidR="006F3E0E" w:rsidRDefault="006F3E0E" w:rsidP="006F3E0E">
      <w:pPr>
        <w:spacing w:line="276" w:lineRule="auto"/>
      </w:pPr>
      <w:r>
        <w:t>Une consultation du médecin traitant est indispensable dans la semaine suivant une exacerbation.</w:t>
      </w:r>
    </w:p>
    <w:p w14:paraId="0E370529" w14:textId="77777777" w:rsidR="006F3E0E" w:rsidRDefault="006F3E0E" w:rsidP="006F3E0E">
      <w:pPr>
        <w:spacing w:line="276" w:lineRule="auto"/>
      </w:pPr>
      <w:r>
        <w:t>Une réadaptation respiratoire doit être proposée et initiée dans les 90 jours suivant une hospitalisation pour exacerbation pour les patients n’en ayant pas bénéficié récemment en raison des bénéfices importants en termes de morbi-mortalité.</w:t>
      </w:r>
    </w:p>
    <w:p w14:paraId="6FCD9E21" w14:textId="77777777" w:rsidR="006F3E0E" w:rsidRDefault="006F3E0E" w:rsidP="006F3E0E"/>
    <w:p w14:paraId="3E384695" w14:textId="77777777" w:rsidR="006F3E0E" w:rsidRDefault="006F3E0E" w:rsidP="006F3E0E">
      <w:pPr>
        <w:jc w:val="left"/>
      </w:pPr>
      <w:r>
        <w:br w:type="page"/>
      </w:r>
    </w:p>
    <w:p w14:paraId="0FF89FDE" w14:textId="77777777" w:rsidR="006F3E0E" w:rsidRDefault="006F3E0E" w:rsidP="006F3E0E">
      <w:pPr>
        <w:rPr>
          <w:b/>
          <w:bCs/>
          <w:color w:val="0070C0"/>
          <w:sz w:val="24"/>
          <w:szCs w:val="24"/>
        </w:rPr>
      </w:pPr>
      <w:r>
        <w:rPr>
          <w:b/>
          <w:bCs/>
          <w:color w:val="0070C0"/>
          <w:sz w:val="24"/>
          <w:szCs w:val="24"/>
        </w:rPr>
        <w:lastRenderedPageBreak/>
        <w:t>QUESTIONS TOMBABLES</w:t>
      </w:r>
    </w:p>
    <w:p w14:paraId="5019C40A" w14:textId="77777777" w:rsidR="006F3E0E" w:rsidRDefault="006F3E0E" w:rsidP="006F3E0E">
      <w:pPr>
        <w:jc w:val="center"/>
        <w:rPr>
          <w:b/>
          <w:bCs/>
          <w:color w:val="3366FF"/>
        </w:rPr>
      </w:pPr>
    </w:p>
    <w:p w14:paraId="07829CE9" w14:textId="77777777" w:rsidR="006F3E0E" w:rsidRDefault="006F3E0E">
      <w:pPr>
        <w:numPr>
          <w:ilvl w:val="0"/>
          <w:numId w:val="9"/>
        </w:numPr>
        <w:pBdr>
          <w:top w:val="nil"/>
          <w:left w:val="nil"/>
          <w:bottom w:val="nil"/>
          <w:right w:val="nil"/>
          <w:between w:val="nil"/>
        </w:pBdr>
        <w:spacing w:line="240" w:lineRule="auto"/>
        <w:jc w:val="left"/>
        <w:rPr>
          <w:b/>
          <w:bCs/>
        </w:rPr>
      </w:pPr>
      <w:r>
        <w:rPr>
          <w:b/>
          <w:bCs/>
        </w:rPr>
        <w:t>QRM</w:t>
      </w:r>
    </w:p>
    <w:p w14:paraId="38CA51FD" w14:textId="77777777" w:rsidR="006F3E0E" w:rsidRDefault="006F3E0E" w:rsidP="006F3E0E">
      <w:r>
        <w:t>Un homme de 51 ans se présente à votre consultation pour un essoufflement ancien. Il fume depuis l’âge de 17 ans environ 20 cigarettes par jour et exerce la profession de chauffeur de car. Il se plaint d’un essoufflement à l’effort qui le contraint à marcher plus lentement que sa compagne du même âge sans avoir besoin de s’arrêter pour autant. Il présente une toux avec des expectorations claires et quotidiennes depuis plusieurs années. L’examen clinique met en évidence une augmentation des diamètres thoraciques avec raccourcissement de la distance entre la glotte et le manubrium sternal.</w:t>
      </w:r>
    </w:p>
    <w:p w14:paraId="44B82B5B" w14:textId="77777777" w:rsidR="006F3E0E" w:rsidRDefault="006F3E0E" w:rsidP="006F3E0E">
      <w:r>
        <w:t>Parmi les diagnostics ci-dessous, le(s)quel(s) pouvez-vous déjà affirmer à ce stade</w:t>
      </w:r>
      <w:r>
        <w:rPr>
          <w:rFonts w:ascii="Arial" w:eastAsia="Arial" w:hAnsi="Arial" w:cs="Arial"/>
        </w:rPr>
        <w:t> </w:t>
      </w:r>
      <w:r>
        <w:t>?</w:t>
      </w:r>
    </w:p>
    <w:p w14:paraId="686410BB" w14:textId="77777777" w:rsidR="006F3E0E" w:rsidRDefault="006F3E0E">
      <w:pPr>
        <w:numPr>
          <w:ilvl w:val="0"/>
          <w:numId w:val="26"/>
        </w:numPr>
        <w:pBdr>
          <w:top w:val="nil"/>
          <w:left w:val="nil"/>
          <w:bottom w:val="nil"/>
          <w:right w:val="nil"/>
          <w:between w:val="nil"/>
        </w:pBdr>
        <w:spacing w:line="240" w:lineRule="auto"/>
        <w:jc w:val="left"/>
      </w:pPr>
      <w:r>
        <w:t>Le patient a une bronchite chronique</w:t>
      </w:r>
    </w:p>
    <w:p w14:paraId="61E2CB7F" w14:textId="77777777" w:rsidR="006F3E0E" w:rsidRDefault="006F3E0E">
      <w:pPr>
        <w:numPr>
          <w:ilvl w:val="0"/>
          <w:numId w:val="26"/>
        </w:numPr>
        <w:pBdr>
          <w:top w:val="nil"/>
          <w:left w:val="nil"/>
          <w:bottom w:val="nil"/>
          <w:right w:val="nil"/>
          <w:between w:val="nil"/>
        </w:pBdr>
        <w:spacing w:line="240" w:lineRule="auto"/>
        <w:jc w:val="left"/>
      </w:pPr>
      <w:r>
        <w:t>Le patient a une bronchopneumopathie chronique obstructive</w:t>
      </w:r>
    </w:p>
    <w:p w14:paraId="54A5A0C0" w14:textId="77777777" w:rsidR="006F3E0E" w:rsidRDefault="006F3E0E">
      <w:pPr>
        <w:numPr>
          <w:ilvl w:val="0"/>
          <w:numId w:val="26"/>
        </w:numPr>
        <w:pBdr>
          <w:top w:val="nil"/>
          <w:left w:val="nil"/>
          <w:bottom w:val="nil"/>
          <w:right w:val="nil"/>
          <w:between w:val="nil"/>
        </w:pBdr>
        <w:spacing w:line="240" w:lineRule="auto"/>
        <w:jc w:val="left"/>
      </w:pPr>
      <w:r>
        <w:t>Le patient a une distension thoracique</w:t>
      </w:r>
    </w:p>
    <w:p w14:paraId="7114C8E1" w14:textId="77777777" w:rsidR="006F3E0E" w:rsidRDefault="006F3E0E">
      <w:pPr>
        <w:numPr>
          <w:ilvl w:val="0"/>
          <w:numId w:val="26"/>
        </w:numPr>
        <w:pBdr>
          <w:top w:val="nil"/>
          <w:left w:val="nil"/>
          <w:bottom w:val="nil"/>
          <w:right w:val="nil"/>
          <w:between w:val="nil"/>
        </w:pBdr>
        <w:spacing w:line="240" w:lineRule="auto"/>
        <w:jc w:val="left"/>
      </w:pPr>
      <w:r>
        <w:t xml:space="preserve">Le patient a une dyspnée d’effort cotée </w:t>
      </w:r>
      <w:proofErr w:type="spellStart"/>
      <w:r>
        <w:t>mMRC</w:t>
      </w:r>
      <w:proofErr w:type="spellEnd"/>
      <w:r>
        <w:t> 2</w:t>
      </w:r>
    </w:p>
    <w:p w14:paraId="456B457E" w14:textId="77777777" w:rsidR="006F3E0E" w:rsidRDefault="006F3E0E">
      <w:pPr>
        <w:numPr>
          <w:ilvl w:val="0"/>
          <w:numId w:val="26"/>
        </w:numPr>
        <w:pBdr>
          <w:top w:val="nil"/>
          <w:left w:val="nil"/>
          <w:bottom w:val="nil"/>
          <w:right w:val="nil"/>
          <w:between w:val="nil"/>
        </w:pBdr>
        <w:spacing w:line="240" w:lineRule="auto"/>
        <w:jc w:val="left"/>
      </w:pPr>
      <w:r>
        <w:t>Le patient a un emphysème</w:t>
      </w:r>
    </w:p>
    <w:p w14:paraId="3F55C006" w14:textId="77777777" w:rsidR="006F3E0E" w:rsidRDefault="006F3E0E" w:rsidP="006F3E0E"/>
    <w:p w14:paraId="57B48A6F" w14:textId="77777777" w:rsidR="006F3E0E" w:rsidRDefault="006F3E0E">
      <w:pPr>
        <w:numPr>
          <w:ilvl w:val="0"/>
          <w:numId w:val="9"/>
        </w:numPr>
        <w:pBdr>
          <w:top w:val="nil"/>
          <w:left w:val="nil"/>
          <w:bottom w:val="nil"/>
          <w:right w:val="nil"/>
          <w:between w:val="nil"/>
        </w:pBdr>
        <w:spacing w:line="240" w:lineRule="auto"/>
        <w:jc w:val="left"/>
        <w:rPr>
          <w:b/>
          <w:bCs/>
        </w:rPr>
      </w:pPr>
      <w:r>
        <w:rPr>
          <w:b/>
          <w:bCs/>
        </w:rPr>
        <w:t>QRU</w:t>
      </w:r>
    </w:p>
    <w:p w14:paraId="442F9F83" w14:textId="77777777" w:rsidR="006F3E0E" w:rsidRDefault="006F3E0E" w:rsidP="006F3E0E">
      <w:r>
        <w:t>Vous réalisez une spirométrie chez un homme de 57 ans chez qui vous suspectez une bronchopneumopathie chronique obstructive dont voici les résultats.</w:t>
      </w:r>
    </w:p>
    <w:p w14:paraId="72074099" w14:textId="77777777" w:rsidR="006F3E0E" w:rsidRDefault="006F3E0E" w:rsidP="006F3E0E">
      <w:r>
        <w:rPr>
          <w:noProof/>
        </w:rPr>
        <w:drawing>
          <wp:inline distT="0" distB="0" distL="0" distR="0" wp14:anchorId="3C36A675" wp14:editId="179C9E4A">
            <wp:extent cx="5760720" cy="938530"/>
            <wp:effectExtent l="0" t="0" r="0" b="0"/>
            <wp:docPr id="31" name="image14.jpg" descr="Une image contenant tabl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14.jpg" descr="Une image contenant table&#10;&#10;Description générée automatiquement"/>
                    <pic:cNvPicPr preferRelativeResize="0"/>
                  </pic:nvPicPr>
                  <pic:blipFill>
                    <a:blip r:embed="rId21"/>
                    <a:srcRect/>
                    <a:stretch>
                      <a:fillRect/>
                    </a:stretch>
                  </pic:blipFill>
                  <pic:spPr>
                    <a:xfrm>
                      <a:off x="0" y="0"/>
                      <a:ext cx="5760720" cy="938530"/>
                    </a:xfrm>
                    <a:prstGeom prst="rect">
                      <a:avLst/>
                    </a:prstGeom>
                    <a:ln/>
                  </pic:spPr>
                </pic:pic>
              </a:graphicData>
            </a:graphic>
          </wp:inline>
        </w:drawing>
      </w:r>
    </w:p>
    <w:p w14:paraId="1B462FE3" w14:textId="77777777" w:rsidR="006F3E0E" w:rsidRDefault="006F3E0E" w:rsidP="006F3E0E">
      <w:r>
        <w:t>Parmi les interprétations ci-dessous, laquelle est juste</w:t>
      </w:r>
      <w:r>
        <w:rPr>
          <w:rFonts w:ascii="Arial" w:eastAsia="Arial" w:hAnsi="Arial" w:cs="Arial"/>
        </w:rPr>
        <w:t> </w:t>
      </w:r>
      <w:r>
        <w:t>?</w:t>
      </w:r>
    </w:p>
    <w:p w14:paraId="6EA7C625" w14:textId="77777777" w:rsidR="006F3E0E" w:rsidRDefault="006F3E0E">
      <w:pPr>
        <w:numPr>
          <w:ilvl w:val="0"/>
          <w:numId w:val="27"/>
        </w:numPr>
        <w:pBdr>
          <w:top w:val="nil"/>
          <w:left w:val="nil"/>
          <w:bottom w:val="nil"/>
          <w:right w:val="nil"/>
          <w:between w:val="nil"/>
        </w:pBdr>
        <w:spacing w:line="240" w:lineRule="auto"/>
        <w:jc w:val="left"/>
      </w:pPr>
      <w:r>
        <w:t>Trouble ventilatoire obstructif non réversible modéré</w:t>
      </w:r>
    </w:p>
    <w:p w14:paraId="35695980" w14:textId="77777777" w:rsidR="006F3E0E" w:rsidRDefault="006F3E0E">
      <w:pPr>
        <w:numPr>
          <w:ilvl w:val="0"/>
          <w:numId w:val="27"/>
        </w:numPr>
        <w:pBdr>
          <w:top w:val="nil"/>
          <w:left w:val="nil"/>
          <w:bottom w:val="nil"/>
          <w:right w:val="nil"/>
          <w:between w:val="nil"/>
        </w:pBdr>
        <w:spacing w:line="240" w:lineRule="auto"/>
        <w:jc w:val="left"/>
      </w:pPr>
      <w:r>
        <w:t>Trouble ventilatoire obstructif non réversible sévère</w:t>
      </w:r>
    </w:p>
    <w:p w14:paraId="259B583F" w14:textId="77777777" w:rsidR="006F3E0E" w:rsidRDefault="006F3E0E">
      <w:pPr>
        <w:numPr>
          <w:ilvl w:val="0"/>
          <w:numId w:val="27"/>
        </w:numPr>
        <w:pBdr>
          <w:top w:val="nil"/>
          <w:left w:val="nil"/>
          <w:bottom w:val="nil"/>
          <w:right w:val="nil"/>
          <w:between w:val="nil"/>
        </w:pBdr>
        <w:spacing w:line="240" w:lineRule="auto"/>
        <w:jc w:val="left"/>
      </w:pPr>
      <w:r>
        <w:t>Trouble ventilatoire obstructif réversible modéré</w:t>
      </w:r>
    </w:p>
    <w:p w14:paraId="53952D12" w14:textId="77777777" w:rsidR="006F3E0E" w:rsidRDefault="006F3E0E">
      <w:pPr>
        <w:numPr>
          <w:ilvl w:val="0"/>
          <w:numId w:val="27"/>
        </w:numPr>
        <w:pBdr>
          <w:top w:val="nil"/>
          <w:left w:val="nil"/>
          <w:bottom w:val="nil"/>
          <w:right w:val="nil"/>
          <w:between w:val="nil"/>
        </w:pBdr>
        <w:spacing w:line="240" w:lineRule="auto"/>
        <w:jc w:val="left"/>
      </w:pPr>
      <w:r>
        <w:t>Trouble ventilatoire obstructif réversible sévère</w:t>
      </w:r>
    </w:p>
    <w:p w14:paraId="1CEEF09F" w14:textId="77777777" w:rsidR="006F3E0E" w:rsidRDefault="006F3E0E" w:rsidP="006F3E0E"/>
    <w:p w14:paraId="1591B884" w14:textId="77777777" w:rsidR="006F3E0E" w:rsidRDefault="006F3E0E">
      <w:pPr>
        <w:numPr>
          <w:ilvl w:val="0"/>
          <w:numId w:val="9"/>
        </w:numPr>
        <w:pBdr>
          <w:top w:val="nil"/>
          <w:left w:val="nil"/>
          <w:bottom w:val="nil"/>
          <w:right w:val="nil"/>
          <w:between w:val="nil"/>
        </w:pBdr>
        <w:spacing w:line="240" w:lineRule="auto"/>
        <w:jc w:val="left"/>
        <w:rPr>
          <w:b/>
          <w:bCs/>
        </w:rPr>
      </w:pPr>
      <w:r>
        <w:rPr>
          <w:b/>
          <w:bCs/>
        </w:rPr>
        <w:t>QRM</w:t>
      </w:r>
    </w:p>
    <w:p w14:paraId="12604EA3" w14:textId="77777777" w:rsidR="006F3E0E" w:rsidRDefault="006F3E0E" w:rsidP="006F3E0E">
      <w:r>
        <w:t>Une femme de 47 ans que vous suivez pour une bronchopneumopathie chronique obstructive (BPCO) avec un trouble ventilatoire obstructif modéré se présente à votre consultation pour majoration de sa dyspnée et de ses expectorations qui sont depuis 3 jours plus abondantes qu’à l’ordinaire sans être purulentes. Vous diagnostiquez une exacerbation de sa BPCO sans signe de gravité chez une patiente dont les constantes sont normales et qui n’a pas d’autre comorbidité connue.</w:t>
      </w:r>
    </w:p>
    <w:p w14:paraId="13B57CEA" w14:textId="77777777" w:rsidR="006F3E0E" w:rsidRDefault="006F3E0E" w:rsidP="006F3E0E">
      <w:r>
        <w:t>Parmi les propositions de prises en charge ci-dessous, laquelle (lesquelles) retenez-vous pour cette patiente</w:t>
      </w:r>
      <w:r>
        <w:rPr>
          <w:rFonts w:ascii="Arial" w:eastAsia="Arial" w:hAnsi="Arial" w:cs="Arial"/>
        </w:rPr>
        <w:t> </w:t>
      </w:r>
      <w:r>
        <w:t>?</w:t>
      </w:r>
    </w:p>
    <w:p w14:paraId="3485CB3D" w14:textId="77777777" w:rsidR="006F3E0E" w:rsidRDefault="006F3E0E">
      <w:pPr>
        <w:numPr>
          <w:ilvl w:val="0"/>
          <w:numId w:val="28"/>
        </w:numPr>
        <w:pBdr>
          <w:top w:val="nil"/>
          <w:left w:val="nil"/>
          <w:bottom w:val="nil"/>
          <w:right w:val="nil"/>
          <w:between w:val="nil"/>
        </w:pBdr>
        <w:spacing w:line="240" w:lineRule="auto"/>
        <w:jc w:val="left"/>
      </w:pPr>
      <w:r>
        <w:t>Une prise en charge ambulatoire</w:t>
      </w:r>
    </w:p>
    <w:p w14:paraId="0BD2BFC6" w14:textId="77777777" w:rsidR="006F3E0E" w:rsidRDefault="006F3E0E">
      <w:pPr>
        <w:numPr>
          <w:ilvl w:val="0"/>
          <w:numId w:val="28"/>
        </w:numPr>
        <w:pBdr>
          <w:top w:val="nil"/>
          <w:left w:val="nil"/>
          <w:bottom w:val="nil"/>
          <w:right w:val="nil"/>
          <w:between w:val="nil"/>
        </w:pBdr>
        <w:spacing w:line="240" w:lineRule="auto"/>
        <w:jc w:val="left"/>
      </w:pPr>
      <w:r>
        <w:t>Une majoration des posologies de ses bronchodilatateurs de courte durée d’action </w:t>
      </w:r>
    </w:p>
    <w:p w14:paraId="2F13D5E3" w14:textId="77777777" w:rsidR="006F3E0E" w:rsidRDefault="006F3E0E">
      <w:pPr>
        <w:numPr>
          <w:ilvl w:val="0"/>
          <w:numId w:val="28"/>
        </w:numPr>
        <w:pBdr>
          <w:top w:val="nil"/>
          <w:left w:val="nil"/>
          <w:bottom w:val="nil"/>
          <w:right w:val="nil"/>
          <w:between w:val="nil"/>
        </w:pBdr>
        <w:spacing w:line="240" w:lineRule="auto"/>
        <w:jc w:val="left"/>
      </w:pPr>
      <w:r>
        <w:t>Une antibiothérapie probabiliste par amoxicilline</w:t>
      </w:r>
    </w:p>
    <w:p w14:paraId="27013FD5" w14:textId="77777777" w:rsidR="006F3E0E" w:rsidRDefault="006F3E0E">
      <w:pPr>
        <w:numPr>
          <w:ilvl w:val="0"/>
          <w:numId w:val="28"/>
        </w:numPr>
        <w:pBdr>
          <w:top w:val="nil"/>
          <w:left w:val="nil"/>
          <w:bottom w:val="nil"/>
          <w:right w:val="nil"/>
          <w:between w:val="nil"/>
        </w:pBdr>
        <w:spacing w:line="240" w:lineRule="auto"/>
        <w:jc w:val="left"/>
      </w:pPr>
      <w:r>
        <w:t>Une corticothérapie systémique de courte durée</w:t>
      </w:r>
    </w:p>
    <w:p w14:paraId="75FA8419" w14:textId="77777777" w:rsidR="006F3E0E" w:rsidRDefault="006F3E0E">
      <w:pPr>
        <w:numPr>
          <w:ilvl w:val="0"/>
          <w:numId w:val="28"/>
        </w:numPr>
        <w:pBdr>
          <w:top w:val="nil"/>
          <w:left w:val="nil"/>
          <w:bottom w:val="nil"/>
          <w:right w:val="nil"/>
          <w:between w:val="nil"/>
        </w:pBdr>
        <w:spacing w:line="240" w:lineRule="auto"/>
        <w:jc w:val="left"/>
      </w:pPr>
      <w:r>
        <w:t>Une réévaluation clinique à 48 heures</w:t>
      </w:r>
    </w:p>
    <w:p w14:paraId="2619CB32" w14:textId="46951129" w:rsidR="006F3E0E" w:rsidRDefault="004B4A90" w:rsidP="004B4A90">
      <w:pPr>
        <w:spacing w:after="160"/>
        <w:jc w:val="left"/>
      </w:pPr>
      <w:r>
        <w:br w:type="page"/>
      </w:r>
    </w:p>
    <w:p w14:paraId="7F08998A" w14:textId="77777777" w:rsidR="006F3E0E" w:rsidRDefault="006F3E0E">
      <w:pPr>
        <w:numPr>
          <w:ilvl w:val="0"/>
          <w:numId w:val="9"/>
        </w:numPr>
        <w:pBdr>
          <w:top w:val="nil"/>
          <w:left w:val="nil"/>
          <w:bottom w:val="nil"/>
          <w:right w:val="nil"/>
          <w:between w:val="nil"/>
        </w:pBdr>
        <w:spacing w:line="240" w:lineRule="auto"/>
        <w:jc w:val="left"/>
        <w:rPr>
          <w:b/>
          <w:bCs/>
        </w:rPr>
      </w:pPr>
      <w:r>
        <w:rPr>
          <w:b/>
          <w:bCs/>
        </w:rPr>
        <w:lastRenderedPageBreak/>
        <w:t>QRM</w:t>
      </w:r>
    </w:p>
    <w:p w14:paraId="07F742F7" w14:textId="77777777" w:rsidR="006F3E0E" w:rsidRDefault="006F3E0E" w:rsidP="006F3E0E">
      <w:r>
        <w:t>Un homme de 75 ans, fumeur actif à 25 paquets-année, présente une toux régulière tous les hivers depuis 4 ans.</w:t>
      </w:r>
    </w:p>
    <w:p w14:paraId="33D0ACB6" w14:textId="77777777" w:rsidR="006F3E0E" w:rsidRDefault="006F3E0E" w:rsidP="006F3E0E">
      <w:pPr>
        <w:jc w:val="center"/>
      </w:pPr>
      <w:r>
        <w:rPr>
          <w:noProof/>
        </w:rPr>
        <w:drawing>
          <wp:inline distT="0" distB="0" distL="0" distR="0" wp14:anchorId="6E7130CE" wp14:editId="076A4A52">
            <wp:extent cx="4323349" cy="3660358"/>
            <wp:effectExtent l="0" t="0" r="0" b="0"/>
            <wp:docPr id="19" name="image8.jpg" descr="Une image contenant tabl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8.jpg" descr="Une image contenant table&#10;&#10;Description générée automatiquement"/>
                    <pic:cNvPicPr preferRelativeResize="0"/>
                  </pic:nvPicPr>
                  <pic:blipFill>
                    <a:blip r:embed="rId22"/>
                    <a:srcRect/>
                    <a:stretch>
                      <a:fillRect/>
                    </a:stretch>
                  </pic:blipFill>
                  <pic:spPr>
                    <a:xfrm>
                      <a:off x="0" y="0"/>
                      <a:ext cx="4323349" cy="3660358"/>
                    </a:xfrm>
                    <a:prstGeom prst="rect">
                      <a:avLst/>
                    </a:prstGeom>
                    <a:ln/>
                  </pic:spPr>
                </pic:pic>
              </a:graphicData>
            </a:graphic>
          </wp:inline>
        </w:drawing>
      </w:r>
    </w:p>
    <w:p w14:paraId="677E97AF" w14:textId="77777777" w:rsidR="006F3E0E" w:rsidRDefault="00000000" w:rsidP="006F3E0E">
      <w:sdt>
        <w:sdtPr>
          <w:tag w:val="goog_rdk_8"/>
          <w:id w:val="-2025659140"/>
        </w:sdtPr>
        <w:sdtContent/>
      </w:sdt>
      <w:sdt>
        <w:sdtPr>
          <w:tag w:val="goog_rdk_9"/>
          <w:id w:val="-1088284347"/>
        </w:sdtPr>
        <w:sdtContent/>
      </w:sdt>
      <w:sdt>
        <w:sdtPr>
          <w:tag w:val="goog_rdk_10"/>
          <w:id w:val="224825695"/>
        </w:sdtPr>
        <w:sdtContent/>
      </w:sdt>
      <w:r w:rsidR="006F3E0E">
        <w:t>Concernant l’EFR ci-jointe, quelle(s) est(sont) la(es) proposition(s) juste(s)</w:t>
      </w:r>
      <w:r w:rsidR="006F3E0E">
        <w:rPr>
          <w:rFonts w:ascii="Arial" w:eastAsia="Arial" w:hAnsi="Arial" w:cs="Arial"/>
        </w:rPr>
        <w:t> </w:t>
      </w:r>
      <w:r w:rsidR="006F3E0E">
        <w:t xml:space="preserve">? </w:t>
      </w:r>
    </w:p>
    <w:p w14:paraId="7E8DFF0B" w14:textId="7FAC9B21" w:rsidR="006F3E0E" w:rsidRDefault="00172FAB">
      <w:pPr>
        <w:numPr>
          <w:ilvl w:val="0"/>
          <w:numId w:val="7"/>
        </w:numPr>
        <w:pBdr>
          <w:top w:val="nil"/>
          <w:left w:val="nil"/>
          <w:bottom w:val="nil"/>
          <w:right w:val="nil"/>
          <w:between w:val="nil"/>
        </w:pBdr>
        <w:spacing w:line="240" w:lineRule="auto"/>
        <w:jc w:val="left"/>
      </w:pPr>
      <w:r>
        <w:t>Trouble ventilatoire obstructif totalement réversible</w:t>
      </w:r>
    </w:p>
    <w:p w14:paraId="287E4D79" w14:textId="77777777" w:rsidR="006F3E0E" w:rsidRDefault="006F3E0E">
      <w:pPr>
        <w:numPr>
          <w:ilvl w:val="0"/>
          <w:numId w:val="7"/>
        </w:numPr>
        <w:pBdr>
          <w:top w:val="nil"/>
          <w:left w:val="nil"/>
          <w:bottom w:val="nil"/>
          <w:right w:val="nil"/>
          <w:between w:val="nil"/>
        </w:pBdr>
        <w:spacing w:line="240" w:lineRule="auto"/>
        <w:jc w:val="left"/>
      </w:pPr>
      <w:r>
        <w:t>Trouble ventilatoire obstructif non réversible</w:t>
      </w:r>
    </w:p>
    <w:p w14:paraId="106ED3D5" w14:textId="77777777" w:rsidR="006F3E0E" w:rsidRDefault="006F3E0E">
      <w:pPr>
        <w:numPr>
          <w:ilvl w:val="0"/>
          <w:numId w:val="7"/>
        </w:numPr>
        <w:pBdr>
          <w:top w:val="nil"/>
          <w:left w:val="nil"/>
          <w:bottom w:val="nil"/>
          <w:right w:val="nil"/>
          <w:between w:val="nil"/>
        </w:pBdr>
        <w:spacing w:line="240" w:lineRule="auto"/>
        <w:jc w:val="left"/>
      </w:pPr>
      <w:r>
        <w:t>Distension thoracique</w:t>
      </w:r>
    </w:p>
    <w:p w14:paraId="06C140B0" w14:textId="77777777" w:rsidR="006F3E0E" w:rsidRDefault="006F3E0E">
      <w:pPr>
        <w:numPr>
          <w:ilvl w:val="0"/>
          <w:numId w:val="7"/>
        </w:numPr>
        <w:pBdr>
          <w:top w:val="nil"/>
          <w:left w:val="nil"/>
          <w:bottom w:val="nil"/>
          <w:right w:val="nil"/>
          <w:between w:val="nil"/>
        </w:pBdr>
        <w:spacing w:line="240" w:lineRule="auto"/>
        <w:jc w:val="left"/>
      </w:pPr>
      <w:r>
        <w:t>Altération de la diffusion</w:t>
      </w:r>
    </w:p>
    <w:p w14:paraId="3EDB5D28" w14:textId="77777777" w:rsidR="006F3E0E" w:rsidRDefault="006F3E0E">
      <w:pPr>
        <w:numPr>
          <w:ilvl w:val="0"/>
          <w:numId w:val="7"/>
        </w:numPr>
        <w:pBdr>
          <w:top w:val="nil"/>
          <w:left w:val="nil"/>
          <w:bottom w:val="nil"/>
          <w:right w:val="nil"/>
          <w:between w:val="nil"/>
        </w:pBdr>
        <w:spacing w:line="240" w:lineRule="auto"/>
        <w:jc w:val="left"/>
      </w:pPr>
      <w:r>
        <w:t>Trouble ventilatoire restrictif</w:t>
      </w:r>
    </w:p>
    <w:p w14:paraId="00918A5F" w14:textId="77777777" w:rsidR="006F3E0E" w:rsidRDefault="006F3E0E" w:rsidP="006F3E0E">
      <w:pPr>
        <w:rPr>
          <w:b/>
          <w:bCs/>
          <w:color w:val="0070C0"/>
        </w:rPr>
      </w:pPr>
    </w:p>
    <w:p w14:paraId="6A7612E2" w14:textId="77777777" w:rsidR="006F3E0E" w:rsidRDefault="006F3E0E" w:rsidP="006F3E0E">
      <w:pPr>
        <w:rPr>
          <w:b/>
          <w:bCs/>
          <w:color w:val="0070C0"/>
        </w:rPr>
      </w:pPr>
      <w:r>
        <w:rPr>
          <w:b/>
          <w:bCs/>
          <w:color w:val="0070C0"/>
        </w:rPr>
        <w:t>DCP</w:t>
      </w:r>
    </w:p>
    <w:p w14:paraId="4EBF6708" w14:textId="77777777" w:rsidR="006F3E0E" w:rsidRDefault="006F3E0E">
      <w:pPr>
        <w:numPr>
          <w:ilvl w:val="0"/>
          <w:numId w:val="9"/>
        </w:numPr>
        <w:pBdr>
          <w:top w:val="nil"/>
          <w:left w:val="nil"/>
          <w:bottom w:val="nil"/>
          <w:right w:val="nil"/>
          <w:between w:val="nil"/>
        </w:pBdr>
        <w:spacing w:line="240" w:lineRule="auto"/>
        <w:jc w:val="left"/>
        <w:rPr>
          <w:b/>
          <w:bCs/>
        </w:rPr>
      </w:pPr>
      <w:r>
        <w:rPr>
          <w:b/>
          <w:bCs/>
        </w:rPr>
        <w:t>QRM</w:t>
      </w:r>
    </w:p>
    <w:p w14:paraId="1FE077AC" w14:textId="77777777" w:rsidR="006F3E0E" w:rsidRDefault="006F3E0E" w:rsidP="006F3E0E">
      <w:r>
        <w:t>Un homme de 70 ans, tabagique actif à 70 paquets-année, consulte pour une dyspnée de majoration récente sur la dernière année. Il ne rapporte aucun antécédent personnel médical ou chirurgical, il ne prend aucun traitement. Il rapporte être plus essoufflé que son épouse du même âge lorsqu’il marche sur terrain plat. Il tousse tous les jours depuis de nombreuses années, avec des expectorations claires matinales. Il fait environ une bronchite par an, traitée par antibiotiques, sans nécessité d’être hospitalisé.</w:t>
      </w:r>
    </w:p>
    <w:p w14:paraId="015BCC31" w14:textId="77777777" w:rsidR="006F3E0E" w:rsidRDefault="006F3E0E" w:rsidP="006F3E0E">
      <w:r>
        <w:t>Sur la base de ces informations, vous retenez :</w:t>
      </w:r>
    </w:p>
    <w:p w14:paraId="39B52AF3" w14:textId="77777777" w:rsidR="006F3E0E" w:rsidRDefault="006F3E0E">
      <w:pPr>
        <w:numPr>
          <w:ilvl w:val="0"/>
          <w:numId w:val="5"/>
        </w:numPr>
        <w:pBdr>
          <w:top w:val="nil"/>
          <w:left w:val="nil"/>
          <w:bottom w:val="nil"/>
          <w:right w:val="nil"/>
          <w:between w:val="nil"/>
        </w:pBdr>
        <w:spacing w:line="240" w:lineRule="auto"/>
        <w:jc w:val="left"/>
      </w:pPr>
      <w:r>
        <w:t>Le diagnostic de BPCO</w:t>
      </w:r>
    </w:p>
    <w:p w14:paraId="763D7A20" w14:textId="77777777" w:rsidR="006F3E0E" w:rsidRDefault="006F3E0E">
      <w:pPr>
        <w:numPr>
          <w:ilvl w:val="0"/>
          <w:numId w:val="5"/>
        </w:numPr>
        <w:pBdr>
          <w:top w:val="nil"/>
          <w:left w:val="nil"/>
          <w:bottom w:val="nil"/>
          <w:right w:val="nil"/>
          <w:between w:val="nil"/>
        </w:pBdr>
        <w:spacing w:line="240" w:lineRule="auto"/>
        <w:jc w:val="left"/>
      </w:pPr>
      <w:r>
        <w:t>Le diagnostic de toux chronique</w:t>
      </w:r>
    </w:p>
    <w:p w14:paraId="2F831EBA" w14:textId="77777777" w:rsidR="006F3E0E" w:rsidRDefault="006F3E0E">
      <w:pPr>
        <w:numPr>
          <w:ilvl w:val="0"/>
          <w:numId w:val="5"/>
        </w:numPr>
        <w:pBdr>
          <w:top w:val="nil"/>
          <w:left w:val="nil"/>
          <w:bottom w:val="nil"/>
          <w:right w:val="nil"/>
          <w:between w:val="nil"/>
        </w:pBdr>
        <w:spacing w:line="240" w:lineRule="auto"/>
        <w:jc w:val="left"/>
      </w:pPr>
      <w:r>
        <w:t xml:space="preserve">Le diagnostic de bronchite chronique </w:t>
      </w:r>
    </w:p>
    <w:p w14:paraId="543E9E36" w14:textId="77777777" w:rsidR="006F3E0E" w:rsidRDefault="006F3E0E">
      <w:pPr>
        <w:numPr>
          <w:ilvl w:val="0"/>
          <w:numId w:val="5"/>
        </w:numPr>
        <w:pBdr>
          <w:top w:val="nil"/>
          <w:left w:val="nil"/>
          <w:bottom w:val="nil"/>
          <w:right w:val="nil"/>
          <w:between w:val="nil"/>
        </w:pBdr>
        <w:spacing w:line="240" w:lineRule="auto"/>
        <w:jc w:val="left"/>
      </w:pPr>
      <w:r>
        <w:t xml:space="preserve">Le diagnostic d’emphysème </w:t>
      </w:r>
    </w:p>
    <w:p w14:paraId="014852E4" w14:textId="77777777" w:rsidR="006F3E0E" w:rsidRDefault="006F3E0E">
      <w:pPr>
        <w:numPr>
          <w:ilvl w:val="0"/>
          <w:numId w:val="5"/>
        </w:numPr>
        <w:pBdr>
          <w:top w:val="nil"/>
          <w:left w:val="nil"/>
          <w:bottom w:val="nil"/>
          <w:right w:val="nil"/>
          <w:between w:val="nil"/>
        </w:pBdr>
        <w:spacing w:line="240" w:lineRule="auto"/>
        <w:jc w:val="left"/>
      </w:pPr>
      <w:r>
        <w:t xml:space="preserve">Une dyspnée de stade III </w:t>
      </w:r>
      <w:proofErr w:type="spellStart"/>
      <w:r>
        <w:t>mMRC</w:t>
      </w:r>
      <w:proofErr w:type="spellEnd"/>
    </w:p>
    <w:p w14:paraId="162F59A6" w14:textId="318EF359" w:rsidR="006F3E0E" w:rsidRDefault="008541CD" w:rsidP="008541CD">
      <w:pPr>
        <w:spacing w:after="160"/>
        <w:jc w:val="left"/>
      </w:pPr>
      <w:r>
        <w:br w:type="page"/>
      </w:r>
    </w:p>
    <w:p w14:paraId="02B65D69" w14:textId="77777777" w:rsidR="006F3E0E" w:rsidRDefault="006F3E0E">
      <w:pPr>
        <w:numPr>
          <w:ilvl w:val="0"/>
          <w:numId w:val="9"/>
        </w:numPr>
        <w:pBdr>
          <w:top w:val="nil"/>
          <w:left w:val="nil"/>
          <w:bottom w:val="nil"/>
          <w:right w:val="nil"/>
          <w:between w:val="nil"/>
        </w:pBdr>
        <w:spacing w:line="240" w:lineRule="auto"/>
        <w:jc w:val="left"/>
        <w:rPr>
          <w:b/>
          <w:bCs/>
        </w:rPr>
      </w:pPr>
      <w:r>
        <w:rPr>
          <w:b/>
          <w:bCs/>
        </w:rPr>
        <w:lastRenderedPageBreak/>
        <w:t>QRM</w:t>
      </w:r>
    </w:p>
    <w:p w14:paraId="292A47FB" w14:textId="77777777" w:rsidR="006F3E0E" w:rsidRDefault="006F3E0E" w:rsidP="006F3E0E">
      <w:r>
        <w:t>Voici ses EFR :</w:t>
      </w:r>
    </w:p>
    <w:p w14:paraId="561842EC" w14:textId="77777777" w:rsidR="006F3E0E" w:rsidRDefault="006F3E0E" w:rsidP="006F3E0E">
      <w:pPr>
        <w:jc w:val="center"/>
      </w:pPr>
      <w:r>
        <w:rPr>
          <w:noProof/>
        </w:rPr>
        <w:drawing>
          <wp:inline distT="0" distB="0" distL="0" distR="0" wp14:anchorId="13B1EC75" wp14:editId="2BC8EE9D">
            <wp:extent cx="3488759" cy="2718724"/>
            <wp:effectExtent l="0" t="0" r="0" b="0"/>
            <wp:docPr id="20" name="image6.png" descr="Une image contenant graphiqu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6.png" descr="Une image contenant graphique&#10;&#10;Description générée automatiquement"/>
                    <pic:cNvPicPr preferRelativeResize="0"/>
                  </pic:nvPicPr>
                  <pic:blipFill>
                    <a:blip r:embed="rId23"/>
                    <a:srcRect/>
                    <a:stretch>
                      <a:fillRect/>
                    </a:stretch>
                  </pic:blipFill>
                  <pic:spPr>
                    <a:xfrm>
                      <a:off x="0" y="0"/>
                      <a:ext cx="3488759" cy="2718724"/>
                    </a:xfrm>
                    <a:prstGeom prst="rect">
                      <a:avLst/>
                    </a:prstGeom>
                    <a:ln/>
                  </pic:spPr>
                </pic:pic>
              </a:graphicData>
            </a:graphic>
          </wp:inline>
        </w:drawing>
      </w:r>
    </w:p>
    <w:p w14:paraId="7BCC474D" w14:textId="77777777" w:rsidR="006F3E0E" w:rsidRDefault="006F3E0E" w:rsidP="006F3E0E">
      <w:pPr>
        <w:jc w:val="center"/>
      </w:pPr>
    </w:p>
    <w:p w14:paraId="66D84091" w14:textId="77777777" w:rsidR="006F3E0E" w:rsidRDefault="00000000" w:rsidP="006F3E0E">
      <w:sdt>
        <w:sdtPr>
          <w:tag w:val="goog_rdk_11"/>
          <w:id w:val="1008633790"/>
        </w:sdtPr>
        <w:sdtContent/>
      </w:sdt>
      <w:sdt>
        <w:sdtPr>
          <w:tag w:val="goog_rdk_12"/>
          <w:id w:val="1107901563"/>
        </w:sdtPr>
        <w:sdtContent/>
      </w:sdt>
      <w:sdt>
        <w:sdtPr>
          <w:tag w:val="goog_rdk_13"/>
          <w:id w:val="-39186077"/>
        </w:sdtPr>
        <w:sdtContent/>
      </w:sdt>
      <w:r w:rsidR="006F3E0E">
        <w:t>Vous retenez le diagnostic de trouble ventilatoire obstructif, mais aussi :</w:t>
      </w:r>
    </w:p>
    <w:p w14:paraId="1131F496" w14:textId="77777777" w:rsidR="006F3E0E" w:rsidRDefault="006F3E0E">
      <w:pPr>
        <w:numPr>
          <w:ilvl w:val="0"/>
          <w:numId w:val="6"/>
        </w:numPr>
        <w:pBdr>
          <w:top w:val="nil"/>
          <w:left w:val="nil"/>
          <w:bottom w:val="nil"/>
          <w:right w:val="nil"/>
          <w:between w:val="nil"/>
        </w:pBdr>
        <w:spacing w:line="240" w:lineRule="auto"/>
        <w:jc w:val="left"/>
      </w:pPr>
      <w:r>
        <w:t>Une réversibilité significative de ce trouble ventilatoire obstructif</w:t>
      </w:r>
    </w:p>
    <w:p w14:paraId="4480E646" w14:textId="77777777" w:rsidR="006F3E0E" w:rsidRDefault="006F3E0E">
      <w:pPr>
        <w:numPr>
          <w:ilvl w:val="0"/>
          <w:numId w:val="6"/>
        </w:numPr>
        <w:pBdr>
          <w:top w:val="nil"/>
          <w:left w:val="nil"/>
          <w:bottom w:val="nil"/>
          <w:right w:val="nil"/>
          <w:between w:val="nil"/>
        </w:pBdr>
        <w:spacing w:line="240" w:lineRule="auto"/>
        <w:jc w:val="left"/>
      </w:pPr>
      <w:r>
        <w:t>Une réversibilité complète de ce trouble ventilatoire obstructif</w:t>
      </w:r>
    </w:p>
    <w:p w14:paraId="200EE5B8" w14:textId="77777777" w:rsidR="006F3E0E" w:rsidRDefault="006F3E0E">
      <w:pPr>
        <w:numPr>
          <w:ilvl w:val="0"/>
          <w:numId w:val="6"/>
        </w:numPr>
        <w:pBdr>
          <w:top w:val="nil"/>
          <w:left w:val="nil"/>
          <w:bottom w:val="nil"/>
          <w:right w:val="nil"/>
          <w:between w:val="nil"/>
        </w:pBdr>
        <w:spacing w:line="240" w:lineRule="auto"/>
        <w:jc w:val="left"/>
      </w:pPr>
      <w:r>
        <w:t>Une distension thoracique</w:t>
      </w:r>
    </w:p>
    <w:p w14:paraId="768F98F6" w14:textId="77777777" w:rsidR="006F3E0E" w:rsidRDefault="006F3E0E">
      <w:pPr>
        <w:numPr>
          <w:ilvl w:val="0"/>
          <w:numId w:val="6"/>
        </w:numPr>
        <w:pBdr>
          <w:top w:val="nil"/>
          <w:left w:val="nil"/>
          <w:bottom w:val="nil"/>
          <w:right w:val="nil"/>
          <w:between w:val="nil"/>
        </w:pBdr>
        <w:spacing w:line="240" w:lineRule="auto"/>
        <w:jc w:val="left"/>
      </w:pPr>
      <w:r>
        <w:t>Le diagnostic de BPCO de stade 3A</w:t>
      </w:r>
    </w:p>
    <w:p w14:paraId="7DEBFC64" w14:textId="77777777" w:rsidR="006F3E0E" w:rsidRDefault="006F3E0E">
      <w:pPr>
        <w:numPr>
          <w:ilvl w:val="0"/>
          <w:numId w:val="6"/>
        </w:numPr>
        <w:pBdr>
          <w:top w:val="nil"/>
          <w:left w:val="nil"/>
          <w:bottom w:val="nil"/>
          <w:right w:val="nil"/>
          <w:between w:val="nil"/>
        </w:pBdr>
        <w:spacing w:line="240" w:lineRule="auto"/>
        <w:jc w:val="left"/>
      </w:pPr>
      <w:r>
        <w:t>Le diagnostic de BPCO de stade 3B</w:t>
      </w:r>
    </w:p>
    <w:p w14:paraId="613E7F3D" w14:textId="77777777" w:rsidR="006F3E0E" w:rsidRDefault="006F3E0E" w:rsidP="006F3E0E"/>
    <w:p w14:paraId="35A42B31" w14:textId="77777777" w:rsidR="006F3E0E" w:rsidRDefault="006F3E0E">
      <w:pPr>
        <w:numPr>
          <w:ilvl w:val="0"/>
          <w:numId w:val="9"/>
        </w:numPr>
        <w:pBdr>
          <w:top w:val="nil"/>
          <w:left w:val="nil"/>
          <w:bottom w:val="nil"/>
          <w:right w:val="nil"/>
          <w:between w:val="nil"/>
        </w:pBdr>
        <w:spacing w:line="240" w:lineRule="auto"/>
        <w:jc w:val="left"/>
        <w:rPr>
          <w:b/>
          <w:bCs/>
        </w:rPr>
      </w:pPr>
      <w:r>
        <w:rPr>
          <w:b/>
          <w:bCs/>
        </w:rPr>
        <w:t>QRU</w:t>
      </w:r>
    </w:p>
    <w:p w14:paraId="7619BD15" w14:textId="77777777" w:rsidR="006F3E0E" w:rsidRDefault="006F3E0E" w:rsidP="006F3E0E">
      <w:r>
        <w:t xml:space="preserve">Vous souhaitez faire le bilan des comorbidités de ce monsieur. </w:t>
      </w:r>
    </w:p>
    <w:p w14:paraId="5477B701" w14:textId="77777777" w:rsidR="006F3E0E" w:rsidRDefault="006F3E0E" w:rsidP="006F3E0E">
      <w:bookmarkStart w:id="3" w:name="_heading=h.excogfv5fgyw" w:colFirst="0" w:colLast="0"/>
      <w:bookmarkEnd w:id="3"/>
      <w:r>
        <w:t>Toutes les investigations suivantes s’intègrent dans la recherche de comorbidités associées à la BPCO, sauf une, laquelle</w:t>
      </w:r>
      <w:r>
        <w:rPr>
          <w:rFonts w:ascii="Arial" w:eastAsia="Arial" w:hAnsi="Arial" w:cs="Arial"/>
        </w:rPr>
        <w:t> </w:t>
      </w:r>
      <w:r>
        <w:t>?</w:t>
      </w:r>
    </w:p>
    <w:p w14:paraId="0FB47C41" w14:textId="77777777" w:rsidR="006F3E0E" w:rsidRDefault="006F3E0E">
      <w:pPr>
        <w:numPr>
          <w:ilvl w:val="0"/>
          <w:numId w:val="8"/>
        </w:numPr>
        <w:pBdr>
          <w:top w:val="nil"/>
          <w:left w:val="nil"/>
          <w:bottom w:val="nil"/>
          <w:right w:val="nil"/>
          <w:between w:val="nil"/>
        </w:pBdr>
        <w:spacing w:line="240" w:lineRule="auto"/>
        <w:jc w:val="left"/>
      </w:pPr>
      <w:r>
        <w:t xml:space="preserve">Ostéodensitométrie </w:t>
      </w:r>
    </w:p>
    <w:p w14:paraId="1A0F89C1" w14:textId="77777777" w:rsidR="006F3E0E" w:rsidRDefault="006F3E0E">
      <w:pPr>
        <w:numPr>
          <w:ilvl w:val="0"/>
          <w:numId w:val="8"/>
        </w:numPr>
        <w:pBdr>
          <w:top w:val="nil"/>
          <w:left w:val="nil"/>
          <w:bottom w:val="nil"/>
          <w:right w:val="nil"/>
          <w:between w:val="nil"/>
        </w:pBdr>
        <w:spacing w:line="240" w:lineRule="auto"/>
        <w:jc w:val="left"/>
      </w:pPr>
      <w:r>
        <w:t xml:space="preserve">ECG </w:t>
      </w:r>
    </w:p>
    <w:p w14:paraId="6124772B" w14:textId="77777777" w:rsidR="006F3E0E" w:rsidRDefault="006F3E0E">
      <w:pPr>
        <w:numPr>
          <w:ilvl w:val="0"/>
          <w:numId w:val="8"/>
        </w:numPr>
        <w:pBdr>
          <w:top w:val="nil"/>
          <w:left w:val="nil"/>
          <w:bottom w:val="nil"/>
          <w:right w:val="nil"/>
          <w:between w:val="nil"/>
        </w:pBdr>
        <w:spacing w:line="240" w:lineRule="auto"/>
        <w:jc w:val="left"/>
      </w:pPr>
      <w:r>
        <w:t xml:space="preserve">Échographie cardiaque </w:t>
      </w:r>
    </w:p>
    <w:p w14:paraId="4EFCA674" w14:textId="77777777" w:rsidR="006F3E0E" w:rsidRDefault="006F3E0E">
      <w:pPr>
        <w:numPr>
          <w:ilvl w:val="0"/>
          <w:numId w:val="8"/>
        </w:numPr>
        <w:pBdr>
          <w:top w:val="nil"/>
          <w:left w:val="nil"/>
          <w:bottom w:val="nil"/>
          <w:right w:val="nil"/>
          <w:between w:val="nil"/>
        </w:pBdr>
        <w:spacing w:line="240" w:lineRule="auto"/>
        <w:jc w:val="left"/>
      </w:pPr>
      <w:r>
        <w:t xml:space="preserve">Dosage de l’alpha-1 antitrypsine </w:t>
      </w:r>
    </w:p>
    <w:p w14:paraId="4D8A9751" w14:textId="77777777" w:rsidR="006F3E0E" w:rsidRDefault="006F3E0E">
      <w:pPr>
        <w:numPr>
          <w:ilvl w:val="0"/>
          <w:numId w:val="8"/>
        </w:numPr>
        <w:pBdr>
          <w:top w:val="nil"/>
          <w:left w:val="nil"/>
          <w:bottom w:val="nil"/>
          <w:right w:val="nil"/>
          <w:between w:val="nil"/>
        </w:pBdr>
        <w:spacing w:line="240" w:lineRule="auto"/>
        <w:jc w:val="left"/>
      </w:pPr>
      <w:r>
        <w:t>Bilan sanguin avec NFS</w:t>
      </w:r>
    </w:p>
    <w:p w14:paraId="58DBDCD6" w14:textId="77777777" w:rsidR="006F3E0E" w:rsidRDefault="006F3E0E">
      <w:pPr>
        <w:numPr>
          <w:ilvl w:val="0"/>
          <w:numId w:val="8"/>
        </w:numPr>
        <w:pBdr>
          <w:top w:val="nil"/>
          <w:left w:val="nil"/>
          <w:bottom w:val="nil"/>
          <w:right w:val="nil"/>
          <w:between w:val="nil"/>
        </w:pBdr>
        <w:spacing w:line="240" w:lineRule="auto"/>
        <w:jc w:val="left"/>
      </w:pPr>
      <w:r>
        <w:t>Scanner thoracique</w:t>
      </w:r>
    </w:p>
    <w:p w14:paraId="05B3D27D" w14:textId="77777777" w:rsidR="006F3E0E" w:rsidRDefault="006F3E0E" w:rsidP="006F3E0E">
      <w:pPr>
        <w:jc w:val="center"/>
      </w:pPr>
    </w:p>
    <w:p w14:paraId="0CA8B14D" w14:textId="68F5B7AC" w:rsidR="006F3E0E" w:rsidRPr="008541CD" w:rsidRDefault="006F3E0E" w:rsidP="008541CD">
      <w:pPr>
        <w:spacing w:after="160"/>
        <w:jc w:val="left"/>
        <w:rPr>
          <w:b/>
          <w:bCs/>
          <w:color w:val="0070C0"/>
        </w:rPr>
      </w:pPr>
      <w:r>
        <w:rPr>
          <w:b/>
          <w:bCs/>
          <w:color w:val="0070C0"/>
        </w:rPr>
        <w:t>DCP</w:t>
      </w:r>
    </w:p>
    <w:p w14:paraId="3EA68BB9" w14:textId="77777777" w:rsidR="006F3E0E" w:rsidRDefault="006F3E0E">
      <w:pPr>
        <w:numPr>
          <w:ilvl w:val="0"/>
          <w:numId w:val="9"/>
        </w:numPr>
        <w:pBdr>
          <w:top w:val="nil"/>
          <w:left w:val="nil"/>
          <w:bottom w:val="nil"/>
          <w:right w:val="nil"/>
          <w:between w:val="nil"/>
        </w:pBdr>
        <w:spacing w:line="240" w:lineRule="auto"/>
        <w:jc w:val="left"/>
        <w:rPr>
          <w:b/>
          <w:bCs/>
        </w:rPr>
      </w:pPr>
      <w:r>
        <w:rPr>
          <w:b/>
          <w:bCs/>
        </w:rPr>
        <w:t>QRU</w:t>
      </w:r>
    </w:p>
    <w:p w14:paraId="164B0D41" w14:textId="77777777" w:rsidR="006F3E0E" w:rsidRDefault="006F3E0E" w:rsidP="006F3E0E">
      <w:r>
        <w:t>Une femme de 72 ans est admise aux urgences pour dyspnée aiguë. Elle vous apprend qu’elle est soignée pour une hypertension artérielle et une cardiopathie ischémique. Elle fume depuis l’âge de 15 ans, son tabagisme est encore actif (10 à 15 </w:t>
      </w:r>
      <w:proofErr w:type="spellStart"/>
      <w:r>
        <w:t>cig</w:t>
      </w:r>
      <w:proofErr w:type="spellEnd"/>
      <w:r>
        <w:t>/j). Elle vit seule chez elle, autonome. Elle est habituellement essoufflée quand elle marche à son propre pas sur terrain plat. Elle vous dit avoir fait trois bronchites au cours de la dernière année et vous précise que depuis deux jours ses expectorations sont verdâtres. Les variables sont :</w:t>
      </w:r>
    </w:p>
    <w:p w14:paraId="5848304F" w14:textId="77777777" w:rsidR="006F3E0E" w:rsidRDefault="006F3E0E">
      <w:pPr>
        <w:numPr>
          <w:ilvl w:val="0"/>
          <w:numId w:val="22"/>
        </w:numPr>
        <w:pBdr>
          <w:top w:val="nil"/>
          <w:left w:val="nil"/>
          <w:bottom w:val="nil"/>
          <w:right w:val="nil"/>
          <w:between w:val="nil"/>
        </w:pBdr>
        <w:ind w:left="284" w:hanging="142"/>
      </w:pPr>
      <w:r>
        <w:t>Fréquence respiratoire : 30/min</w:t>
      </w:r>
    </w:p>
    <w:p w14:paraId="64721B4B" w14:textId="77777777" w:rsidR="006F3E0E" w:rsidRDefault="006F3E0E">
      <w:pPr>
        <w:numPr>
          <w:ilvl w:val="0"/>
          <w:numId w:val="22"/>
        </w:numPr>
        <w:pBdr>
          <w:top w:val="nil"/>
          <w:left w:val="nil"/>
          <w:bottom w:val="nil"/>
          <w:right w:val="nil"/>
          <w:between w:val="nil"/>
        </w:pBdr>
        <w:ind w:left="284" w:hanging="142"/>
      </w:pPr>
      <w:r>
        <w:t>Pression artérielle : 123/75 </w:t>
      </w:r>
      <w:proofErr w:type="spellStart"/>
      <w:r>
        <w:t>mmHg</w:t>
      </w:r>
      <w:proofErr w:type="spellEnd"/>
    </w:p>
    <w:p w14:paraId="088DE8DC" w14:textId="77777777" w:rsidR="006F3E0E" w:rsidRDefault="006F3E0E">
      <w:pPr>
        <w:numPr>
          <w:ilvl w:val="0"/>
          <w:numId w:val="22"/>
        </w:numPr>
        <w:pBdr>
          <w:top w:val="nil"/>
          <w:left w:val="nil"/>
          <w:bottom w:val="nil"/>
          <w:right w:val="nil"/>
          <w:between w:val="nil"/>
        </w:pBdr>
        <w:ind w:left="284" w:hanging="142"/>
      </w:pPr>
      <w:r>
        <w:t>Fréquence cardiaque : 110/min</w:t>
      </w:r>
    </w:p>
    <w:p w14:paraId="472B06E1" w14:textId="77777777" w:rsidR="006F3E0E" w:rsidRDefault="006F3E0E">
      <w:pPr>
        <w:numPr>
          <w:ilvl w:val="0"/>
          <w:numId w:val="22"/>
        </w:numPr>
        <w:pBdr>
          <w:top w:val="nil"/>
          <w:left w:val="nil"/>
          <w:bottom w:val="nil"/>
          <w:right w:val="nil"/>
          <w:between w:val="nil"/>
        </w:pBdr>
        <w:ind w:left="284" w:hanging="142"/>
      </w:pPr>
      <w:r>
        <w:lastRenderedPageBreak/>
        <w:t>Température : 37,9 °C</w:t>
      </w:r>
    </w:p>
    <w:p w14:paraId="58B3C01A" w14:textId="77777777" w:rsidR="006F3E0E" w:rsidRDefault="006F3E0E">
      <w:pPr>
        <w:numPr>
          <w:ilvl w:val="0"/>
          <w:numId w:val="22"/>
        </w:numPr>
        <w:pBdr>
          <w:top w:val="nil"/>
          <w:left w:val="nil"/>
          <w:bottom w:val="nil"/>
          <w:right w:val="nil"/>
          <w:between w:val="nil"/>
        </w:pBdr>
        <w:ind w:left="284" w:hanging="142"/>
      </w:pPr>
      <w:r>
        <w:t>SpO</w:t>
      </w:r>
      <w:r>
        <w:rPr>
          <w:vertAlign w:val="subscript"/>
        </w:rPr>
        <w:t>2</w:t>
      </w:r>
      <w:r>
        <w:t> : 86 % au sous 3 L/min d’oxygène aux lunettes</w:t>
      </w:r>
    </w:p>
    <w:p w14:paraId="02DD8189" w14:textId="77777777" w:rsidR="006F3E0E" w:rsidRDefault="006F3E0E" w:rsidP="006F3E0E">
      <w:r>
        <w:t xml:space="preserve">La patiente rapporte une dyspnée s’étant rapidement majorée sur les dernières 24 heures. Elle est actuellement présente au repos, gênant la parole. L’examen clinique retrouve des sueurs, un tirage sus-sternal et </w:t>
      </w:r>
      <w:proofErr w:type="spellStart"/>
      <w:r>
        <w:t>sus-claviculaire</w:t>
      </w:r>
      <w:proofErr w:type="spellEnd"/>
      <w:r>
        <w:t xml:space="preserve">, un flapping </w:t>
      </w:r>
      <w:proofErr w:type="spellStart"/>
      <w:r>
        <w:t>tremor</w:t>
      </w:r>
      <w:proofErr w:type="spellEnd"/>
      <w:r>
        <w:t>, une respiration abdominale paradoxale, une expiration à lèvres pincées, des râles bronchiques à l’auscultation avec sibilants diffus. Le cliché de thorax ne montre que de signes de distension (pas de foyer parenchymateux, pas de pneumothorax, pas de cardiomégalie). Une gazométrie artérielle est pratiquée dont vous attendez les résultats.</w:t>
      </w:r>
    </w:p>
    <w:p w14:paraId="06BF2151" w14:textId="77777777" w:rsidR="006F3E0E" w:rsidRDefault="006F3E0E" w:rsidP="006F3E0E">
      <w:r>
        <w:t>Toutes les propositions nosologiques ci-dessous sont justes sauf une, laquelle</w:t>
      </w:r>
      <w:r>
        <w:rPr>
          <w:rFonts w:ascii="Arial" w:eastAsia="Arial" w:hAnsi="Arial" w:cs="Arial"/>
        </w:rPr>
        <w:t> </w:t>
      </w:r>
      <w:r>
        <w:t>?</w:t>
      </w:r>
    </w:p>
    <w:p w14:paraId="6D6DCAE9" w14:textId="77777777" w:rsidR="006F3E0E" w:rsidRDefault="006F3E0E">
      <w:pPr>
        <w:numPr>
          <w:ilvl w:val="0"/>
          <w:numId w:val="10"/>
        </w:numPr>
        <w:pBdr>
          <w:top w:val="nil"/>
          <w:left w:val="nil"/>
          <w:bottom w:val="nil"/>
          <w:right w:val="nil"/>
          <w:between w:val="nil"/>
        </w:pBdr>
        <w:spacing w:line="240" w:lineRule="auto"/>
      </w:pPr>
      <w:r>
        <w:t>Détresse respiratoire aiguë</w:t>
      </w:r>
    </w:p>
    <w:p w14:paraId="280E3D1B" w14:textId="77777777" w:rsidR="006F3E0E" w:rsidRDefault="006F3E0E">
      <w:pPr>
        <w:numPr>
          <w:ilvl w:val="0"/>
          <w:numId w:val="10"/>
        </w:numPr>
        <w:pBdr>
          <w:top w:val="nil"/>
          <w:left w:val="nil"/>
          <w:bottom w:val="nil"/>
          <w:right w:val="nil"/>
          <w:between w:val="nil"/>
        </w:pBdr>
        <w:spacing w:line="240" w:lineRule="auto"/>
      </w:pPr>
      <w:r>
        <w:t>Syndrome de détresse respiratoire aiguë de l’adulte</w:t>
      </w:r>
    </w:p>
    <w:p w14:paraId="454AF1BA" w14:textId="77777777" w:rsidR="006F3E0E" w:rsidRDefault="006F3E0E">
      <w:pPr>
        <w:numPr>
          <w:ilvl w:val="0"/>
          <w:numId w:val="10"/>
        </w:numPr>
        <w:pBdr>
          <w:top w:val="nil"/>
          <w:left w:val="nil"/>
          <w:bottom w:val="nil"/>
          <w:right w:val="nil"/>
          <w:between w:val="nil"/>
        </w:pBdr>
        <w:spacing w:line="240" w:lineRule="auto"/>
      </w:pPr>
      <w:r>
        <w:t>Insuffisance respiratoire aiguë avec probable hypoxémie</w:t>
      </w:r>
    </w:p>
    <w:p w14:paraId="672839E5" w14:textId="77777777" w:rsidR="006F3E0E" w:rsidRDefault="006F3E0E">
      <w:pPr>
        <w:numPr>
          <w:ilvl w:val="0"/>
          <w:numId w:val="10"/>
        </w:numPr>
        <w:pBdr>
          <w:top w:val="nil"/>
          <w:left w:val="nil"/>
          <w:bottom w:val="nil"/>
          <w:right w:val="nil"/>
          <w:between w:val="nil"/>
        </w:pBdr>
        <w:spacing w:line="240" w:lineRule="auto"/>
      </w:pPr>
      <w:r>
        <w:t>Insuffisance respiratoire aiguë avec probable hypercapnie</w:t>
      </w:r>
    </w:p>
    <w:p w14:paraId="0D41F16B" w14:textId="77777777" w:rsidR="006F3E0E" w:rsidRDefault="006F3E0E">
      <w:pPr>
        <w:numPr>
          <w:ilvl w:val="0"/>
          <w:numId w:val="10"/>
        </w:numPr>
        <w:pBdr>
          <w:top w:val="nil"/>
          <w:left w:val="nil"/>
          <w:bottom w:val="nil"/>
          <w:right w:val="nil"/>
          <w:between w:val="nil"/>
        </w:pBdr>
        <w:spacing w:line="240" w:lineRule="auto"/>
      </w:pPr>
      <w:r>
        <w:t>Exacerbation de BPCO</w:t>
      </w:r>
    </w:p>
    <w:p w14:paraId="35D74693" w14:textId="77777777" w:rsidR="006F3E0E" w:rsidRDefault="006F3E0E" w:rsidP="006F3E0E"/>
    <w:p w14:paraId="1EBB51CB" w14:textId="77777777" w:rsidR="006F3E0E" w:rsidRDefault="006F3E0E">
      <w:pPr>
        <w:numPr>
          <w:ilvl w:val="0"/>
          <w:numId w:val="9"/>
        </w:numPr>
        <w:pBdr>
          <w:top w:val="nil"/>
          <w:left w:val="nil"/>
          <w:bottom w:val="nil"/>
          <w:right w:val="nil"/>
          <w:between w:val="nil"/>
        </w:pBdr>
        <w:spacing w:line="240" w:lineRule="auto"/>
        <w:jc w:val="left"/>
        <w:rPr>
          <w:b/>
          <w:bCs/>
        </w:rPr>
      </w:pPr>
      <w:r>
        <w:rPr>
          <w:b/>
          <w:bCs/>
        </w:rPr>
        <w:t>QRU</w:t>
      </w:r>
    </w:p>
    <w:p w14:paraId="133D8ACD" w14:textId="77777777" w:rsidR="006F3E0E" w:rsidRDefault="006F3E0E" w:rsidP="006F3E0E">
      <w:r>
        <w:t>Sur la base des éléments dont vous disposez à ce stade, quel schéma thérapeutique mettez-vous en route dans un premier temps</w:t>
      </w:r>
      <w:r>
        <w:rPr>
          <w:rFonts w:ascii="Arial" w:eastAsia="Arial" w:hAnsi="Arial" w:cs="Arial"/>
        </w:rPr>
        <w:t> </w:t>
      </w:r>
      <w:r>
        <w:t>?</w:t>
      </w:r>
    </w:p>
    <w:p w14:paraId="3B029AD6" w14:textId="77777777" w:rsidR="006F3E0E" w:rsidRDefault="006F3E0E" w:rsidP="006F3E0E">
      <w:pPr>
        <w:jc w:val="center"/>
      </w:pPr>
      <w:r>
        <w:rPr>
          <w:noProof/>
        </w:rPr>
        <w:drawing>
          <wp:inline distT="0" distB="0" distL="0" distR="0" wp14:anchorId="5676DA05" wp14:editId="2896DB9E">
            <wp:extent cx="4243434" cy="2388258"/>
            <wp:effectExtent l="0" t="0" r="0" b="0"/>
            <wp:docPr id="21" name="image7.png" descr="G:\NICE ENSEIGNEMENT jan 2023\COLLEGE NATIONAL DES PU-PH\ECN - REFERENTIEL\EDITION 2030\DOCIMOLOGIE\DOCUMENTS DE TRAVAIL\Présentation1.tif"/>
            <wp:cNvGraphicFramePr/>
            <a:graphic xmlns:a="http://schemas.openxmlformats.org/drawingml/2006/main">
              <a:graphicData uri="http://schemas.openxmlformats.org/drawingml/2006/picture">
                <pic:pic xmlns:pic="http://schemas.openxmlformats.org/drawingml/2006/picture">
                  <pic:nvPicPr>
                    <pic:cNvPr id="0" name="image7.png" descr="G:\NICE ENSEIGNEMENT jan 2023\COLLEGE NATIONAL DES PU-PH\ECN - REFERENTIEL\EDITION 2030\DOCIMOLOGIE\DOCUMENTS DE TRAVAIL\Présentation1.tif"/>
                    <pic:cNvPicPr preferRelativeResize="0"/>
                  </pic:nvPicPr>
                  <pic:blipFill>
                    <a:blip r:embed="rId24"/>
                    <a:srcRect/>
                    <a:stretch>
                      <a:fillRect/>
                    </a:stretch>
                  </pic:blipFill>
                  <pic:spPr>
                    <a:xfrm>
                      <a:off x="0" y="0"/>
                      <a:ext cx="4243434" cy="2388258"/>
                    </a:xfrm>
                    <a:prstGeom prst="rect">
                      <a:avLst/>
                    </a:prstGeom>
                    <a:ln/>
                  </pic:spPr>
                </pic:pic>
              </a:graphicData>
            </a:graphic>
          </wp:inline>
        </w:drawing>
      </w:r>
    </w:p>
    <w:p w14:paraId="6DFADEB4" w14:textId="77777777" w:rsidR="006F3E0E" w:rsidRDefault="006F3E0E">
      <w:pPr>
        <w:numPr>
          <w:ilvl w:val="0"/>
          <w:numId w:val="23"/>
        </w:numPr>
        <w:pBdr>
          <w:top w:val="nil"/>
          <w:left w:val="nil"/>
          <w:bottom w:val="nil"/>
          <w:right w:val="nil"/>
          <w:between w:val="nil"/>
        </w:pBdr>
      </w:pPr>
      <w:r>
        <w:t>Schéma 1</w:t>
      </w:r>
    </w:p>
    <w:p w14:paraId="4C3E8CDC" w14:textId="77777777" w:rsidR="006F3E0E" w:rsidRDefault="006F3E0E">
      <w:pPr>
        <w:numPr>
          <w:ilvl w:val="0"/>
          <w:numId w:val="23"/>
        </w:numPr>
        <w:pBdr>
          <w:top w:val="nil"/>
          <w:left w:val="nil"/>
          <w:bottom w:val="nil"/>
          <w:right w:val="nil"/>
          <w:between w:val="nil"/>
        </w:pBdr>
      </w:pPr>
      <w:r>
        <w:t>Schéma 2</w:t>
      </w:r>
    </w:p>
    <w:p w14:paraId="16AEBC4D" w14:textId="77777777" w:rsidR="006F3E0E" w:rsidRDefault="006F3E0E">
      <w:pPr>
        <w:numPr>
          <w:ilvl w:val="0"/>
          <w:numId w:val="23"/>
        </w:numPr>
        <w:pBdr>
          <w:top w:val="nil"/>
          <w:left w:val="nil"/>
          <w:bottom w:val="nil"/>
          <w:right w:val="nil"/>
          <w:between w:val="nil"/>
        </w:pBdr>
      </w:pPr>
      <w:r>
        <w:t>Schéma 3</w:t>
      </w:r>
    </w:p>
    <w:p w14:paraId="487A8A6C" w14:textId="77777777" w:rsidR="006F3E0E" w:rsidRDefault="006F3E0E">
      <w:pPr>
        <w:numPr>
          <w:ilvl w:val="0"/>
          <w:numId w:val="23"/>
        </w:numPr>
        <w:pBdr>
          <w:top w:val="nil"/>
          <w:left w:val="nil"/>
          <w:bottom w:val="nil"/>
          <w:right w:val="nil"/>
          <w:between w:val="nil"/>
        </w:pBdr>
      </w:pPr>
      <w:r>
        <w:t>Schéma 4</w:t>
      </w:r>
    </w:p>
    <w:p w14:paraId="201D30C5" w14:textId="77777777" w:rsidR="006F3E0E" w:rsidRDefault="006F3E0E" w:rsidP="006F3E0E"/>
    <w:p w14:paraId="1AE4BFBF" w14:textId="77777777" w:rsidR="006F3E0E" w:rsidRDefault="006F3E0E">
      <w:pPr>
        <w:numPr>
          <w:ilvl w:val="0"/>
          <w:numId w:val="9"/>
        </w:numPr>
        <w:pBdr>
          <w:top w:val="nil"/>
          <w:left w:val="nil"/>
          <w:bottom w:val="nil"/>
          <w:right w:val="nil"/>
          <w:between w:val="nil"/>
        </w:pBdr>
        <w:spacing w:line="240" w:lineRule="auto"/>
        <w:jc w:val="left"/>
        <w:rPr>
          <w:b/>
          <w:bCs/>
        </w:rPr>
      </w:pPr>
      <w:r>
        <w:rPr>
          <w:b/>
          <w:bCs/>
        </w:rPr>
        <w:t>QROC</w:t>
      </w:r>
    </w:p>
    <w:p w14:paraId="549CD57B" w14:textId="77777777" w:rsidR="006F3E0E" w:rsidRDefault="006F3E0E" w:rsidP="006F3E0E">
      <w:bookmarkStart w:id="4" w:name="_heading=h.u3opkh897b36" w:colFirst="0" w:colLast="0"/>
      <w:bookmarkEnd w:id="4"/>
      <w:r>
        <w:t>Les résultats de l’analyse sanguine artérielle sont les suivants (sous O</w:t>
      </w:r>
      <w:r>
        <w:rPr>
          <w:vertAlign w:val="subscript"/>
        </w:rPr>
        <w:t>2</w:t>
      </w:r>
      <w:r>
        <w:t xml:space="preserve"> à 6 L/min) : pH = 7,32, PaO</w:t>
      </w:r>
      <w:r>
        <w:rPr>
          <w:vertAlign w:val="subscript"/>
        </w:rPr>
        <w:t>2</w:t>
      </w:r>
      <w:r>
        <w:t xml:space="preserve"> = 65 </w:t>
      </w:r>
      <w:proofErr w:type="spellStart"/>
      <w:r>
        <w:t>mmHg</w:t>
      </w:r>
      <w:proofErr w:type="spellEnd"/>
      <w:r>
        <w:t>, PaCO</w:t>
      </w:r>
      <w:r>
        <w:rPr>
          <w:vertAlign w:val="subscript"/>
        </w:rPr>
        <w:t>2</w:t>
      </w:r>
      <w:r>
        <w:t xml:space="preserve"> = 67 </w:t>
      </w:r>
      <w:proofErr w:type="spellStart"/>
      <w:r>
        <w:t>mmHg</w:t>
      </w:r>
      <w:proofErr w:type="spellEnd"/>
      <w:r>
        <w:t xml:space="preserve">, bicarbonates = 34 </w:t>
      </w:r>
      <w:proofErr w:type="spellStart"/>
      <w:r>
        <w:t>mmol</w:t>
      </w:r>
      <w:proofErr w:type="spellEnd"/>
      <w:r>
        <w:t>/L, lactate : 1,6 </w:t>
      </w:r>
      <w:proofErr w:type="spellStart"/>
      <w:r>
        <w:t>mmol</w:t>
      </w:r>
      <w:proofErr w:type="spellEnd"/>
      <w:r>
        <w:t>/L.</w:t>
      </w:r>
    </w:p>
    <w:p w14:paraId="1FB6BA62" w14:textId="77777777" w:rsidR="006F3E0E" w:rsidRDefault="006F3E0E" w:rsidP="006F3E0E">
      <w:r>
        <w:t>Comment interprétez-vous ces résultats</w:t>
      </w:r>
      <w:r>
        <w:rPr>
          <w:rFonts w:ascii="Arial" w:eastAsia="Arial" w:hAnsi="Arial" w:cs="Arial"/>
        </w:rPr>
        <w:t> </w:t>
      </w:r>
      <w:r>
        <w:t xml:space="preserve">? </w:t>
      </w:r>
    </w:p>
    <w:p w14:paraId="40190E41" w14:textId="77777777" w:rsidR="006F3E0E" w:rsidRDefault="006F3E0E" w:rsidP="006F3E0E">
      <w:r>
        <w:t xml:space="preserve"> </w:t>
      </w:r>
    </w:p>
    <w:p w14:paraId="1C44A67D" w14:textId="77777777" w:rsidR="006F3E0E" w:rsidRDefault="006F3E0E" w:rsidP="006F3E0E">
      <w:pPr>
        <w:rPr>
          <w:b/>
          <w:bCs/>
          <w:color w:val="3366FF"/>
        </w:rPr>
      </w:pPr>
    </w:p>
    <w:p w14:paraId="10B3B8D8" w14:textId="77777777" w:rsidR="006F3E0E" w:rsidRDefault="006F3E0E" w:rsidP="006F3E0E">
      <w:pPr>
        <w:rPr>
          <w:b/>
          <w:bCs/>
          <w:color w:val="3366FF"/>
        </w:rPr>
      </w:pPr>
      <w:r>
        <w:br w:type="page"/>
      </w:r>
    </w:p>
    <w:p w14:paraId="59C6E91E" w14:textId="77777777" w:rsidR="006F3E0E" w:rsidRDefault="006F3E0E" w:rsidP="006F3E0E">
      <w:pPr>
        <w:rPr>
          <w:b/>
          <w:bCs/>
          <w:color w:val="0070C0"/>
          <w:sz w:val="24"/>
          <w:szCs w:val="24"/>
        </w:rPr>
      </w:pPr>
      <w:r>
        <w:rPr>
          <w:b/>
          <w:bCs/>
          <w:color w:val="0070C0"/>
          <w:sz w:val="24"/>
          <w:szCs w:val="24"/>
        </w:rPr>
        <w:lastRenderedPageBreak/>
        <w:t>REPONSES</w:t>
      </w:r>
    </w:p>
    <w:p w14:paraId="3EEA1C02" w14:textId="77777777" w:rsidR="006F3E0E" w:rsidRDefault="006F3E0E" w:rsidP="006F3E0E">
      <w:pPr>
        <w:jc w:val="center"/>
        <w:rPr>
          <w:b/>
          <w:bCs/>
          <w:color w:val="3366FF"/>
        </w:rPr>
      </w:pPr>
    </w:p>
    <w:p w14:paraId="36415916" w14:textId="77777777" w:rsidR="006F3E0E" w:rsidRDefault="006F3E0E">
      <w:pPr>
        <w:numPr>
          <w:ilvl w:val="0"/>
          <w:numId w:val="11"/>
        </w:numPr>
        <w:pBdr>
          <w:top w:val="nil"/>
          <w:left w:val="nil"/>
          <w:bottom w:val="nil"/>
          <w:right w:val="nil"/>
          <w:between w:val="nil"/>
        </w:pBdr>
        <w:spacing w:line="240" w:lineRule="auto"/>
        <w:jc w:val="left"/>
        <w:rPr>
          <w:b/>
          <w:bCs/>
        </w:rPr>
      </w:pPr>
      <w:r>
        <w:rPr>
          <w:b/>
          <w:bCs/>
        </w:rPr>
        <w:t>QRM</w:t>
      </w:r>
    </w:p>
    <w:p w14:paraId="04036B1A" w14:textId="77777777" w:rsidR="006F3E0E" w:rsidRDefault="006F3E0E" w:rsidP="006F3E0E">
      <w:r>
        <w:t>Réponses : ACD</w:t>
      </w:r>
    </w:p>
    <w:p w14:paraId="12306A36" w14:textId="77777777" w:rsidR="006F3E0E" w:rsidRDefault="006F3E0E" w:rsidP="006F3E0E">
      <w:r>
        <w:t>Commentaires :</w:t>
      </w:r>
    </w:p>
    <w:p w14:paraId="66676212" w14:textId="77777777" w:rsidR="006F3E0E" w:rsidRDefault="006F3E0E" w:rsidP="006F3E0E">
      <w:r>
        <w:t xml:space="preserve">Le patient présente une bronchite chronique (toux avec expectorations quotidiennes au moins 3 mois dans l’année au moins deux années consécutives), une distension thoracique (augmentation des diamètres thoraciques et raccourcissement de la distance entre la glotte et le manubrium sternal) et une dyspnée d’effort </w:t>
      </w:r>
      <w:proofErr w:type="spellStart"/>
      <w:r>
        <w:t>mMRC</w:t>
      </w:r>
      <w:proofErr w:type="spellEnd"/>
      <w:r>
        <w:t> 2. En revanche, en l’absence de spirométrie, vous ne pouvez pas affirmer le diagnostic de BPCO même si c’est l’hypothèse la plus probable dans ce contexte de symptômes respiratoires chroniques compatibles associés à un tabagisme chronique. Vous ne pouvez pas affirmer le diagnostic d’emphysème sans imagerie thoracique.</w:t>
      </w:r>
    </w:p>
    <w:p w14:paraId="272A3F2E" w14:textId="77777777" w:rsidR="006F3E0E" w:rsidRDefault="006F3E0E" w:rsidP="006F3E0E">
      <w:pPr>
        <w:rPr>
          <w:b/>
          <w:bCs/>
        </w:rPr>
      </w:pPr>
    </w:p>
    <w:p w14:paraId="1AC69E1B" w14:textId="77777777" w:rsidR="006F3E0E" w:rsidRDefault="006F3E0E">
      <w:pPr>
        <w:numPr>
          <w:ilvl w:val="0"/>
          <w:numId w:val="11"/>
        </w:numPr>
        <w:pBdr>
          <w:top w:val="nil"/>
          <w:left w:val="nil"/>
          <w:bottom w:val="nil"/>
          <w:right w:val="nil"/>
          <w:between w:val="nil"/>
        </w:pBdr>
        <w:spacing w:line="240" w:lineRule="auto"/>
        <w:jc w:val="left"/>
        <w:rPr>
          <w:b/>
          <w:bCs/>
        </w:rPr>
      </w:pPr>
      <w:r>
        <w:rPr>
          <w:b/>
          <w:bCs/>
        </w:rPr>
        <w:t>QRU</w:t>
      </w:r>
    </w:p>
    <w:p w14:paraId="50AC35D8" w14:textId="77777777" w:rsidR="006F3E0E" w:rsidRDefault="006F3E0E" w:rsidP="006F3E0E">
      <w:r>
        <w:t>Réponse vraie : A</w:t>
      </w:r>
    </w:p>
    <w:p w14:paraId="799A769B" w14:textId="77777777" w:rsidR="006F3E0E" w:rsidRDefault="006F3E0E" w:rsidP="006F3E0E">
      <w:r>
        <w:t xml:space="preserve">Commentaires : </w:t>
      </w:r>
    </w:p>
    <w:p w14:paraId="35C52207" w14:textId="77777777" w:rsidR="006F3E0E" w:rsidRDefault="006F3E0E" w:rsidP="006F3E0E">
      <w:r>
        <w:t>Le rapport VEMS/CVF du patient (colonne Pré) est inférieur à 70 % permettant de retenir le diagnostic de trouble ventilatoire obstructif (TVO). Après prise de bronchodilatateur (ici de la Ventoline), le VEMS n’augmente que de 160 </w:t>
      </w:r>
      <w:proofErr w:type="spellStart"/>
      <w:r>
        <w:t>mL</w:t>
      </w:r>
      <w:proofErr w:type="spellEnd"/>
      <w:r>
        <w:t xml:space="preserve"> (1,35 L – 1,19 L) soit moins de 200 </w:t>
      </w:r>
      <w:proofErr w:type="spellStart"/>
      <w:r>
        <w:t>mL</w:t>
      </w:r>
      <w:proofErr w:type="spellEnd"/>
      <w:r>
        <w:t xml:space="preserve">. Le TVO est donc non réversible même si le gain en pourcentage dépasse 12 %, car les deux critères doivent être réunis pour retenir la présence d’une réversibilité (valeur % Post/Pré = 113 % soit un gain de 13 %). Enfin, le VEMS </w:t>
      </w:r>
      <w:r>
        <w:rPr>
          <w:b/>
          <w:bCs/>
        </w:rPr>
        <w:t>post</w:t>
      </w:r>
      <w:r>
        <w:t>-bronchodilatateur est compris entre 50 % et 80 % (ici 52 %), le TVO est donc modéré même s’il était compris entre 30 % et 50 % avant la prise de Ventoline.</w:t>
      </w:r>
    </w:p>
    <w:p w14:paraId="66B73AFC" w14:textId="77777777" w:rsidR="006F3E0E" w:rsidRDefault="006F3E0E" w:rsidP="006F3E0E">
      <w:pPr>
        <w:rPr>
          <w:b/>
          <w:bCs/>
        </w:rPr>
      </w:pPr>
    </w:p>
    <w:p w14:paraId="1E5ECA96" w14:textId="77777777" w:rsidR="006F3E0E" w:rsidRDefault="006F3E0E">
      <w:pPr>
        <w:numPr>
          <w:ilvl w:val="0"/>
          <w:numId w:val="11"/>
        </w:numPr>
        <w:pBdr>
          <w:top w:val="nil"/>
          <w:left w:val="nil"/>
          <w:bottom w:val="nil"/>
          <w:right w:val="nil"/>
          <w:between w:val="nil"/>
        </w:pBdr>
        <w:spacing w:line="240" w:lineRule="auto"/>
        <w:jc w:val="left"/>
        <w:rPr>
          <w:b/>
          <w:bCs/>
        </w:rPr>
      </w:pPr>
      <w:r>
        <w:rPr>
          <w:b/>
          <w:bCs/>
        </w:rPr>
        <w:t>QRM</w:t>
      </w:r>
    </w:p>
    <w:p w14:paraId="358EABB1" w14:textId="77777777" w:rsidR="006F3E0E" w:rsidRDefault="006F3E0E" w:rsidP="006F3E0E">
      <w:r>
        <w:t>Réponses : ABE</w:t>
      </w:r>
    </w:p>
    <w:p w14:paraId="3D5D7EEA" w14:textId="77777777" w:rsidR="006F3E0E" w:rsidRDefault="006F3E0E" w:rsidP="006F3E0E">
      <w:r>
        <w:t xml:space="preserve">Commentaires : </w:t>
      </w:r>
    </w:p>
    <w:p w14:paraId="46DABA23" w14:textId="77777777" w:rsidR="006F3E0E" w:rsidRDefault="006F3E0E" w:rsidP="006F3E0E">
      <w:r>
        <w:t>La majorité des exacerbations de BPCO ne s’accompagne pas de signe de gravité et peuvent être prises en charge en ville (exacerbations légères ou modérées). Dans ce cas, aucune exploration paraclinique n’est justifiée. La base du traitement des exacerbations repose sur l’intensification du traitement par bronchodilatateurs qui doivent être administrés précocement par le patient lui-même selon les conseils qui lui ont été fournis au préalable lors des consultations. Les antibiotiques sont indiqués si l’expectoration est franchement abondante et purulente depuis au moins 48 h ou si l’expectoration est abondante et purulente depuis un délai plus court, mais avec une BPCO sous-jacente très sévère (VEMS &lt; 30 % de la théorique)</w:t>
      </w:r>
      <w:r>
        <w:rPr>
          <w:rFonts w:ascii="Arial" w:eastAsia="Arial" w:hAnsi="Arial" w:cs="Arial"/>
        </w:rPr>
        <w:t> </w:t>
      </w:r>
      <w:r>
        <w:t>; aucune de ces conditions n’est retrouvée ici. À domicile, la corticothérapie systémique n’est envisagée qu’en seconde intention, en l’absence d’amélioration après 48 heures de traitement.</w:t>
      </w:r>
    </w:p>
    <w:p w14:paraId="5023B678" w14:textId="77777777" w:rsidR="006F3E0E" w:rsidRDefault="006F3E0E" w:rsidP="006F3E0E"/>
    <w:p w14:paraId="051BE6B3" w14:textId="77777777" w:rsidR="006F3E0E" w:rsidRDefault="006F3E0E">
      <w:pPr>
        <w:numPr>
          <w:ilvl w:val="0"/>
          <w:numId w:val="11"/>
        </w:numPr>
        <w:pBdr>
          <w:top w:val="nil"/>
          <w:left w:val="nil"/>
          <w:bottom w:val="nil"/>
          <w:right w:val="nil"/>
          <w:between w:val="nil"/>
        </w:pBdr>
        <w:spacing w:line="240" w:lineRule="auto"/>
        <w:jc w:val="left"/>
        <w:rPr>
          <w:b/>
          <w:bCs/>
        </w:rPr>
      </w:pPr>
      <w:r>
        <w:rPr>
          <w:b/>
          <w:bCs/>
        </w:rPr>
        <w:t>QRM</w:t>
      </w:r>
    </w:p>
    <w:p w14:paraId="1A6E10FC" w14:textId="77777777" w:rsidR="006F3E0E" w:rsidRDefault="006F3E0E" w:rsidP="006F3E0E">
      <w:r>
        <w:t>Réponse : B</w:t>
      </w:r>
    </w:p>
    <w:p w14:paraId="0B8E509E" w14:textId="77777777" w:rsidR="006F3E0E" w:rsidRDefault="006F3E0E" w:rsidP="006F3E0E">
      <w:r>
        <w:t>Commentaire : pas de piège, ici. On ne peut répondre à C, D ni à E en l’absence de pléthysmographie et de mesure de la DLCO</w:t>
      </w:r>
    </w:p>
    <w:p w14:paraId="6DB7724C" w14:textId="77777777" w:rsidR="006F3E0E" w:rsidRDefault="006F3E0E" w:rsidP="006F3E0E">
      <w:pPr>
        <w:rPr>
          <w:b/>
          <w:bCs/>
        </w:rPr>
      </w:pPr>
    </w:p>
    <w:p w14:paraId="31A8B097" w14:textId="77777777" w:rsidR="006F3E0E" w:rsidRDefault="006F3E0E">
      <w:pPr>
        <w:numPr>
          <w:ilvl w:val="0"/>
          <w:numId w:val="11"/>
        </w:numPr>
        <w:pBdr>
          <w:top w:val="nil"/>
          <w:left w:val="nil"/>
          <w:bottom w:val="nil"/>
          <w:right w:val="nil"/>
          <w:between w:val="nil"/>
        </w:pBdr>
        <w:spacing w:line="240" w:lineRule="auto"/>
        <w:jc w:val="left"/>
        <w:rPr>
          <w:b/>
          <w:bCs/>
        </w:rPr>
      </w:pPr>
      <w:r>
        <w:rPr>
          <w:b/>
          <w:bCs/>
        </w:rPr>
        <w:t>QRM</w:t>
      </w:r>
    </w:p>
    <w:p w14:paraId="2F8B68BF" w14:textId="77777777" w:rsidR="006F3E0E" w:rsidRDefault="006F3E0E" w:rsidP="006F3E0E">
      <w:r>
        <w:t>Réponse : BC</w:t>
      </w:r>
    </w:p>
    <w:p w14:paraId="123E43B4" w14:textId="77777777" w:rsidR="006F3E0E" w:rsidRDefault="006F3E0E" w:rsidP="006F3E0E">
      <w:r>
        <w:t>Commentaire :</w:t>
      </w:r>
    </w:p>
    <w:p w14:paraId="79B7FB79" w14:textId="77777777" w:rsidR="006F3E0E" w:rsidRDefault="006F3E0E" w:rsidP="006F3E0E">
      <w:r>
        <w:t>La BPCO est définie par :</w:t>
      </w:r>
    </w:p>
    <w:p w14:paraId="22373BCF" w14:textId="77777777" w:rsidR="006F3E0E" w:rsidRDefault="006F3E0E" w:rsidP="006F3E0E">
      <w:r>
        <w:t>1. L’existence de symptômes respiratoires chroniques (au moins un parmi dyspnée d’exercice, toux, expectoration, infections respiratoires basses répétées ou traînantes)</w:t>
      </w:r>
    </w:p>
    <w:p w14:paraId="3BFE2893" w14:textId="77777777" w:rsidR="006F3E0E" w:rsidRDefault="006F3E0E" w:rsidP="006F3E0E">
      <w:r>
        <w:lastRenderedPageBreak/>
        <w:t>2. Trouble ventilatoire obstructif non complètement réversible. Le diagnostic BPCO passe par la découverte d’un TVO et donc requiert obligatoirement une spirométrie avec mesure du volume expiratoire maximal à la première seconde (VEMS) et de la capacité vitale forcée (CVF) avant et après administration de bronchodilatateurs (BD)</w:t>
      </w:r>
    </w:p>
    <w:p w14:paraId="206767F8" w14:textId="77777777" w:rsidR="006F3E0E" w:rsidRDefault="006F3E0E" w:rsidP="006F3E0E">
      <w:pPr>
        <w:rPr>
          <w:b/>
          <w:bCs/>
        </w:rPr>
      </w:pPr>
    </w:p>
    <w:p w14:paraId="3A0C6365" w14:textId="77777777" w:rsidR="006F3E0E" w:rsidRDefault="006F3E0E">
      <w:pPr>
        <w:numPr>
          <w:ilvl w:val="0"/>
          <w:numId w:val="11"/>
        </w:numPr>
        <w:pBdr>
          <w:top w:val="nil"/>
          <w:left w:val="nil"/>
          <w:bottom w:val="nil"/>
          <w:right w:val="nil"/>
          <w:between w:val="nil"/>
        </w:pBdr>
        <w:spacing w:line="240" w:lineRule="auto"/>
        <w:jc w:val="left"/>
        <w:rPr>
          <w:b/>
          <w:bCs/>
        </w:rPr>
      </w:pPr>
      <w:r>
        <w:rPr>
          <w:b/>
          <w:bCs/>
        </w:rPr>
        <w:t>QRM</w:t>
      </w:r>
    </w:p>
    <w:p w14:paraId="084DEC6A" w14:textId="77777777" w:rsidR="006F3E0E" w:rsidRDefault="006F3E0E" w:rsidP="006F3E0E">
      <w:r>
        <w:t>Réponse : CE</w:t>
      </w:r>
    </w:p>
    <w:p w14:paraId="3073665E" w14:textId="77777777" w:rsidR="006F3E0E" w:rsidRDefault="006F3E0E" w:rsidP="006F3E0E">
      <w:r>
        <w:t xml:space="preserve">Commentaire : </w:t>
      </w:r>
    </w:p>
    <w:p w14:paraId="562ADF0B" w14:textId="77777777" w:rsidR="006F3E0E" w:rsidRDefault="006F3E0E" w:rsidP="006F3E0E">
      <w:r>
        <w:t xml:space="preserve">La spirométrie identifie le TVO caractérisé par un rapport VEMS/CVF &lt; 0,7 (70 %). Ce TVO persiste après administration de bronchodilatateurs. La distension pulmonaire, souvent associée au TVO est définie par une augmentation du VR avec un VR/CPT et CRF élevés. Le VEMS </w:t>
      </w:r>
      <w:proofErr w:type="spellStart"/>
      <w:r>
        <w:t>postBD</w:t>
      </w:r>
      <w:proofErr w:type="spellEnd"/>
      <w:r>
        <w:t xml:space="preserve"> à 43 % de la valeur théorique classe la BPCO en stade III. La dyspnée gradée mMRC2 et la fréquence des exacerbations classe la BPCO en groupe B.</w:t>
      </w:r>
    </w:p>
    <w:p w14:paraId="45BB79FE" w14:textId="77777777" w:rsidR="006F3E0E" w:rsidRDefault="006F3E0E" w:rsidP="006F3E0E"/>
    <w:p w14:paraId="4443ECAD" w14:textId="77777777" w:rsidR="006F3E0E" w:rsidRDefault="006F3E0E">
      <w:pPr>
        <w:numPr>
          <w:ilvl w:val="0"/>
          <w:numId w:val="11"/>
        </w:numPr>
        <w:pBdr>
          <w:top w:val="nil"/>
          <w:left w:val="nil"/>
          <w:bottom w:val="nil"/>
          <w:right w:val="nil"/>
          <w:between w:val="nil"/>
        </w:pBdr>
        <w:spacing w:line="240" w:lineRule="auto"/>
        <w:jc w:val="left"/>
        <w:rPr>
          <w:b/>
          <w:bCs/>
        </w:rPr>
      </w:pPr>
      <w:r>
        <w:rPr>
          <w:b/>
          <w:bCs/>
        </w:rPr>
        <w:t>QRU</w:t>
      </w:r>
    </w:p>
    <w:p w14:paraId="7CDB75CC" w14:textId="77777777" w:rsidR="006F3E0E" w:rsidRDefault="006F3E0E" w:rsidP="006F3E0E">
      <w:r>
        <w:t>Réponse : D</w:t>
      </w:r>
    </w:p>
    <w:p w14:paraId="0A4301DB" w14:textId="77777777" w:rsidR="006F3E0E" w:rsidRDefault="006F3E0E" w:rsidP="006F3E0E">
      <w:r>
        <w:t xml:space="preserve">Commentaire : </w:t>
      </w:r>
    </w:p>
    <w:p w14:paraId="47AAF404" w14:textId="77777777" w:rsidR="006F3E0E" w:rsidRDefault="006F3E0E" w:rsidP="006F3E0E">
      <w:r>
        <w:t>Les comorbidités sont des affections coexistant fréquemment avec la BPCO sans préjuger d’un lien causal : 1. dénutrition/obésité</w:t>
      </w:r>
    </w:p>
    <w:p w14:paraId="046025E8" w14:textId="77777777" w:rsidR="006F3E0E" w:rsidRDefault="006F3E0E" w:rsidP="006F3E0E">
      <w:r>
        <w:t>2. dysfonction/déconditionnement musculaire squelettique</w:t>
      </w:r>
    </w:p>
    <w:p w14:paraId="779AF0B2" w14:textId="77777777" w:rsidR="006F3E0E" w:rsidRDefault="006F3E0E" w:rsidP="006F3E0E">
      <w:r>
        <w:t>3. anémie</w:t>
      </w:r>
    </w:p>
    <w:p w14:paraId="0E10DE71" w14:textId="77777777" w:rsidR="006F3E0E" w:rsidRDefault="006F3E0E" w:rsidP="006F3E0E">
      <w:r>
        <w:t>4. affections cardiovasculaires</w:t>
      </w:r>
    </w:p>
    <w:p w14:paraId="38325F9B" w14:textId="77777777" w:rsidR="006F3E0E" w:rsidRDefault="006F3E0E" w:rsidP="006F3E0E">
      <w:r>
        <w:t>5. anxiété/dépression</w:t>
      </w:r>
    </w:p>
    <w:p w14:paraId="7F8A8CE1" w14:textId="77777777" w:rsidR="006F3E0E" w:rsidRDefault="006F3E0E" w:rsidP="006F3E0E">
      <w:r>
        <w:t>6. ostéoporose</w:t>
      </w:r>
    </w:p>
    <w:p w14:paraId="014B9033" w14:textId="77777777" w:rsidR="006F3E0E" w:rsidRDefault="006F3E0E" w:rsidP="006F3E0E">
      <w:r>
        <w:t xml:space="preserve">7. cancer bronchique </w:t>
      </w:r>
    </w:p>
    <w:p w14:paraId="4AE79CC3" w14:textId="77777777" w:rsidR="006F3E0E" w:rsidRDefault="006F3E0E" w:rsidP="006F3E0E">
      <w:r>
        <w:t>Elles doivent être recherchées et prises en charge chez tout patient atteint de BPCO. À l’inverse, la présence de diverses anomalies cardiovasculaires, d’une dénutrition ou d’un déconditionnement musculaire squelettique chez un fumeur doivent faire rechercher une BPCO.</w:t>
      </w:r>
    </w:p>
    <w:p w14:paraId="3275D370" w14:textId="77777777" w:rsidR="006F3E0E" w:rsidRDefault="006F3E0E" w:rsidP="006F3E0E">
      <w:r>
        <w:t>Le déficit en alpha1anti-trypsine est une cause de BPCO et non une comorbidité.</w:t>
      </w:r>
    </w:p>
    <w:p w14:paraId="6D3D3285" w14:textId="77777777" w:rsidR="006F3E0E" w:rsidRDefault="006F3E0E" w:rsidP="006F3E0E"/>
    <w:p w14:paraId="5FC8196B" w14:textId="77777777" w:rsidR="006F3E0E" w:rsidRDefault="006F3E0E">
      <w:pPr>
        <w:numPr>
          <w:ilvl w:val="0"/>
          <w:numId w:val="11"/>
        </w:numPr>
        <w:pBdr>
          <w:top w:val="nil"/>
          <w:left w:val="nil"/>
          <w:bottom w:val="nil"/>
          <w:right w:val="nil"/>
          <w:between w:val="nil"/>
        </w:pBdr>
        <w:spacing w:line="240" w:lineRule="auto"/>
        <w:jc w:val="left"/>
        <w:rPr>
          <w:b/>
          <w:bCs/>
        </w:rPr>
      </w:pPr>
      <w:r>
        <w:rPr>
          <w:b/>
          <w:bCs/>
        </w:rPr>
        <w:t>QRU</w:t>
      </w:r>
    </w:p>
    <w:p w14:paraId="1A83F684" w14:textId="77777777" w:rsidR="006F3E0E" w:rsidRDefault="006F3E0E" w:rsidP="006F3E0E">
      <w:r>
        <w:t>Réponse : B</w:t>
      </w:r>
    </w:p>
    <w:p w14:paraId="5394D4DB" w14:textId="77777777" w:rsidR="006F3E0E" w:rsidRDefault="006F3E0E" w:rsidP="006F3E0E">
      <w:r>
        <w:t xml:space="preserve">Commentaires : sueurs et flapping </w:t>
      </w:r>
      <w:proofErr w:type="spellStart"/>
      <w:r>
        <w:t>tremor</w:t>
      </w:r>
      <w:proofErr w:type="spellEnd"/>
      <w:r>
        <w:t xml:space="preserve"> témoignent d’une probable hypercapnie par hypoventilation alvéolaire</w:t>
      </w:r>
      <w:r>
        <w:rPr>
          <w:rFonts w:ascii="Arial" w:eastAsia="Arial" w:hAnsi="Arial" w:cs="Arial"/>
        </w:rPr>
        <w:t> </w:t>
      </w:r>
      <w:r>
        <w:t>; SpO</w:t>
      </w:r>
      <w:r>
        <w:rPr>
          <w:vertAlign w:val="subscript"/>
        </w:rPr>
        <w:t>2</w:t>
      </w:r>
      <w:r>
        <w:t xml:space="preserve"> à 86 % au sous 3 L/min d’oxygène témoigne d’une probable hypoxémie</w:t>
      </w:r>
    </w:p>
    <w:p w14:paraId="0FB6CA86" w14:textId="77777777" w:rsidR="006F3E0E" w:rsidRDefault="006F3E0E" w:rsidP="006F3E0E"/>
    <w:p w14:paraId="72843EE8" w14:textId="77777777" w:rsidR="006F3E0E" w:rsidRDefault="006F3E0E">
      <w:pPr>
        <w:numPr>
          <w:ilvl w:val="0"/>
          <w:numId w:val="11"/>
        </w:numPr>
        <w:pBdr>
          <w:top w:val="nil"/>
          <w:left w:val="nil"/>
          <w:bottom w:val="nil"/>
          <w:right w:val="nil"/>
          <w:between w:val="nil"/>
        </w:pBdr>
        <w:spacing w:line="240" w:lineRule="auto"/>
        <w:jc w:val="left"/>
        <w:rPr>
          <w:b/>
          <w:bCs/>
        </w:rPr>
      </w:pPr>
      <w:r>
        <w:rPr>
          <w:b/>
          <w:bCs/>
        </w:rPr>
        <w:t>QRU</w:t>
      </w:r>
    </w:p>
    <w:p w14:paraId="566E4E61" w14:textId="77777777" w:rsidR="006F3E0E" w:rsidRDefault="006F3E0E" w:rsidP="006F3E0E">
      <w:r>
        <w:t>Réponse B</w:t>
      </w:r>
    </w:p>
    <w:p w14:paraId="60C1C211" w14:textId="77777777" w:rsidR="006F3E0E" w:rsidRDefault="006F3E0E" w:rsidP="006F3E0E"/>
    <w:p w14:paraId="043EF66C" w14:textId="77777777" w:rsidR="006F3E0E" w:rsidRDefault="006F3E0E">
      <w:pPr>
        <w:numPr>
          <w:ilvl w:val="0"/>
          <w:numId w:val="11"/>
        </w:numPr>
        <w:pBdr>
          <w:top w:val="nil"/>
          <w:left w:val="nil"/>
          <w:bottom w:val="nil"/>
          <w:right w:val="nil"/>
          <w:between w:val="nil"/>
        </w:pBdr>
        <w:spacing w:line="240" w:lineRule="auto"/>
        <w:jc w:val="left"/>
        <w:rPr>
          <w:b/>
          <w:bCs/>
        </w:rPr>
      </w:pPr>
      <w:r>
        <w:rPr>
          <w:b/>
          <w:bCs/>
        </w:rPr>
        <w:t>QROC</w:t>
      </w:r>
    </w:p>
    <w:p w14:paraId="62A03D67" w14:textId="77777777" w:rsidR="00BF04C9" w:rsidRDefault="006F3E0E" w:rsidP="00BF04C9">
      <w:r>
        <w:t xml:space="preserve">Réponses : </w:t>
      </w:r>
    </w:p>
    <w:p w14:paraId="7FA28DFB" w14:textId="3A68D42B" w:rsidR="00BF04C9" w:rsidRPr="00BF04C9" w:rsidRDefault="00BF04C9" w:rsidP="00BF04C9">
      <w:proofErr w:type="gramStart"/>
      <w:r>
        <w:t>acidose</w:t>
      </w:r>
      <w:proofErr w:type="gramEnd"/>
      <w:r>
        <w:t xml:space="preserve"> respiratoire non compensée + hypoventilation/hypercapnie</w:t>
      </w:r>
    </w:p>
    <w:p w14:paraId="15B96620" w14:textId="65BF86C8" w:rsidR="00F75368" w:rsidRDefault="00F75368" w:rsidP="00BF04C9"/>
    <w:sectPr w:rsidR="00F75368" w:rsidSect="00876EF8">
      <w:headerReference w:type="even" r:id="rId25"/>
      <w:headerReference w:type="default" r:id="rId26"/>
      <w:footerReference w:type="even" r:id="rId27"/>
      <w:footerReference w:type="default" r:id="rId28"/>
      <w:headerReference w:type="first" r:id="rId29"/>
      <w:footerReference w:type="first" r:id="rId30"/>
      <w:pgSz w:w="11340" w:h="14742" w:code="9"/>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462F1C" w14:textId="77777777" w:rsidR="005E7F11" w:rsidRDefault="005E7F11" w:rsidP="000748A0">
      <w:pPr>
        <w:spacing w:line="240" w:lineRule="auto"/>
      </w:pPr>
      <w:r>
        <w:separator/>
      </w:r>
    </w:p>
  </w:endnote>
  <w:endnote w:type="continuationSeparator" w:id="0">
    <w:p w14:paraId="3F2FD595" w14:textId="77777777" w:rsidR="005E7F11" w:rsidRDefault="005E7F11" w:rsidP="000748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Wingdings 2">
    <w:panose1 w:val="050201020105070707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3C304A" w14:textId="77777777" w:rsidR="000748A0" w:rsidRDefault="000748A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C10A9A" w14:textId="77777777" w:rsidR="000748A0" w:rsidRDefault="000748A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06FADE" w14:textId="77777777" w:rsidR="000748A0" w:rsidRDefault="000748A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7FF0DE" w14:textId="77777777" w:rsidR="005E7F11" w:rsidRDefault="005E7F11" w:rsidP="000748A0">
      <w:pPr>
        <w:spacing w:line="240" w:lineRule="auto"/>
      </w:pPr>
      <w:r>
        <w:separator/>
      </w:r>
    </w:p>
  </w:footnote>
  <w:footnote w:type="continuationSeparator" w:id="0">
    <w:p w14:paraId="1C227EB1" w14:textId="77777777" w:rsidR="005E7F11" w:rsidRDefault="005E7F11" w:rsidP="000748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E1600E" w14:textId="77777777" w:rsidR="000748A0" w:rsidRDefault="000748A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330282" w14:textId="77777777" w:rsidR="000748A0" w:rsidRPr="00F201C7" w:rsidRDefault="000748A0" w:rsidP="000748A0">
    <w:pPr>
      <w:pStyle w:val="En-tte"/>
      <w:tabs>
        <w:tab w:val="clear" w:pos="9072"/>
        <w:tab w:val="right" w:pos="10206"/>
      </w:tabs>
      <w:ind w:right="-650"/>
      <w:jc w:val="right"/>
      <w:rPr>
        <w:rFonts w:ascii="Arial" w:hAnsi="Arial" w:cs="Arial"/>
        <w:b/>
        <w:color w:val="3366FF"/>
        <w:sz w:val="36"/>
      </w:rPr>
    </w:pPr>
    <w:r w:rsidRPr="00F201C7">
      <w:rPr>
        <w:rFonts w:ascii="Arial" w:hAnsi="Arial" w:cs="Arial"/>
        <w:b/>
        <w:color w:val="3366FF"/>
        <w:sz w:val="36"/>
      </w:rPr>
      <w:t>Collège des Enseignants de Pneumologie - 20</w:t>
    </w:r>
    <w:r>
      <w:rPr>
        <w:rFonts w:ascii="Arial" w:hAnsi="Arial" w:cs="Arial"/>
        <w:b/>
        <w:color w:val="3366FF"/>
        <w:sz w:val="36"/>
      </w:rPr>
      <w:t>26</w:t>
    </w:r>
  </w:p>
  <w:p w14:paraId="75F23E3B" w14:textId="77777777" w:rsidR="000748A0" w:rsidRDefault="000748A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CE3BF0" w14:textId="77777777" w:rsidR="000748A0" w:rsidRDefault="000748A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5A36BE"/>
    <w:multiLevelType w:val="multilevel"/>
    <w:tmpl w:val="CC0EEA2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280EE0"/>
    <w:multiLevelType w:val="multilevel"/>
    <w:tmpl w:val="FAC4F8F6"/>
    <w:lvl w:ilvl="0">
      <w:start w:val="1"/>
      <w:numFmt w:val="decimal"/>
      <w:lvlText w:val="%1."/>
      <w:lvlJc w:val="left"/>
      <w:pPr>
        <w:ind w:left="360" w:hanging="360"/>
      </w:pPr>
      <w:rPr>
        <w:b/>
        <w:bCs/>
        <w:i w:val="0"/>
        <w:iCs w:val="0"/>
        <w:smallCaps w:val="0"/>
        <w:strike w:val="0"/>
        <w:color w:val="FFFFFF" w:themeColor="background1"/>
        <w:u w:val="none"/>
        <w:vertAlign w:val="baseline"/>
      </w:rPr>
    </w:lvl>
    <w:lvl w:ilvl="1">
      <w:start w:val="1"/>
      <w:numFmt w:val="decimal"/>
      <w:pStyle w:val="Titre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BC2482"/>
    <w:multiLevelType w:val="multilevel"/>
    <w:tmpl w:val="6F1E48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68" w:hanging="360"/>
      </w:pPr>
      <w:rPr>
        <w:rFonts w:ascii="Wingdings 2" w:hAnsi="Wingdings 2"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129C2B46"/>
    <w:multiLevelType w:val="multilevel"/>
    <w:tmpl w:val="FCA009DE"/>
    <w:lvl w:ilvl="0">
      <w:start w:val="1"/>
      <w:numFmt w:val="bullet"/>
      <w:lvlText w:val=""/>
      <w:lvlJc w:val="left"/>
      <w:pPr>
        <w:ind w:left="720" w:hanging="360"/>
      </w:pPr>
      <w:rPr>
        <w:rFonts w:ascii="Wingdings 2" w:hAnsi="Wingdings 2"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7BF41E2"/>
    <w:multiLevelType w:val="multilevel"/>
    <w:tmpl w:val="1B501FF4"/>
    <w:lvl w:ilvl="0">
      <w:start w:val="1"/>
      <w:numFmt w:val="bullet"/>
      <w:lvlText w:val=""/>
      <w:lvlJc w:val="left"/>
      <w:pPr>
        <w:ind w:left="1068" w:hanging="360"/>
      </w:pPr>
      <w:rPr>
        <w:rFonts w:ascii="Wingdings 2" w:hAnsi="Wingdings 2" w:hint="default"/>
      </w:rPr>
    </w:lvl>
    <w:lvl w:ilvl="1">
      <w:start w:val="1"/>
      <w:numFmt w:val="bullet"/>
      <w:lvlText w:val="−"/>
      <w:lvlJc w:val="left"/>
      <w:pPr>
        <w:ind w:left="1788" w:hanging="360"/>
      </w:pPr>
      <w:rPr>
        <w:rFonts w:ascii="Noto Sans Symbols" w:eastAsia="Noto Sans Symbols" w:hAnsi="Noto Sans Symbols" w:cs="Noto Sans Symbols"/>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 w15:restartNumberingAfterBreak="0">
    <w:nsid w:val="21D53283"/>
    <w:multiLevelType w:val="multilevel"/>
    <w:tmpl w:val="04A0D9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C0E5369"/>
    <w:multiLevelType w:val="multilevel"/>
    <w:tmpl w:val="DF60E2EA"/>
    <w:lvl w:ilvl="0">
      <w:start w:val="1"/>
      <w:numFmt w:val="bullet"/>
      <w:lvlText w:val=""/>
      <w:lvlJc w:val="left"/>
      <w:pPr>
        <w:ind w:left="1068" w:hanging="360"/>
      </w:pPr>
      <w:rPr>
        <w:rFonts w:ascii="Wingdings 2" w:hAnsi="Wingdings 2" w:hint="default"/>
      </w:rPr>
    </w:lvl>
    <w:lvl w:ilvl="1">
      <w:start w:val="1"/>
      <w:numFmt w:val="bullet"/>
      <w:lvlText w:val="−"/>
      <w:lvlJc w:val="left"/>
      <w:pPr>
        <w:ind w:left="1788" w:hanging="360"/>
      </w:pPr>
      <w:rPr>
        <w:rFonts w:ascii="Noto Sans Symbols" w:eastAsia="Noto Sans Symbols" w:hAnsi="Noto Sans Symbols" w:cs="Noto Sans Symbols"/>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7" w15:restartNumberingAfterBreak="0">
    <w:nsid w:val="2C3F30E1"/>
    <w:multiLevelType w:val="hybridMultilevel"/>
    <w:tmpl w:val="CC988C58"/>
    <w:lvl w:ilvl="0" w:tplc="535438FC">
      <w:start w:val="1"/>
      <w:numFmt w:val="decimal"/>
      <w:pStyle w:val="1titre"/>
      <w:lvlText w:val="%1."/>
      <w:lvlJc w:val="left"/>
      <w:pPr>
        <w:ind w:left="720" w:hanging="360"/>
      </w:pPr>
      <w:rPr>
        <w:rFonts w:hint="default"/>
      </w:r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E7170D3"/>
    <w:multiLevelType w:val="multilevel"/>
    <w:tmpl w:val="394EDB3A"/>
    <w:lvl w:ilvl="0">
      <w:start w:val="1"/>
      <w:numFmt w:val="bullet"/>
      <w:lvlText w:val=""/>
      <w:lvlJc w:val="left"/>
      <w:pPr>
        <w:ind w:left="1440" w:hanging="360"/>
      </w:pPr>
      <w:rPr>
        <w:rFonts w:ascii="Wingdings 2" w:hAnsi="Wingdings 2"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2EA4145C"/>
    <w:multiLevelType w:val="multilevel"/>
    <w:tmpl w:val="923814B6"/>
    <w:lvl w:ilvl="0">
      <w:start w:val="1"/>
      <w:numFmt w:val="bullet"/>
      <w:lvlText w:val=""/>
      <w:lvlJc w:val="left"/>
      <w:pPr>
        <w:ind w:left="1068" w:hanging="360"/>
      </w:pPr>
      <w:rPr>
        <w:rFonts w:ascii="Wingdings 2" w:hAnsi="Wingdings 2" w:hint="default"/>
      </w:rPr>
    </w:lvl>
    <w:lvl w:ilvl="1">
      <w:start w:val="1"/>
      <w:numFmt w:val="bullet"/>
      <w:lvlText w:val="−"/>
      <w:lvlJc w:val="left"/>
      <w:pPr>
        <w:ind w:left="1788" w:hanging="360"/>
      </w:pPr>
      <w:rPr>
        <w:rFonts w:ascii="Noto Sans Symbols" w:eastAsia="Noto Sans Symbols" w:hAnsi="Noto Sans Symbols" w:cs="Noto Sans Symbols"/>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10" w15:restartNumberingAfterBreak="0">
    <w:nsid w:val="2FE82240"/>
    <w:multiLevelType w:val="multilevel"/>
    <w:tmpl w:val="A650E1BE"/>
    <w:lvl w:ilvl="0">
      <w:start w:val="1"/>
      <w:numFmt w:val="decimal"/>
      <w:lvlText w:val="%1)"/>
      <w:lvlJc w:val="left"/>
      <w:pPr>
        <w:ind w:left="360" w:hanging="360"/>
      </w:pPr>
    </w:lvl>
    <w:lvl w:ilvl="1">
      <w:start w:val="1"/>
      <w:numFmt w:val="lowerLetter"/>
      <w:lvlText w:val="%2."/>
      <w:lvlJc w:val="left"/>
      <w:pPr>
        <w:ind w:left="1080" w:hanging="360"/>
      </w:pPr>
    </w:lvl>
    <w:lvl w:ilvl="2">
      <w:start w:val="1"/>
      <w:numFmt w:val="bullet"/>
      <w:lvlText w:val=""/>
      <w:lvlJc w:val="left"/>
      <w:pPr>
        <w:ind w:left="1068" w:hanging="360"/>
      </w:pPr>
      <w:rPr>
        <w:rFonts w:ascii="Wingdings 2" w:hAnsi="Wingdings 2"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30597C07"/>
    <w:multiLevelType w:val="multilevel"/>
    <w:tmpl w:val="BCDE209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3783A36"/>
    <w:multiLevelType w:val="multilevel"/>
    <w:tmpl w:val="B024DAA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93E399A"/>
    <w:multiLevelType w:val="multilevel"/>
    <w:tmpl w:val="12E8B22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BFE3D43"/>
    <w:multiLevelType w:val="multilevel"/>
    <w:tmpl w:val="96CEC83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Titre4"/>
      <w:lvlText w:val="%1.%2.%3."/>
      <w:lvlJc w:val="left"/>
      <w:pPr>
        <w:ind w:left="1224" w:hanging="504"/>
      </w:pPr>
      <w:rPr>
        <w:i w:val="0"/>
        <w:iCs w:val="0"/>
      </w:rPr>
    </w:lvl>
    <w:lvl w:ilvl="3">
      <w:start w:val="1"/>
      <w:numFmt w:val="decimal"/>
      <w:pStyle w:val="Titre5"/>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8650BB0"/>
    <w:multiLevelType w:val="hybridMultilevel"/>
    <w:tmpl w:val="A9AA54E0"/>
    <w:lvl w:ilvl="0" w:tplc="7D1C13F2">
      <w:start w:val="14"/>
      <w:numFmt w:val="bullet"/>
      <w:lvlText w:val="-"/>
      <w:lvlJc w:val="left"/>
      <w:pPr>
        <w:ind w:left="720" w:hanging="360"/>
      </w:pPr>
      <w:rPr>
        <w:rFonts w:ascii="Calibri" w:eastAsia="Calibri" w:hAnsi="Calibri" w:cs="Calibri" w:hint="default"/>
        <w:sz w:val="1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B106C70"/>
    <w:multiLevelType w:val="multilevel"/>
    <w:tmpl w:val="961C393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21660E3"/>
    <w:multiLevelType w:val="multilevel"/>
    <w:tmpl w:val="620E077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2EF588D"/>
    <w:multiLevelType w:val="multilevel"/>
    <w:tmpl w:val="ABC8B2A0"/>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57E24363"/>
    <w:multiLevelType w:val="multilevel"/>
    <w:tmpl w:val="CD1C34C0"/>
    <w:lvl w:ilvl="0">
      <w:start w:val="1"/>
      <w:numFmt w:val="bullet"/>
      <w:lvlText w:val=""/>
      <w:lvlJc w:val="left"/>
      <w:pPr>
        <w:ind w:left="1068" w:hanging="360"/>
      </w:pPr>
      <w:rPr>
        <w:rFonts w:ascii="Wingdings 2" w:hAnsi="Wingdings 2" w:hint="default"/>
      </w:rPr>
    </w:lvl>
    <w:lvl w:ilvl="1">
      <w:start w:val="1"/>
      <w:numFmt w:val="bullet"/>
      <w:lvlText w:val="−"/>
      <w:lvlJc w:val="left"/>
      <w:pPr>
        <w:ind w:left="1788" w:hanging="360"/>
      </w:pPr>
      <w:rPr>
        <w:rFonts w:ascii="Noto Sans Symbols" w:eastAsia="Noto Sans Symbols" w:hAnsi="Noto Sans Symbols" w:cs="Noto Sans Symbols"/>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0" w15:restartNumberingAfterBreak="0">
    <w:nsid w:val="5C961D5F"/>
    <w:multiLevelType w:val="multilevel"/>
    <w:tmpl w:val="D89A15F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D2E7C68"/>
    <w:multiLevelType w:val="multilevel"/>
    <w:tmpl w:val="DC006F9A"/>
    <w:lvl w:ilvl="0">
      <w:start w:val="1"/>
      <w:numFmt w:val="bullet"/>
      <w:lvlText w:val=""/>
      <w:lvlJc w:val="left"/>
      <w:pPr>
        <w:ind w:left="1068" w:hanging="360"/>
      </w:pPr>
      <w:rPr>
        <w:rFonts w:ascii="Wingdings 2" w:hAnsi="Wingdings 2" w:hint="default"/>
      </w:rPr>
    </w:lvl>
    <w:lvl w:ilvl="1">
      <w:start w:val="1"/>
      <w:numFmt w:val="bullet"/>
      <w:lvlText w:val="−"/>
      <w:lvlJc w:val="left"/>
      <w:pPr>
        <w:ind w:left="1788" w:hanging="360"/>
      </w:pPr>
      <w:rPr>
        <w:rFonts w:ascii="Noto Sans Symbols" w:eastAsia="Noto Sans Symbols" w:hAnsi="Noto Sans Symbols" w:cs="Noto Sans Symbols"/>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2" w15:restartNumberingAfterBreak="0">
    <w:nsid w:val="62B17D31"/>
    <w:multiLevelType w:val="multilevel"/>
    <w:tmpl w:val="2896629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4555706"/>
    <w:multiLevelType w:val="multilevel"/>
    <w:tmpl w:val="7234C1F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652039E2"/>
    <w:multiLevelType w:val="multilevel"/>
    <w:tmpl w:val="855203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68" w:hanging="360"/>
      </w:pPr>
      <w:rPr>
        <w:rFonts w:ascii="Wingdings 2" w:hAnsi="Wingdings 2"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76E3F24"/>
    <w:multiLevelType w:val="multilevel"/>
    <w:tmpl w:val="F49EEE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EDF278C"/>
    <w:multiLevelType w:val="multilevel"/>
    <w:tmpl w:val="C6960AE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CAE7AF5"/>
    <w:multiLevelType w:val="multilevel"/>
    <w:tmpl w:val="A1E0B09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7F692767"/>
    <w:multiLevelType w:val="hybridMultilevel"/>
    <w:tmpl w:val="4C2EF8F6"/>
    <w:lvl w:ilvl="0" w:tplc="91504562">
      <w:start w:val="1"/>
      <w:numFmt w:val="decimal"/>
      <w:pStyle w:val="pointscls1"/>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num w:numId="1" w16cid:durableId="1976450999">
    <w:abstractNumId w:val="1"/>
  </w:num>
  <w:num w:numId="2" w16cid:durableId="1579822130">
    <w:abstractNumId w:val="7"/>
  </w:num>
  <w:num w:numId="3" w16cid:durableId="2103211215">
    <w:abstractNumId w:val="28"/>
  </w:num>
  <w:num w:numId="4" w16cid:durableId="762844049">
    <w:abstractNumId w:val="14"/>
  </w:num>
  <w:num w:numId="5" w16cid:durableId="854150210">
    <w:abstractNumId w:val="17"/>
  </w:num>
  <w:num w:numId="6" w16cid:durableId="2080901667">
    <w:abstractNumId w:val="13"/>
  </w:num>
  <w:num w:numId="7" w16cid:durableId="633872963">
    <w:abstractNumId w:val="12"/>
  </w:num>
  <w:num w:numId="8" w16cid:durableId="1715420960">
    <w:abstractNumId w:val="0"/>
  </w:num>
  <w:num w:numId="9" w16cid:durableId="143787711">
    <w:abstractNumId w:val="5"/>
  </w:num>
  <w:num w:numId="10" w16cid:durableId="670644531">
    <w:abstractNumId w:val="25"/>
  </w:num>
  <w:num w:numId="11" w16cid:durableId="1770152829">
    <w:abstractNumId w:val="27"/>
  </w:num>
  <w:num w:numId="12" w16cid:durableId="576986814">
    <w:abstractNumId w:val="8"/>
  </w:num>
  <w:num w:numId="13" w16cid:durableId="841045974">
    <w:abstractNumId w:val="11"/>
  </w:num>
  <w:num w:numId="14" w16cid:durableId="654066796">
    <w:abstractNumId w:val="21"/>
  </w:num>
  <w:num w:numId="15" w16cid:durableId="830868853">
    <w:abstractNumId w:val="24"/>
  </w:num>
  <w:num w:numId="16" w16cid:durableId="2124759591">
    <w:abstractNumId w:val="10"/>
  </w:num>
  <w:num w:numId="17" w16cid:durableId="1868635375">
    <w:abstractNumId w:val="2"/>
  </w:num>
  <w:num w:numId="18" w16cid:durableId="884020766">
    <w:abstractNumId w:val="9"/>
  </w:num>
  <w:num w:numId="19" w16cid:durableId="81683682">
    <w:abstractNumId w:val="6"/>
  </w:num>
  <w:num w:numId="20" w16cid:durableId="812604539">
    <w:abstractNumId w:val="19"/>
  </w:num>
  <w:num w:numId="21" w16cid:durableId="2051218840">
    <w:abstractNumId w:val="4"/>
  </w:num>
  <w:num w:numId="22" w16cid:durableId="612398274">
    <w:abstractNumId w:val="3"/>
  </w:num>
  <w:num w:numId="23" w16cid:durableId="1075008750">
    <w:abstractNumId w:val="16"/>
  </w:num>
  <w:num w:numId="24" w16cid:durableId="1060404266">
    <w:abstractNumId w:val="23"/>
  </w:num>
  <w:num w:numId="25" w16cid:durableId="216938565">
    <w:abstractNumId w:val="18"/>
  </w:num>
  <w:num w:numId="26" w16cid:durableId="794913015">
    <w:abstractNumId w:val="26"/>
  </w:num>
  <w:num w:numId="27" w16cid:durableId="55054144">
    <w:abstractNumId w:val="22"/>
  </w:num>
  <w:num w:numId="28" w16cid:durableId="1691760305">
    <w:abstractNumId w:val="20"/>
  </w:num>
  <w:num w:numId="29" w16cid:durableId="1698386512">
    <w:abstractNumId w:val="7"/>
    <w:lvlOverride w:ilvl="0">
      <w:startOverride w:val="1"/>
    </w:lvlOverride>
  </w:num>
  <w:num w:numId="30" w16cid:durableId="988098069">
    <w:abstractNumId w:val="7"/>
    <w:lvlOverride w:ilvl="0">
      <w:startOverride w:val="1"/>
    </w:lvlOverride>
  </w:num>
  <w:num w:numId="31" w16cid:durableId="408113356">
    <w:abstractNumId w:val="7"/>
    <w:lvlOverride w:ilvl="0">
      <w:startOverride w:val="1"/>
    </w:lvlOverride>
  </w:num>
  <w:num w:numId="32" w16cid:durableId="52849575">
    <w:abstractNumId w:val="15"/>
  </w:num>
  <w:num w:numId="33" w16cid:durableId="377126654">
    <w:abstractNumId w:val="7"/>
    <w:lvlOverride w:ilvl="0">
      <w:startOverride w:val="1"/>
    </w:lvlOverride>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EF8"/>
    <w:rsid w:val="000748A0"/>
    <w:rsid w:val="00083536"/>
    <w:rsid w:val="000B56A5"/>
    <w:rsid w:val="000E568F"/>
    <w:rsid w:val="0010541F"/>
    <w:rsid w:val="00114750"/>
    <w:rsid w:val="00172FAB"/>
    <w:rsid w:val="001C4425"/>
    <w:rsid w:val="001C54DE"/>
    <w:rsid w:val="001D386C"/>
    <w:rsid w:val="00236555"/>
    <w:rsid w:val="002C5A5E"/>
    <w:rsid w:val="002C7C57"/>
    <w:rsid w:val="00306201"/>
    <w:rsid w:val="00362251"/>
    <w:rsid w:val="00375B9C"/>
    <w:rsid w:val="003C3137"/>
    <w:rsid w:val="003D376E"/>
    <w:rsid w:val="003E5332"/>
    <w:rsid w:val="00447337"/>
    <w:rsid w:val="00454A58"/>
    <w:rsid w:val="00475741"/>
    <w:rsid w:val="004B3B0C"/>
    <w:rsid w:val="004B4A90"/>
    <w:rsid w:val="004D552E"/>
    <w:rsid w:val="005645B3"/>
    <w:rsid w:val="005B6A3A"/>
    <w:rsid w:val="005E7F11"/>
    <w:rsid w:val="005F05D0"/>
    <w:rsid w:val="00614CBE"/>
    <w:rsid w:val="00665E5D"/>
    <w:rsid w:val="00696E6A"/>
    <w:rsid w:val="006F3E0E"/>
    <w:rsid w:val="00711BBF"/>
    <w:rsid w:val="00717C5F"/>
    <w:rsid w:val="00760B5C"/>
    <w:rsid w:val="00776EA2"/>
    <w:rsid w:val="007F6BF8"/>
    <w:rsid w:val="00822CB5"/>
    <w:rsid w:val="0082796C"/>
    <w:rsid w:val="008541CD"/>
    <w:rsid w:val="0087650C"/>
    <w:rsid w:val="00876EF8"/>
    <w:rsid w:val="0088205E"/>
    <w:rsid w:val="00895A52"/>
    <w:rsid w:val="00896114"/>
    <w:rsid w:val="0089667B"/>
    <w:rsid w:val="008B41F0"/>
    <w:rsid w:val="008D0B6D"/>
    <w:rsid w:val="008D7B43"/>
    <w:rsid w:val="00907A92"/>
    <w:rsid w:val="00930986"/>
    <w:rsid w:val="00942BB1"/>
    <w:rsid w:val="00995C77"/>
    <w:rsid w:val="009E29E0"/>
    <w:rsid w:val="00A54E85"/>
    <w:rsid w:val="00A65C23"/>
    <w:rsid w:val="00AC56AB"/>
    <w:rsid w:val="00AC5BA0"/>
    <w:rsid w:val="00AD3F49"/>
    <w:rsid w:val="00AF2941"/>
    <w:rsid w:val="00B33C89"/>
    <w:rsid w:val="00B63810"/>
    <w:rsid w:val="00BC1F3F"/>
    <w:rsid w:val="00BC5580"/>
    <w:rsid w:val="00BE1ECC"/>
    <w:rsid w:val="00BF04C9"/>
    <w:rsid w:val="00C2589B"/>
    <w:rsid w:val="00C65E3C"/>
    <w:rsid w:val="00CC4FD4"/>
    <w:rsid w:val="00CF0B28"/>
    <w:rsid w:val="00D12181"/>
    <w:rsid w:val="00D4011F"/>
    <w:rsid w:val="00D55DF5"/>
    <w:rsid w:val="00E22E24"/>
    <w:rsid w:val="00E420F7"/>
    <w:rsid w:val="00E54D0A"/>
    <w:rsid w:val="00E84981"/>
    <w:rsid w:val="00EC1890"/>
    <w:rsid w:val="00ED0F5F"/>
    <w:rsid w:val="00EE0D03"/>
    <w:rsid w:val="00F03B9C"/>
    <w:rsid w:val="00F75368"/>
    <w:rsid w:val="00F90151"/>
    <w:rsid w:val="00FB180E"/>
    <w:rsid w:val="00FE57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BE76B"/>
  <w15:chartTrackingRefBased/>
  <w15:docId w15:val="{1CB5EAEC-F4F2-4F7A-BEB3-CC8F856C6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251"/>
    <w:pPr>
      <w:spacing w:after="0"/>
      <w:jc w:val="both"/>
    </w:pPr>
    <w:rPr>
      <w:rFonts w:ascii="Trebuchet MS" w:eastAsia="Trebuchet MS" w:hAnsi="Trebuchet MS" w:cs="Trebuchet MS"/>
      <w:color w:val="000000"/>
      <w:kern w:val="0"/>
      <w:szCs w:val="20"/>
      <w:lang w:val="fr" w:eastAsia="fr-FR"/>
      <w14:ligatures w14:val="none"/>
    </w:rPr>
  </w:style>
  <w:style w:type="paragraph" w:styleId="Titre1">
    <w:name w:val="heading 1"/>
    <w:basedOn w:val="Normal"/>
    <w:next w:val="Normal"/>
    <w:link w:val="Titre1Car"/>
    <w:uiPriority w:val="9"/>
    <w:qFormat/>
    <w:rsid w:val="00E84981"/>
    <w:pPr>
      <w:jc w:val="center"/>
      <w:outlineLvl w:val="0"/>
    </w:pPr>
    <w:rPr>
      <w:b/>
      <w:bCs/>
      <w:color w:val="2E74B5"/>
      <w:sz w:val="44"/>
      <w:szCs w:val="44"/>
    </w:rPr>
  </w:style>
  <w:style w:type="paragraph" w:styleId="Titre2">
    <w:name w:val="heading 2"/>
    <w:basedOn w:val="1titre"/>
    <w:next w:val="Normal"/>
    <w:link w:val="Titre2Car"/>
    <w:uiPriority w:val="9"/>
    <w:unhideWhenUsed/>
    <w:qFormat/>
    <w:rsid w:val="00EE0D03"/>
    <w:pPr>
      <w:outlineLvl w:val="1"/>
    </w:pPr>
  </w:style>
  <w:style w:type="paragraph" w:styleId="Titre3">
    <w:name w:val="heading 3"/>
    <w:basedOn w:val="11titre"/>
    <w:next w:val="Normal"/>
    <w:link w:val="Titre3Car"/>
    <w:uiPriority w:val="9"/>
    <w:unhideWhenUsed/>
    <w:qFormat/>
    <w:rsid w:val="00D4011F"/>
    <w:pPr>
      <w:numPr>
        <w:ilvl w:val="1"/>
        <w:numId w:val="1"/>
      </w:numPr>
      <w:ind w:left="851" w:hanging="491"/>
      <w:outlineLvl w:val="2"/>
    </w:pPr>
  </w:style>
  <w:style w:type="paragraph" w:styleId="Titre4">
    <w:name w:val="heading 4"/>
    <w:basedOn w:val="Paragraphedeliste"/>
    <w:next w:val="Normal"/>
    <w:link w:val="Titre4Car"/>
    <w:uiPriority w:val="9"/>
    <w:unhideWhenUsed/>
    <w:qFormat/>
    <w:rsid w:val="000B56A5"/>
    <w:pPr>
      <w:numPr>
        <w:ilvl w:val="2"/>
        <w:numId w:val="4"/>
      </w:numPr>
      <w:pBdr>
        <w:top w:val="nil"/>
        <w:left w:val="nil"/>
        <w:bottom w:val="nil"/>
        <w:right w:val="nil"/>
        <w:between w:val="nil"/>
      </w:pBdr>
      <w:spacing w:after="240"/>
      <w:outlineLvl w:val="3"/>
    </w:pPr>
    <w:rPr>
      <w:b/>
      <w:bCs/>
    </w:rPr>
  </w:style>
  <w:style w:type="paragraph" w:styleId="Titre5">
    <w:name w:val="heading 5"/>
    <w:basedOn w:val="Titre4"/>
    <w:next w:val="Normal"/>
    <w:link w:val="Titre5Car"/>
    <w:uiPriority w:val="9"/>
    <w:unhideWhenUsed/>
    <w:qFormat/>
    <w:rsid w:val="00AD3F49"/>
    <w:pPr>
      <w:numPr>
        <w:ilvl w:val="3"/>
      </w:numPr>
      <w:ind w:left="1985" w:hanging="905"/>
      <w:outlineLvl w:val="4"/>
    </w:pPr>
  </w:style>
  <w:style w:type="paragraph" w:styleId="Titre6">
    <w:name w:val="heading 6"/>
    <w:basedOn w:val="Normal"/>
    <w:next w:val="Normal"/>
    <w:link w:val="Titre6Car"/>
    <w:uiPriority w:val="9"/>
    <w:semiHidden/>
    <w:unhideWhenUsed/>
    <w:qFormat/>
    <w:rsid w:val="00876EF8"/>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876EF8"/>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876EF8"/>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876EF8"/>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84981"/>
    <w:rPr>
      <w:rFonts w:ascii="Trebuchet MS" w:eastAsia="Trebuchet MS" w:hAnsi="Trebuchet MS" w:cs="Trebuchet MS"/>
      <w:b/>
      <w:bCs/>
      <w:color w:val="2E74B5"/>
      <w:kern w:val="0"/>
      <w:sz w:val="44"/>
      <w:szCs w:val="44"/>
      <w:lang w:val="fr" w:eastAsia="fr-FR"/>
      <w14:ligatures w14:val="none"/>
    </w:rPr>
  </w:style>
  <w:style w:type="character" w:customStyle="1" w:styleId="Titre2Car">
    <w:name w:val="Titre 2 Car"/>
    <w:basedOn w:val="Policepardfaut"/>
    <w:link w:val="Titre2"/>
    <w:uiPriority w:val="9"/>
    <w:rsid w:val="00EE0D03"/>
    <w:rPr>
      <w:rFonts w:ascii="Trebuchet MS" w:eastAsia="Trebuchet MS" w:hAnsi="Trebuchet MS" w:cs="Trebuchet MS"/>
      <w:b/>
      <w:bCs/>
      <w:color w:val="000000"/>
      <w:kern w:val="0"/>
      <w:szCs w:val="20"/>
      <w:lang w:val="fr" w:eastAsia="fr-FR"/>
      <w14:ligatures w14:val="none"/>
    </w:rPr>
  </w:style>
  <w:style w:type="character" w:customStyle="1" w:styleId="Titre3Car">
    <w:name w:val="Titre 3 Car"/>
    <w:basedOn w:val="Policepardfaut"/>
    <w:link w:val="Titre3"/>
    <w:uiPriority w:val="9"/>
    <w:rsid w:val="00D4011F"/>
    <w:rPr>
      <w:rFonts w:ascii="Trebuchet MS" w:eastAsia="Trebuchet MS" w:hAnsi="Trebuchet MS" w:cs="Trebuchet MS"/>
      <w:b/>
      <w:bCs/>
      <w:color w:val="000000"/>
      <w:kern w:val="0"/>
      <w:szCs w:val="20"/>
      <w:lang w:val="fr" w:eastAsia="fr-FR"/>
      <w14:ligatures w14:val="none"/>
    </w:rPr>
  </w:style>
  <w:style w:type="character" w:customStyle="1" w:styleId="Titre4Car">
    <w:name w:val="Titre 4 Car"/>
    <w:basedOn w:val="Policepardfaut"/>
    <w:link w:val="Titre4"/>
    <w:uiPriority w:val="9"/>
    <w:rsid w:val="000B56A5"/>
    <w:rPr>
      <w:rFonts w:ascii="Trebuchet MS" w:eastAsia="Trebuchet MS" w:hAnsi="Trebuchet MS" w:cs="Trebuchet MS"/>
      <w:b/>
      <w:bCs/>
      <w:color w:val="000000"/>
      <w:kern w:val="0"/>
      <w:szCs w:val="20"/>
      <w:lang w:val="fr" w:eastAsia="fr-FR"/>
      <w14:ligatures w14:val="none"/>
    </w:rPr>
  </w:style>
  <w:style w:type="character" w:customStyle="1" w:styleId="Titre5Car">
    <w:name w:val="Titre 5 Car"/>
    <w:basedOn w:val="Policepardfaut"/>
    <w:link w:val="Titre5"/>
    <w:uiPriority w:val="9"/>
    <w:rsid w:val="00AD3F49"/>
    <w:rPr>
      <w:rFonts w:ascii="Trebuchet MS" w:eastAsia="Trebuchet MS" w:hAnsi="Trebuchet MS" w:cs="Trebuchet MS"/>
      <w:b/>
      <w:bCs/>
      <w:color w:val="000000"/>
      <w:kern w:val="0"/>
      <w:szCs w:val="20"/>
      <w:lang w:val="fr" w:eastAsia="fr-FR"/>
      <w14:ligatures w14:val="none"/>
    </w:rPr>
  </w:style>
  <w:style w:type="character" w:customStyle="1" w:styleId="Titre6Car">
    <w:name w:val="Titre 6 Car"/>
    <w:basedOn w:val="Policepardfaut"/>
    <w:link w:val="Titre6"/>
    <w:uiPriority w:val="9"/>
    <w:semiHidden/>
    <w:rsid w:val="00876EF8"/>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876EF8"/>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876EF8"/>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876EF8"/>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876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76E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76EF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76EF8"/>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876EF8"/>
    <w:pPr>
      <w:spacing w:before="160"/>
      <w:jc w:val="center"/>
    </w:pPr>
    <w:rPr>
      <w:i/>
      <w:iCs/>
      <w:color w:val="404040" w:themeColor="text1" w:themeTint="BF"/>
    </w:rPr>
  </w:style>
  <w:style w:type="character" w:customStyle="1" w:styleId="CitationCar">
    <w:name w:val="Citation Car"/>
    <w:basedOn w:val="Policepardfaut"/>
    <w:link w:val="Citation"/>
    <w:uiPriority w:val="29"/>
    <w:rsid w:val="00876EF8"/>
    <w:rPr>
      <w:i/>
      <w:iCs/>
      <w:color w:val="404040" w:themeColor="text1" w:themeTint="BF"/>
    </w:rPr>
  </w:style>
  <w:style w:type="paragraph" w:styleId="Paragraphedeliste">
    <w:name w:val="List Paragraph"/>
    <w:basedOn w:val="Normal"/>
    <w:link w:val="ParagraphedelisteCar"/>
    <w:uiPriority w:val="34"/>
    <w:qFormat/>
    <w:rsid w:val="00876EF8"/>
    <w:pPr>
      <w:ind w:left="720"/>
      <w:contextualSpacing/>
    </w:pPr>
  </w:style>
  <w:style w:type="character" w:styleId="Accentuationintense">
    <w:name w:val="Intense Emphasis"/>
    <w:basedOn w:val="Policepardfaut"/>
    <w:uiPriority w:val="21"/>
    <w:qFormat/>
    <w:rsid w:val="00876EF8"/>
    <w:rPr>
      <w:i/>
      <w:iCs/>
      <w:color w:val="0F4761" w:themeColor="accent1" w:themeShade="BF"/>
    </w:rPr>
  </w:style>
  <w:style w:type="paragraph" w:styleId="Citationintense">
    <w:name w:val="Intense Quote"/>
    <w:basedOn w:val="Normal"/>
    <w:next w:val="Normal"/>
    <w:link w:val="CitationintenseCar"/>
    <w:uiPriority w:val="30"/>
    <w:qFormat/>
    <w:rsid w:val="00876E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76EF8"/>
    <w:rPr>
      <w:i/>
      <w:iCs/>
      <w:color w:val="0F4761" w:themeColor="accent1" w:themeShade="BF"/>
    </w:rPr>
  </w:style>
  <w:style w:type="character" w:styleId="Rfrenceintense">
    <w:name w:val="Intense Reference"/>
    <w:basedOn w:val="Policepardfaut"/>
    <w:uiPriority w:val="32"/>
    <w:qFormat/>
    <w:rsid w:val="00876EF8"/>
    <w:rPr>
      <w:b/>
      <w:bCs/>
      <w:smallCaps/>
      <w:color w:val="0F4761" w:themeColor="accent1" w:themeShade="BF"/>
      <w:spacing w:val="5"/>
    </w:rPr>
  </w:style>
  <w:style w:type="paragraph" w:customStyle="1" w:styleId="Pointscls">
    <w:name w:val="Points clés"/>
    <w:basedOn w:val="Normal"/>
    <w:link w:val="PointsclsCar"/>
    <w:qFormat/>
    <w:rsid w:val="00876EF8"/>
    <w:pPr>
      <w:pBdr>
        <w:top w:val="nil"/>
        <w:left w:val="nil"/>
        <w:bottom w:val="nil"/>
        <w:right w:val="nil"/>
        <w:between w:val="nil"/>
      </w:pBdr>
      <w:shd w:val="clear" w:color="auto" w:fill="2E74B5"/>
      <w:spacing w:line="240" w:lineRule="auto"/>
    </w:pPr>
    <w:rPr>
      <w:b/>
      <w:bCs/>
      <w:color w:val="FFFFFF"/>
      <w:sz w:val="22"/>
      <w:szCs w:val="22"/>
    </w:rPr>
  </w:style>
  <w:style w:type="character" w:customStyle="1" w:styleId="PointsclsCar">
    <w:name w:val="Points clés Car"/>
    <w:basedOn w:val="Policepardfaut"/>
    <w:link w:val="Pointscls"/>
    <w:rsid w:val="00876EF8"/>
    <w:rPr>
      <w:rFonts w:ascii="Trebuchet MS" w:eastAsia="Trebuchet MS" w:hAnsi="Trebuchet MS" w:cs="Trebuchet MS"/>
      <w:b/>
      <w:bCs/>
      <w:color w:val="FFFFFF"/>
      <w:kern w:val="0"/>
      <w:sz w:val="22"/>
      <w:shd w:val="clear" w:color="auto" w:fill="2E74B5"/>
      <w:lang w:val="fr" w:eastAsia="fr-FR"/>
      <w14:ligatures w14:val="none"/>
    </w:rPr>
  </w:style>
  <w:style w:type="paragraph" w:customStyle="1" w:styleId="pointscls1">
    <w:name w:val="points clés 1"/>
    <w:basedOn w:val="Normal"/>
    <w:link w:val="pointscls1Car"/>
    <w:qFormat/>
    <w:rsid w:val="006F3E0E"/>
    <w:pPr>
      <w:numPr>
        <w:numId w:val="3"/>
      </w:numPr>
      <w:pBdr>
        <w:top w:val="single" w:sz="4" w:space="1" w:color="747474" w:themeColor="background2" w:themeShade="80"/>
        <w:left w:val="single" w:sz="4" w:space="4" w:color="747474" w:themeColor="background2" w:themeShade="80"/>
        <w:bottom w:val="single" w:sz="4" w:space="0" w:color="747474" w:themeColor="background2" w:themeShade="80"/>
        <w:right w:val="single" w:sz="4" w:space="4" w:color="747474" w:themeColor="background2" w:themeShade="80"/>
      </w:pBdr>
      <w:spacing w:before="40" w:line="276" w:lineRule="auto"/>
      <w:ind w:left="426" w:right="141" w:hanging="284"/>
    </w:pPr>
    <w:rPr>
      <w:sz w:val="18"/>
      <w:szCs w:val="18"/>
    </w:rPr>
  </w:style>
  <w:style w:type="character" w:customStyle="1" w:styleId="pointscls1Car">
    <w:name w:val="points clés 1 Car"/>
    <w:basedOn w:val="Policepardfaut"/>
    <w:link w:val="pointscls1"/>
    <w:rsid w:val="006F3E0E"/>
    <w:rPr>
      <w:rFonts w:ascii="Trebuchet MS" w:eastAsia="Trebuchet MS" w:hAnsi="Trebuchet MS" w:cs="Trebuchet MS"/>
      <w:color w:val="000000"/>
      <w:kern w:val="0"/>
      <w:sz w:val="18"/>
      <w:szCs w:val="18"/>
      <w:lang w:val="fr" w:eastAsia="fr-FR"/>
      <w14:ligatures w14:val="none"/>
    </w:rPr>
  </w:style>
  <w:style w:type="paragraph" w:customStyle="1" w:styleId="titredepartie">
    <w:name w:val="titre de partie"/>
    <w:basedOn w:val="Normal"/>
    <w:link w:val="titredepartieCar"/>
    <w:qFormat/>
    <w:rsid w:val="005645B3"/>
    <w:pPr>
      <w:pBdr>
        <w:top w:val="nil"/>
        <w:left w:val="nil"/>
        <w:bottom w:val="nil"/>
        <w:right w:val="nil"/>
        <w:between w:val="nil"/>
      </w:pBdr>
      <w:shd w:val="clear" w:color="auto" w:fill="2E74B5"/>
      <w:spacing w:after="240" w:line="240" w:lineRule="auto"/>
    </w:pPr>
    <w:rPr>
      <w:b/>
      <w:bCs/>
      <w:caps/>
      <w:color w:val="FFFFFF"/>
      <w:sz w:val="24"/>
      <w:szCs w:val="24"/>
    </w:rPr>
  </w:style>
  <w:style w:type="character" w:customStyle="1" w:styleId="titredepartieCar">
    <w:name w:val="titre de partie Car"/>
    <w:basedOn w:val="Policepardfaut"/>
    <w:link w:val="titredepartie"/>
    <w:rsid w:val="005645B3"/>
    <w:rPr>
      <w:rFonts w:ascii="Trebuchet MS" w:eastAsia="Trebuchet MS" w:hAnsi="Trebuchet MS" w:cs="Trebuchet MS"/>
      <w:b/>
      <w:bCs/>
      <w:caps/>
      <w:color w:val="FFFFFF"/>
      <w:kern w:val="0"/>
      <w:sz w:val="24"/>
      <w:szCs w:val="24"/>
      <w:shd w:val="clear" w:color="auto" w:fill="2E74B5"/>
      <w:lang w:val="fr" w:eastAsia="fr-FR"/>
      <w14:ligatures w14:val="none"/>
    </w:rPr>
  </w:style>
  <w:style w:type="paragraph" w:customStyle="1" w:styleId="titredesous-partie">
    <w:name w:val="titre de sous-partie"/>
    <w:basedOn w:val="Normal"/>
    <w:link w:val="titredesous-partieCar"/>
    <w:qFormat/>
    <w:rsid w:val="005645B3"/>
    <w:pPr>
      <w:pBdr>
        <w:top w:val="nil"/>
        <w:left w:val="nil"/>
        <w:bottom w:val="nil"/>
        <w:right w:val="nil"/>
        <w:between w:val="nil"/>
      </w:pBdr>
      <w:shd w:val="clear" w:color="auto" w:fill="5C9CD6"/>
      <w:spacing w:after="240" w:line="240" w:lineRule="auto"/>
      <w:ind w:left="142"/>
    </w:pPr>
    <w:rPr>
      <w:b/>
      <w:bCs/>
      <w:caps/>
      <w:color w:val="FFFFFF"/>
      <w:sz w:val="24"/>
      <w:szCs w:val="24"/>
      <w:shd w:val="clear" w:color="auto" w:fill="5C9CD6"/>
    </w:rPr>
  </w:style>
  <w:style w:type="character" w:customStyle="1" w:styleId="titredesous-partieCar">
    <w:name w:val="titre de sous-partie Car"/>
    <w:basedOn w:val="Policepardfaut"/>
    <w:link w:val="titredesous-partie"/>
    <w:rsid w:val="005645B3"/>
    <w:rPr>
      <w:rFonts w:ascii="Trebuchet MS" w:eastAsia="Trebuchet MS" w:hAnsi="Trebuchet MS" w:cs="Trebuchet MS"/>
      <w:b/>
      <w:bCs/>
      <w:caps/>
      <w:color w:val="FFFFFF"/>
      <w:kern w:val="0"/>
      <w:sz w:val="24"/>
      <w:szCs w:val="24"/>
      <w:shd w:val="clear" w:color="auto" w:fill="5C9CD6"/>
      <w:lang w:val="fr" w:eastAsia="fr-FR"/>
      <w14:ligatures w14:val="none"/>
    </w:rPr>
  </w:style>
  <w:style w:type="character" w:styleId="Marquedecommentaire">
    <w:name w:val="annotation reference"/>
    <w:basedOn w:val="Policepardfaut"/>
    <w:uiPriority w:val="99"/>
    <w:semiHidden/>
    <w:unhideWhenUsed/>
    <w:rsid w:val="00876EF8"/>
    <w:rPr>
      <w:sz w:val="16"/>
      <w:szCs w:val="16"/>
    </w:rPr>
  </w:style>
  <w:style w:type="paragraph" w:customStyle="1" w:styleId="1titre">
    <w:name w:val="1. titre"/>
    <w:basedOn w:val="Paragraphedeliste"/>
    <w:link w:val="1titreCar"/>
    <w:rsid w:val="00F90151"/>
    <w:pPr>
      <w:numPr>
        <w:numId w:val="2"/>
      </w:numPr>
      <w:spacing w:after="240"/>
    </w:pPr>
    <w:rPr>
      <w:b/>
      <w:bCs/>
    </w:rPr>
  </w:style>
  <w:style w:type="character" w:customStyle="1" w:styleId="ParagraphedelisteCar">
    <w:name w:val="Paragraphe de liste Car"/>
    <w:basedOn w:val="Policepardfaut"/>
    <w:link w:val="Paragraphedeliste"/>
    <w:uiPriority w:val="34"/>
    <w:rsid w:val="00362251"/>
    <w:rPr>
      <w:rFonts w:ascii="Trebuchet MS" w:eastAsia="Trebuchet MS" w:hAnsi="Trebuchet MS" w:cs="Trebuchet MS"/>
      <w:color w:val="000000"/>
      <w:kern w:val="0"/>
      <w:szCs w:val="20"/>
      <w:lang w:val="fr" w:eastAsia="fr-FR"/>
      <w14:ligatures w14:val="none"/>
    </w:rPr>
  </w:style>
  <w:style w:type="character" w:customStyle="1" w:styleId="1titreCar">
    <w:name w:val="1. titre Car"/>
    <w:basedOn w:val="ParagraphedelisteCar"/>
    <w:link w:val="1titre"/>
    <w:rsid w:val="00F90151"/>
    <w:rPr>
      <w:rFonts w:ascii="Trebuchet MS" w:eastAsia="Trebuchet MS" w:hAnsi="Trebuchet MS" w:cs="Trebuchet MS"/>
      <w:b/>
      <w:bCs/>
      <w:color w:val="000000"/>
      <w:kern w:val="0"/>
      <w:szCs w:val="20"/>
      <w:lang w:val="fr" w:eastAsia="fr-FR"/>
      <w14:ligatures w14:val="none"/>
    </w:rPr>
  </w:style>
  <w:style w:type="paragraph" w:customStyle="1" w:styleId="lgende">
    <w:name w:val="légende"/>
    <w:basedOn w:val="Normal"/>
    <w:link w:val="lgendeCar"/>
    <w:qFormat/>
    <w:rsid w:val="00362251"/>
    <w:pPr>
      <w:pBdr>
        <w:top w:val="nil"/>
        <w:left w:val="nil"/>
        <w:bottom w:val="nil"/>
        <w:right w:val="nil"/>
        <w:between w:val="nil"/>
      </w:pBdr>
      <w:spacing w:line="276" w:lineRule="auto"/>
    </w:pPr>
    <w:rPr>
      <w:rFonts w:ascii="Arial" w:eastAsia="Arial" w:hAnsi="Arial" w:cs="Arial"/>
      <w:sz w:val="18"/>
      <w:szCs w:val="18"/>
    </w:rPr>
  </w:style>
  <w:style w:type="character" w:customStyle="1" w:styleId="lgendeCar">
    <w:name w:val="légende Car"/>
    <w:basedOn w:val="Policepardfaut"/>
    <w:link w:val="lgende"/>
    <w:rsid w:val="00362251"/>
    <w:rPr>
      <w:rFonts w:ascii="Arial" w:eastAsia="Arial" w:hAnsi="Arial" w:cs="Arial"/>
      <w:color w:val="000000"/>
      <w:kern w:val="0"/>
      <w:sz w:val="18"/>
      <w:szCs w:val="18"/>
      <w:lang w:val="fr" w:eastAsia="fr-FR"/>
      <w14:ligatures w14:val="none"/>
    </w:rPr>
  </w:style>
  <w:style w:type="paragraph" w:customStyle="1" w:styleId="11titre">
    <w:name w:val="1.1 titre"/>
    <w:basedOn w:val="1titre"/>
    <w:link w:val="11titreCar"/>
    <w:rsid w:val="00F90151"/>
    <w:pPr>
      <w:numPr>
        <w:numId w:val="0"/>
      </w:numPr>
    </w:pPr>
  </w:style>
  <w:style w:type="character" w:customStyle="1" w:styleId="11titreCar">
    <w:name w:val="1.1 titre Car"/>
    <w:basedOn w:val="1titreCar"/>
    <w:link w:val="11titre"/>
    <w:rsid w:val="00F90151"/>
    <w:rPr>
      <w:rFonts w:ascii="Trebuchet MS" w:eastAsia="Trebuchet MS" w:hAnsi="Trebuchet MS" w:cs="Trebuchet MS"/>
      <w:b/>
      <w:bCs/>
      <w:color w:val="000000"/>
      <w:kern w:val="0"/>
      <w:szCs w:val="20"/>
      <w:lang w:val="fr" w:eastAsia="fr-FR"/>
      <w14:ligatures w14:val="none"/>
    </w:rPr>
  </w:style>
  <w:style w:type="paragraph" w:styleId="Commentaire">
    <w:name w:val="annotation text"/>
    <w:basedOn w:val="Normal"/>
    <w:link w:val="CommentaireCar"/>
    <w:uiPriority w:val="99"/>
    <w:semiHidden/>
    <w:unhideWhenUsed/>
    <w:pPr>
      <w:spacing w:line="240" w:lineRule="auto"/>
    </w:pPr>
  </w:style>
  <w:style w:type="character" w:customStyle="1" w:styleId="CommentaireCar">
    <w:name w:val="Commentaire Car"/>
    <w:basedOn w:val="Policepardfaut"/>
    <w:link w:val="Commentaire"/>
    <w:uiPriority w:val="99"/>
    <w:semiHidden/>
    <w:rPr>
      <w:rFonts w:ascii="Trebuchet MS" w:eastAsia="Trebuchet MS" w:hAnsi="Trebuchet MS" w:cs="Trebuchet MS"/>
      <w:color w:val="000000"/>
      <w:kern w:val="0"/>
      <w:szCs w:val="20"/>
      <w:lang w:val="fr" w:eastAsia="fr-FR"/>
      <w14:ligatures w14:val="none"/>
    </w:rPr>
  </w:style>
  <w:style w:type="table" w:styleId="Grilledutableau">
    <w:name w:val="Table Grid"/>
    <w:basedOn w:val="TableauNormal"/>
    <w:uiPriority w:val="39"/>
    <w:rsid w:val="00AD3F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Normal"/>
    <w:rsid w:val="006F3E0E"/>
    <w:pPr>
      <w:jc w:val="both"/>
    </w:pPr>
    <w:rPr>
      <w:rFonts w:ascii="Trebuchet MS" w:eastAsia="Trebuchet MS" w:hAnsi="Trebuchet MS" w:cs="Trebuchet MS"/>
      <w:kern w:val="0"/>
      <w:szCs w:val="20"/>
      <w:lang w:val="fr" w:eastAsia="fr-FR"/>
      <w14:ligatures w14:val="none"/>
    </w:rPr>
    <w:tblPr>
      <w:tblCellMar>
        <w:top w:w="100" w:type="dxa"/>
        <w:left w:w="100" w:type="dxa"/>
        <w:bottom w:w="100" w:type="dxa"/>
        <w:right w:w="100" w:type="dxa"/>
      </w:tblCellMar>
    </w:tblPr>
  </w:style>
  <w:style w:type="paragraph" w:styleId="En-tte">
    <w:name w:val="header"/>
    <w:aliases w:val="Car"/>
    <w:basedOn w:val="Normal"/>
    <w:link w:val="En-tteCar"/>
    <w:unhideWhenUsed/>
    <w:rsid w:val="000748A0"/>
    <w:pPr>
      <w:tabs>
        <w:tab w:val="center" w:pos="4536"/>
        <w:tab w:val="right" w:pos="9072"/>
      </w:tabs>
      <w:spacing w:line="240" w:lineRule="auto"/>
    </w:pPr>
  </w:style>
  <w:style w:type="character" w:customStyle="1" w:styleId="En-tteCar">
    <w:name w:val="En-tête Car"/>
    <w:aliases w:val="Car Car"/>
    <w:basedOn w:val="Policepardfaut"/>
    <w:link w:val="En-tte"/>
    <w:rsid w:val="000748A0"/>
    <w:rPr>
      <w:rFonts w:ascii="Trebuchet MS" w:eastAsia="Trebuchet MS" w:hAnsi="Trebuchet MS" w:cs="Trebuchet MS"/>
      <w:color w:val="000000"/>
      <w:kern w:val="0"/>
      <w:szCs w:val="20"/>
      <w:lang w:val="fr" w:eastAsia="fr-FR"/>
      <w14:ligatures w14:val="none"/>
    </w:rPr>
  </w:style>
  <w:style w:type="paragraph" w:styleId="Pieddepage">
    <w:name w:val="footer"/>
    <w:basedOn w:val="Normal"/>
    <w:link w:val="PieddepageCar"/>
    <w:uiPriority w:val="99"/>
    <w:unhideWhenUsed/>
    <w:rsid w:val="000748A0"/>
    <w:pPr>
      <w:tabs>
        <w:tab w:val="center" w:pos="4536"/>
        <w:tab w:val="right" w:pos="9072"/>
      </w:tabs>
      <w:spacing w:line="240" w:lineRule="auto"/>
    </w:pPr>
  </w:style>
  <w:style w:type="character" w:customStyle="1" w:styleId="PieddepageCar">
    <w:name w:val="Pied de page Car"/>
    <w:basedOn w:val="Policepardfaut"/>
    <w:link w:val="Pieddepage"/>
    <w:uiPriority w:val="99"/>
    <w:rsid w:val="000748A0"/>
    <w:rPr>
      <w:rFonts w:ascii="Trebuchet MS" w:eastAsia="Trebuchet MS" w:hAnsi="Trebuchet MS" w:cs="Trebuchet MS"/>
      <w:color w:val="000000"/>
      <w:kern w:val="0"/>
      <w:szCs w:val="20"/>
      <w:lang w:val="fr" w:eastAsia="fr-FR"/>
      <w14:ligatures w14:val="none"/>
    </w:rPr>
  </w:style>
  <w:style w:type="paragraph" w:customStyle="1" w:styleId="p1">
    <w:name w:val="p1"/>
    <w:basedOn w:val="Normal"/>
    <w:rsid w:val="00BF04C9"/>
    <w:pPr>
      <w:spacing w:before="100" w:beforeAutospacing="1" w:after="100" w:afterAutospacing="1" w:line="240" w:lineRule="auto"/>
      <w:jc w:val="left"/>
    </w:pPr>
    <w:rPr>
      <w:rFonts w:ascii="Times New Roman" w:eastAsia="Times New Roman" w:hAnsi="Times New Roman" w:cs="Times New Roman"/>
      <w:color w:val="auto"/>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emiologiepneumologique.com" TargetMode="External"/><Relationship Id="rId18" Type="http://schemas.openxmlformats.org/officeDocument/2006/relationships/image" Target="media/image10.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png"/><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png"/><Relationship Id="rId22" Type="http://schemas.openxmlformats.org/officeDocument/2006/relationships/image" Target="media/image14.jp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DDCC8-CE60-4441-9EBE-0C062C6B5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27</Pages>
  <Words>8273</Words>
  <Characters>47657</Characters>
  <Application>Microsoft Office Word</Application>
  <DocSecurity>0</DocSecurity>
  <Lines>1134</Lines>
  <Paragraphs>745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Vaz Carneiro</dc:creator>
  <cp:keywords/>
  <dc:description/>
  <cp:lastModifiedBy>jesus Gonzalez</cp:lastModifiedBy>
  <cp:revision>56</cp:revision>
  <dcterms:created xsi:type="dcterms:W3CDTF">2026-06-02T14:47:00Z</dcterms:created>
  <dcterms:modified xsi:type="dcterms:W3CDTF">2026-09-11T11:45:00Z</dcterms:modified>
</cp:coreProperties>
</file>