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5502D046" w:rsidR="00E84981" w:rsidRDefault="005F3DDA" w:rsidP="00362251">
      <w:pPr>
        <w:rPr>
          <w:color w:val="2E74B5"/>
          <w:sz w:val="44"/>
          <w:szCs w:val="44"/>
        </w:rPr>
      </w:pPr>
      <w:bookmarkStart w:id="0" w:name="_heading=h.kakbsu5llrka" w:colFirst="0" w:colLast="0"/>
      <w:bookmarkEnd w:id="0"/>
      <w:r w:rsidRPr="00357D58">
        <w:rPr>
          <w:noProof/>
        </w:rPr>
        <w:drawing>
          <wp:anchor distT="0" distB="0" distL="114300" distR="114300" simplePos="0" relativeHeight="251892736" behindDoc="0" locked="0" layoutInCell="1" allowOverlap="1" wp14:anchorId="67FCF8A6" wp14:editId="0A820231">
            <wp:simplePos x="0" y="0"/>
            <wp:positionH relativeFrom="column">
              <wp:posOffset>-698015</wp:posOffset>
            </wp:positionH>
            <wp:positionV relativeFrom="paragraph">
              <wp:posOffset>-851578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2BB1">
        <w:rPr>
          <w:noProof/>
        </w:rPr>
        <w:drawing>
          <wp:anchor distT="0" distB="0" distL="114300" distR="114300" simplePos="0" relativeHeight="251856896" behindDoc="0" locked="0" layoutInCell="1" hidden="0" allowOverlap="1" wp14:anchorId="18BF0EBE" wp14:editId="181EB415">
            <wp:simplePos x="0" y="0"/>
            <wp:positionH relativeFrom="margin">
              <wp:align>right</wp:align>
            </wp:positionH>
            <wp:positionV relativeFrom="paragraph">
              <wp:posOffset>470</wp:posOffset>
            </wp:positionV>
            <wp:extent cx="2158563" cy="1440000"/>
            <wp:effectExtent l="0" t="0" r="0" b="8255"/>
            <wp:wrapSquare wrapText="bothSides" distT="0" distB="0" distL="114300" distR="114300"/>
            <wp:docPr id="3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a:stretch>
                      <a:fillRect/>
                    </a:stretch>
                  </pic:blipFill>
                  <pic:spPr>
                    <a:xfrm>
                      <a:off x="0" y="0"/>
                      <a:ext cx="2158563" cy="1440000"/>
                    </a:xfrm>
                    <a:prstGeom prst="rect">
                      <a:avLst/>
                    </a:prstGeom>
                    <a:ln/>
                  </pic:spPr>
                </pic:pic>
              </a:graphicData>
            </a:graphic>
          </wp:anchor>
        </w:drawing>
      </w:r>
    </w:p>
    <w:p w14:paraId="3B8B012C" w14:textId="71F53966" w:rsidR="00876EF8" w:rsidRPr="00A54E85" w:rsidRDefault="00876EF8" w:rsidP="00362251">
      <w:pPr>
        <w:rPr>
          <w:color w:val="2E74B5"/>
          <w:sz w:val="14"/>
          <w:szCs w:val="14"/>
        </w:rPr>
      </w:pPr>
      <w:bookmarkStart w:id="1" w:name="_heading=h.okbxcyd5wsjy" w:colFirst="0" w:colLast="0"/>
      <w:bookmarkEnd w:id="1"/>
    </w:p>
    <w:p w14:paraId="30F39325" w14:textId="17333B33" w:rsidR="00876EF8" w:rsidRPr="00E84981" w:rsidRDefault="00E84981" w:rsidP="00E84981">
      <w:pPr>
        <w:pStyle w:val="Titre1"/>
      </w:pPr>
      <w:r w:rsidRPr="00E84981">
        <w:t>Item </w:t>
      </w:r>
      <w:bookmarkStart w:id="2" w:name="_heading=h.j7k05ddw17s6" w:colFirst="0" w:colLast="0"/>
      <w:bookmarkEnd w:id="2"/>
      <w:r w:rsidR="00942BB1">
        <w:t>208 – Insuffisance respiratoire chronique</w:t>
      </w:r>
    </w:p>
    <w:p w14:paraId="58CCE89C" w14:textId="77777777" w:rsidR="00876EF8" w:rsidRDefault="00876EF8" w:rsidP="00362251"/>
    <w:p w14:paraId="1D7886DB" w14:textId="77777777" w:rsidR="00E84981" w:rsidRDefault="00E84981" w:rsidP="00362251">
      <w:pPr>
        <w:rPr>
          <w:sz w:val="10"/>
          <w:szCs w:val="10"/>
        </w:rPr>
      </w:pPr>
    </w:p>
    <w:p w14:paraId="42228953" w14:textId="77777777" w:rsidR="00717C5F" w:rsidRPr="00E84981" w:rsidRDefault="00717C5F" w:rsidP="00362251">
      <w:pPr>
        <w:rPr>
          <w:sz w:val="10"/>
          <w:szCs w:val="10"/>
        </w:rPr>
      </w:pPr>
    </w:p>
    <w:tbl>
      <w:tblPr>
        <w:tblW w:w="9012" w:type="dxa"/>
        <w:tblInd w:w="55"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640"/>
        <w:gridCol w:w="2135"/>
        <w:gridCol w:w="6237"/>
      </w:tblGrid>
      <w:tr w:rsidR="0087650C" w:rsidRPr="00A54E85" w14:paraId="38EB26A0" w14:textId="77777777" w:rsidTr="00942BB1">
        <w:trPr>
          <w:trHeight w:val="201"/>
        </w:trPr>
        <w:tc>
          <w:tcPr>
            <w:tcW w:w="640" w:type="dxa"/>
            <w:shd w:val="clear" w:color="auto" w:fill="D1D1D1" w:themeFill="background2" w:themeFillShade="E6"/>
            <w:vAlign w:val="center"/>
          </w:tcPr>
          <w:p w14:paraId="4E8BCBCE" w14:textId="77777777" w:rsidR="0087650C" w:rsidRPr="00A54E85" w:rsidRDefault="0087650C" w:rsidP="00F44AC4">
            <w:pPr>
              <w:spacing w:line="240" w:lineRule="auto"/>
              <w:jc w:val="center"/>
              <w:rPr>
                <w:rFonts w:ascii="Calibri" w:eastAsia="Calibri" w:hAnsi="Calibri" w:cs="Calibri"/>
                <w:b/>
                <w:bCs/>
                <w:color w:val="000000" w:themeColor="text1"/>
              </w:rPr>
            </w:pPr>
            <w:r w:rsidRPr="00A54E85">
              <w:rPr>
                <w:rFonts w:ascii="Calibri" w:eastAsia="Calibri" w:hAnsi="Calibri" w:cs="Calibri"/>
                <w:b/>
                <w:bCs/>
                <w:color w:val="000000" w:themeColor="text1"/>
              </w:rPr>
              <w:t>Rang</w:t>
            </w:r>
          </w:p>
        </w:tc>
        <w:tc>
          <w:tcPr>
            <w:tcW w:w="2135" w:type="dxa"/>
            <w:shd w:val="clear" w:color="auto" w:fill="D1D1D1" w:themeFill="background2" w:themeFillShade="E6"/>
            <w:vAlign w:val="center"/>
          </w:tcPr>
          <w:p w14:paraId="64166F82" w14:textId="77777777" w:rsidR="0087650C" w:rsidRPr="00A54E85" w:rsidRDefault="0087650C" w:rsidP="00F44AC4">
            <w:pPr>
              <w:spacing w:line="240" w:lineRule="auto"/>
              <w:jc w:val="center"/>
              <w:rPr>
                <w:rFonts w:ascii="Calibri" w:eastAsia="Calibri" w:hAnsi="Calibri" w:cs="Calibri"/>
                <w:b/>
                <w:bCs/>
                <w:color w:val="000000" w:themeColor="text1"/>
              </w:rPr>
            </w:pPr>
            <w:r w:rsidRPr="00A54E85">
              <w:rPr>
                <w:rFonts w:ascii="Calibri" w:eastAsia="Calibri" w:hAnsi="Calibri" w:cs="Calibri"/>
                <w:b/>
                <w:bCs/>
                <w:color w:val="000000" w:themeColor="text1"/>
              </w:rPr>
              <w:t>Rubrique</w:t>
            </w:r>
          </w:p>
        </w:tc>
        <w:tc>
          <w:tcPr>
            <w:tcW w:w="6237" w:type="dxa"/>
            <w:shd w:val="clear" w:color="auto" w:fill="D1D1D1" w:themeFill="background2" w:themeFillShade="E6"/>
          </w:tcPr>
          <w:p w14:paraId="4BC0A79E" w14:textId="77777777" w:rsidR="0087650C" w:rsidRPr="00A54E85" w:rsidRDefault="0087650C" w:rsidP="00F44AC4">
            <w:pPr>
              <w:spacing w:line="240" w:lineRule="auto"/>
              <w:jc w:val="center"/>
              <w:rPr>
                <w:rFonts w:ascii="Calibri" w:eastAsia="Calibri" w:hAnsi="Calibri" w:cs="Calibri"/>
                <w:b/>
                <w:bCs/>
                <w:color w:val="000000" w:themeColor="text1"/>
              </w:rPr>
            </w:pPr>
            <w:r w:rsidRPr="00A54E85">
              <w:rPr>
                <w:rFonts w:ascii="Calibri" w:eastAsia="Calibri" w:hAnsi="Calibri" w:cs="Calibri"/>
                <w:b/>
                <w:bCs/>
                <w:color w:val="000000" w:themeColor="text1"/>
              </w:rPr>
              <w:t>Intitulé des connaissances</w:t>
            </w:r>
          </w:p>
        </w:tc>
      </w:tr>
      <w:tr w:rsidR="00942BB1" w:rsidRPr="00A54E85" w14:paraId="544C774E" w14:textId="77777777" w:rsidTr="00942BB1">
        <w:trPr>
          <w:trHeight w:val="32"/>
        </w:trPr>
        <w:tc>
          <w:tcPr>
            <w:tcW w:w="640" w:type="dxa"/>
            <w:vAlign w:val="center"/>
          </w:tcPr>
          <w:p w14:paraId="303593E1" w14:textId="4C649FB9" w:rsidR="00942BB1" w:rsidRPr="00A54E85" w:rsidRDefault="00942BB1" w:rsidP="00942BB1">
            <w:pPr>
              <w:spacing w:line="240" w:lineRule="auto"/>
              <w:jc w:val="center"/>
              <w:rPr>
                <w:rFonts w:ascii="Calibri" w:eastAsia="Calibri" w:hAnsi="Calibri" w:cs="Calibri"/>
              </w:rPr>
            </w:pPr>
            <w:r>
              <w:rPr>
                <w:rFonts w:ascii="Calibri" w:eastAsia="Calibri" w:hAnsi="Calibri" w:cs="Calibri"/>
              </w:rPr>
              <w:t>A</w:t>
            </w:r>
          </w:p>
        </w:tc>
        <w:tc>
          <w:tcPr>
            <w:tcW w:w="2135" w:type="dxa"/>
            <w:vAlign w:val="center"/>
          </w:tcPr>
          <w:p w14:paraId="1276EAB8" w14:textId="6629C333" w:rsidR="00942BB1" w:rsidRPr="00A54E85" w:rsidRDefault="00942BB1" w:rsidP="00942BB1">
            <w:pPr>
              <w:spacing w:line="240" w:lineRule="auto"/>
              <w:jc w:val="left"/>
              <w:rPr>
                <w:rFonts w:ascii="Calibri" w:eastAsia="Calibri" w:hAnsi="Calibri" w:cs="Calibri"/>
              </w:rPr>
            </w:pPr>
            <w:r>
              <w:rPr>
                <w:rFonts w:ascii="Calibri" w:eastAsia="Calibri" w:hAnsi="Calibri" w:cs="Calibri"/>
              </w:rPr>
              <w:t>Diagnostic positif</w:t>
            </w:r>
          </w:p>
        </w:tc>
        <w:tc>
          <w:tcPr>
            <w:tcW w:w="6237" w:type="dxa"/>
          </w:tcPr>
          <w:p w14:paraId="77174F5C" w14:textId="071870C5" w:rsidR="00942BB1" w:rsidRPr="00A54E85" w:rsidRDefault="00942BB1" w:rsidP="00942BB1">
            <w:pPr>
              <w:spacing w:line="240" w:lineRule="auto"/>
              <w:rPr>
                <w:rFonts w:ascii="Calibri" w:eastAsia="Calibri" w:hAnsi="Calibri" w:cs="Calibri"/>
              </w:rPr>
            </w:pPr>
            <w:r>
              <w:rPr>
                <w:rFonts w:ascii="Calibri" w:eastAsia="Calibri" w:hAnsi="Calibri" w:cs="Calibri"/>
              </w:rPr>
              <w:t>Savoir poser le diagnostic d’une insuffisance respiratoire chronique (IRC)</w:t>
            </w:r>
          </w:p>
        </w:tc>
      </w:tr>
      <w:tr w:rsidR="00942BB1" w:rsidRPr="00A54E85" w14:paraId="464EB220" w14:textId="77777777" w:rsidTr="00942BB1">
        <w:trPr>
          <w:trHeight w:val="32"/>
        </w:trPr>
        <w:tc>
          <w:tcPr>
            <w:tcW w:w="640" w:type="dxa"/>
            <w:vAlign w:val="center"/>
          </w:tcPr>
          <w:p w14:paraId="1489C0FB" w14:textId="6AC69C26" w:rsidR="00942BB1" w:rsidRPr="00A54E85" w:rsidRDefault="00942BB1" w:rsidP="00942BB1">
            <w:pPr>
              <w:spacing w:line="240" w:lineRule="auto"/>
              <w:jc w:val="center"/>
              <w:rPr>
                <w:rFonts w:ascii="Calibri" w:eastAsia="Calibri" w:hAnsi="Calibri" w:cs="Calibri"/>
              </w:rPr>
            </w:pPr>
            <w:r>
              <w:rPr>
                <w:rFonts w:ascii="Calibri" w:eastAsia="Calibri" w:hAnsi="Calibri" w:cs="Calibri"/>
              </w:rPr>
              <w:t>A</w:t>
            </w:r>
          </w:p>
        </w:tc>
        <w:tc>
          <w:tcPr>
            <w:tcW w:w="2135" w:type="dxa"/>
            <w:vAlign w:val="center"/>
          </w:tcPr>
          <w:p w14:paraId="03BD2844" w14:textId="0FD6A1B4" w:rsidR="00942BB1" w:rsidRPr="00A54E85" w:rsidRDefault="00942BB1" w:rsidP="00942BB1">
            <w:pPr>
              <w:spacing w:line="240" w:lineRule="auto"/>
              <w:jc w:val="left"/>
              <w:rPr>
                <w:rFonts w:ascii="Calibri" w:eastAsia="Calibri" w:hAnsi="Calibri" w:cs="Calibri"/>
              </w:rPr>
            </w:pPr>
            <w:r>
              <w:rPr>
                <w:rFonts w:ascii="Calibri" w:eastAsia="Calibri" w:hAnsi="Calibri" w:cs="Calibri"/>
              </w:rPr>
              <w:t>Diagnostic positif</w:t>
            </w:r>
          </w:p>
        </w:tc>
        <w:tc>
          <w:tcPr>
            <w:tcW w:w="6237" w:type="dxa"/>
          </w:tcPr>
          <w:p w14:paraId="0ABE6C55" w14:textId="62133DB4" w:rsidR="00942BB1" w:rsidRPr="00A54E85" w:rsidRDefault="00942BB1" w:rsidP="00942BB1">
            <w:pPr>
              <w:spacing w:line="240" w:lineRule="auto"/>
              <w:rPr>
                <w:rFonts w:ascii="Calibri" w:eastAsia="Calibri" w:hAnsi="Calibri" w:cs="Calibri"/>
              </w:rPr>
            </w:pPr>
            <w:r>
              <w:rPr>
                <w:rFonts w:ascii="Calibri" w:eastAsia="Calibri" w:hAnsi="Calibri" w:cs="Calibri"/>
              </w:rPr>
              <w:t>Connaître les données cliniques permettant d’orienter vers une IRC obstructive et vers une IRC restrictive</w:t>
            </w:r>
          </w:p>
        </w:tc>
      </w:tr>
      <w:tr w:rsidR="00942BB1" w:rsidRPr="00A54E85" w14:paraId="6D286967" w14:textId="77777777" w:rsidTr="00942BB1">
        <w:trPr>
          <w:trHeight w:val="201"/>
        </w:trPr>
        <w:tc>
          <w:tcPr>
            <w:tcW w:w="640" w:type="dxa"/>
            <w:vAlign w:val="center"/>
          </w:tcPr>
          <w:p w14:paraId="541446C5" w14:textId="1C3F3B5F" w:rsidR="00942BB1" w:rsidRPr="00A54E85" w:rsidRDefault="00942BB1" w:rsidP="00942BB1">
            <w:pPr>
              <w:spacing w:line="240" w:lineRule="auto"/>
              <w:jc w:val="center"/>
              <w:rPr>
                <w:rFonts w:ascii="Calibri" w:eastAsia="Calibri" w:hAnsi="Calibri" w:cs="Calibri"/>
                <w:i/>
                <w:iCs/>
                <w:color w:val="2E74B5"/>
              </w:rPr>
            </w:pPr>
            <w:r>
              <w:rPr>
                <w:rFonts w:ascii="Calibri" w:eastAsia="Calibri" w:hAnsi="Calibri" w:cs="Calibri"/>
              </w:rPr>
              <w:t>A</w:t>
            </w:r>
          </w:p>
        </w:tc>
        <w:tc>
          <w:tcPr>
            <w:tcW w:w="2135" w:type="dxa"/>
            <w:vAlign w:val="center"/>
          </w:tcPr>
          <w:p w14:paraId="28EBE8E8" w14:textId="582D991A" w:rsidR="00942BB1" w:rsidRPr="00A54E85" w:rsidRDefault="00942BB1" w:rsidP="00942BB1">
            <w:pPr>
              <w:spacing w:line="240" w:lineRule="auto"/>
              <w:jc w:val="left"/>
              <w:rPr>
                <w:rFonts w:ascii="Calibri" w:eastAsia="Calibri" w:hAnsi="Calibri" w:cs="Calibri"/>
                <w:i/>
                <w:iCs/>
                <w:color w:val="2E74B5"/>
              </w:rPr>
            </w:pPr>
            <w:r>
              <w:rPr>
                <w:rFonts w:ascii="Calibri" w:eastAsia="Calibri" w:hAnsi="Calibri" w:cs="Calibri"/>
              </w:rPr>
              <w:t>Examens complémentaires</w:t>
            </w:r>
          </w:p>
        </w:tc>
        <w:tc>
          <w:tcPr>
            <w:tcW w:w="6237" w:type="dxa"/>
          </w:tcPr>
          <w:p w14:paraId="7D52D0FD" w14:textId="7B62CE01" w:rsidR="00942BB1" w:rsidRPr="00A54E85" w:rsidRDefault="00942BB1" w:rsidP="00942BB1">
            <w:pPr>
              <w:spacing w:line="240" w:lineRule="auto"/>
              <w:rPr>
                <w:rFonts w:ascii="Calibri" w:eastAsia="Calibri" w:hAnsi="Calibri" w:cs="Calibri"/>
                <w:i/>
                <w:iCs/>
                <w:color w:val="2E74B5"/>
              </w:rPr>
            </w:pPr>
            <w:r>
              <w:rPr>
                <w:rFonts w:ascii="Calibri" w:eastAsia="Calibri" w:hAnsi="Calibri" w:cs="Calibri"/>
              </w:rPr>
              <w:t>Connaître les explorations fonctionnelles permettant d’orienter vers une IRC obstructive et vers une IRC restrictive</w:t>
            </w:r>
          </w:p>
        </w:tc>
      </w:tr>
      <w:tr w:rsidR="00942BB1" w:rsidRPr="00A54E85" w14:paraId="39CC79FB" w14:textId="77777777" w:rsidTr="00942BB1">
        <w:trPr>
          <w:trHeight w:val="201"/>
        </w:trPr>
        <w:tc>
          <w:tcPr>
            <w:tcW w:w="640" w:type="dxa"/>
            <w:vAlign w:val="center"/>
          </w:tcPr>
          <w:p w14:paraId="4260790C" w14:textId="66A47EF1" w:rsidR="00942BB1" w:rsidRPr="00A54E85" w:rsidRDefault="00942BB1" w:rsidP="00942BB1">
            <w:pPr>
              <w:spacing w:line="240" w:lineRule="auto"/>
              <w:jc w:val="center"/>
              <w:rPr>
                <w:rFonts w:ascii="Calibri" w:eastAsia="Calibri" w:hAnsi="Calibri" w:cs="Calibri"/>
              </w:rPr>
            </w:pPr>
            <w:r>
              <w:rPr>
                <w:rFonts w:ascii="Calibri" w:eastAsia="Calibri" w:hAnsi="Calibri" w:cs="Calibri"/>
                <w:color w:val="0070C0"/>
              </w:rPr>
              <w:t>B</w:t>
            </w:r>
          </w:p>
        </w:tc>
        <w:tc>
          <w:tcPr>
            <w:tcW w:w="2135" w:type="dxa"/>
            <w:vAlign w:val="center"/>
          </w:tcPr>
          <w:p w14:paraId="0A10991B" w14:textId="4D6B7817" w:rsidR="00942BB1" w:rsidRPr="00A54E85" w:rsidRDefault="00942BB1" w:rsidP="00942BB1">
            <w:pPr>
              <w:spacing w:line="240" w:lineRule="auto"/>
              <w:jc w:val="left"/>
              <w:rPr>
                <w:rFonts w:ascii="Calibri" w:eastAsia="Calibri" w:hAnsi="Calibri" w:cs="Calibri"/>
              </w:rPr>
            </w:pPr>
            <w:r>
              <w:rPr>
                <w:rFonts w:ascii="Calibri" w:eastAsia="Calibri" w:hAnsi="Calibri" w:cs="Calibri"/>
                <w:color w:val="0070C0"/>
              </w:rPr>
              <w:t>Examens complémentaires</w:t>
            </w:r>
          </w:p>
        </w:tc>
        <w:tc>
          <w:tcPr>
            <w:tcW w:w="6237" w:type="dxa"/>
          </w:tcPr>
          <w:p w14:paraId="39CE48D2" w14:textId="060FEF05" w:rsidR="00942BB1" w:rsidRPr="00A54E85" w:rsidRDefault="00942BB1" w:rsidP="00942BB1">
            <w:pPr>
              <w:spacing w:line="240" w:lineRule="auto"/>
              <w:rPr>
                <w:rFonts w:ascii="Calibri" w:eastAsia="Calibri" w:hAnsi="Calibri" w:cs="Calibri"/>
              </w:rPr>
            </w:pPr>
            <w:r>
              <w:rPr>
                <w:rFonts w:ascii="Calibri" w:eastAsia="Calibri" w:hAnsi="Calibri" w:cs="Calibri"/>
                <w:color w:val="0070C0"/>
              </w:rPr>
              <w:t>Savoir interpréter les explorations fonctionnelles permettant d’orienter vers une IRC obstructive et vers une IRC restrictive</w:t>
            </w:r>
          </w:p>
        </w:tc>
      </w:tr>
      <w:tr w:rsidR="00942BB1" w:rsidRPr="00A54E85" w14:paraId="74C87BC5" w14:textId="77777777" w:rsidTr="00942BB1">
        <w:trPr>
          <w:trHeight w:val="201"/>
        </w:trPr>
        <w:tc>
          <w:tcPr>
            <w:tcW w:w="640" w:type="dxa"/>
            <w:vAlign w:val="center"/>
          </w:tcPr>
          <w:p w14:paraId="747055EA" w14:textId="433F3139" w:rsidR="00942BB1" w:rsidRPr="00A54E85" w:rsidRDefault="00942BB1" w:rsidP="00942BB1">
            <w:pPr>
              <w:spacing w:line="240" w:lineRule="auto"/>
              <w:jc w:val="center"/>
              <w:rPr>
                <w:rFonts w:ascii="Calibri" w:eastAsia="Calibri" w:hAnsi="Calibri" w:cs="Calibri"/>
                <w:color w:val="2E74B5"/>
              </w:rPr>
            </w:pPr>
            <w:r>
              <w:rPr>
                <w:rFonts w:ascii="Calibri" w:eastAsia="Calibri" w:hAnsi="Calibri" w:cs="Calibri"/>
                <w:color w:val="0070C0"/>
              </w:rPr>
              <w:t>B</w:t>
            </w:r>
          </w:p>
        </w:tc>
        <w:tc>
          <w:tcPr>
            <w:tcW w:w="2135" w:type="dxa"/>
            <w:vAlign w:val="center"/>
          </w:tcPr>
          <w:p w14:paraId="149CFA01" w14:textId="20B2033C" w:rsidR="00942BB1" w:rsidRPr="00A54E85" w:rsidRDefault="00942BB1" w:rsidP="00942BB1">
            <w:pPr>
              <w:spacing w:line="240" w:lineRule="auto"/>
              <w:jc w:val="left"/>
              <w:rPr>
                <w:rFonts w:ascii="Calibri" w:eastAsia="Calibri" w:hAnsi="Calibri" w:cs="Calibri"/>
                <w:color w:val="2E74B5"/>
              </w:rPr>
            </w:pPr>
            <w:r>
              <w:rPr>
                <w:rFonts w:ascii="Calibri" w:eastAsia="Calibri" w:hAnsi="Calibri" w:cs="Calibri"/>
                <w:color w:val="0070C0"/>
              </w:rPr>
              <w:t>Examens complémentaires</w:t>
            </w:r>
          </w:p>
        </w:tc>
        <w:tc>
          <w:tcPr>
            <w:tcW w:w="6237" w:type="dxa"/>
          </w:tcPr>
          <w:p w14:paraId="652FC5EA" w14:textId="7F7C1420" w:rsidR="00942BB1" w:rsidRPr="00A54E85" w:rsidRDefault="00942BB1" w:rsidP="00942BB1">
            <w:pPr>
              <w:spacing w:line="240" w:lineRule="auto"/>
              <w:rPr>
                <w:rFonts w:ascii="Calibri" w:eastAsia="Calibri" w:hAnsi="Calibri" w:cs="Calibri"/>
                <w:color w:val="2E74B5"/>
              </w:rPr>
            </w:pPr>
            <w:r>
              <w:rPr>
                <w:rFonts w:ascii="Calibri" w:eastAsia="Calibri" w:hAnsi="Calibri" w:cs="Calibri"/>
                <w:color w:val="0070C0"/>
              </w:rPr>
              <w:t xml:space="preserve">Connaître les indications des examens d’imagerie devant une insuffisance respiratoire chronique </w:t>
            </w:r>
          </w:p>
        </w:tc>
      </w:tr>
      <w:tr w:rsidR="00942BB1" w:rsidRPr="00A54E85" w14:paraId="491B4C61" w14:textId="77777777" w:rsidTr="00942BB1">
        <w:trPr>
          <w:trHeight w:val="201"/>
        </w:trPr>
        <w:tc>
          <w:tcPr>
            <w:tcW w:w="640" w:type="dxa"/>
            <w:vAlign w:val="center"/>
          </w:tcPr>
          <w:p w14:paraId="4A4125A2" w14:textId="312F09A2" w:rsidR="00942BB1" w:rsidRPr="00A54E85" w:rsidRDefault="00942BB1" w:rsidP="00942BB1">
            <w:pPr>
              <w:spacing w:line="240" w:lineRule="auto"/>
              <w:jc w:val="center"/>
              <w:rPr>
                <w:rFonts w:ascii="Calibri" w:eastAsia="Calibri" w:hAnsi="Calibri" w:cs="Calibri"/>
                <w:color w:val="2E74B5"/>
              </w:rPr>
            </w:pPr>
            <w:r>
              <w:rPr>
                <w:rFonts w:ascii="Calibri" w:eastAsia="Calibri" w:hAnsi="Calibri" w:cs="Calibri"/>
              </w:rPr>
              <w:t>A</w:t>
            </w:r>
          </w:p>
        </w:tc>
        <w:tc>
          <w:tcPr>
            <w:tcW w:w="2135" w:type="dxa"/>
            <w:vAlign w:val="center"/>
          </w:tcPr>
          <w:p w14:paraId="404D9570" w14:textId="0636C8A9" w:rsidR="00942BB1" w:rsidRPr="00A54E85" w:rsidRDefault="00942BB1" w:rsidP="00942BB1">
            <w:pPr>
              <w:spacing w:line="240" w:lineRule="auto"/>
              <w:jc w:val="left"/>
              <w:rPr>
                <w:rFonts w:ascii="Calibri" w:eastAsia="Calibri" w:hAnsi="Calibri" w:cs="Calibri"/>
                <w:color w:val="2E74B5"/>
              </w:rPr>
            </w:pPr>
            <w:r>
              <w:rPr>
                <w:rFonts w:ascii="Calibri" w:eastAsia="Calibri" w:hAnsi="Calibri" w:cs="Calibri"/>
              </w:rPr>
              <w:t>Identifier une urgence</w:t>
            </w:r>
          </w:p>
        </w:tc>
        <w:tc>
          <w:tcPr>
            <w:tcW w:w="6237" w:type="dxa"/>
          </w:tcPr>
          <w:p w14:paraId="7B6ABE81" w14:textId="29539E40" w:rsidR="00942BB1" w:rsidRPr="00A54E85" w:rsidRDefault="00942BB1" w:rsidP="00942BB1">
            <w:pPr>
              <w:spacing w:line="240" w:lineRule="auto"/>
              <w:rPr>
                <w:rFonts w:ascii="Calibri" w:eastAsia="Calibri" w:hAnsi="Calibri" w:cs="Calibri"/>
                <w:color w:val="2E74B5"/>
              </w:rPr>
            </w:pPr>
            <w:r>
              <w:rPr>
                <w:rFonts w:ascii="Calibri" w:eastAsia="Calibri" w:hAnsi="Calibri" w:cs="Calibri"/>
              </w:rPr>
              <w:t>Savoir identifier une décompensation d’IRC et en apprécier la gravité</w:t>
            </w:r>
          </w:p>
        </w:tc>
      </w:tr>
      <w:tr w:rsidR="00942BB1" w:rsidRPr="00A54E85" w14:paraId="4414EA75" w14:textId="77777777" w:rsidTr="00942BB1">
        <w:trPr>
          <w:trHeight w:val="201"/>
        </w:trPr>
        <w:tc>
          <w:tcPr>
            <w:tcW w:w="640" w:type="dxa"/>
            <w:vAlign w:val="center"/>
          </w:tcPr>
          <w:p w14:paraId="374E0645" w14:textId="57615DFE" w:rsidR="00942BB1" w:rsidRPr="00A54E85" w:rsidRDefault="00942BB1" w:rsidP="00942BB1">
            <w:pPr>
              <w:spacing w:line="240" w:lineRule="auto"/>
              <w:jc w:val="center"/>
              <w:rPr>
                <w:rFonts w:ascii="Calibri" w:eastAsia="Calibri" w:hAnsi="Calibri" w:cs="Calibri"/>
                <w:i/>
                <w:iCs/>
                <w:color w:val="2E74B5"/>
              </w:rPr>
            </w:pPr>
            <w:r>
              <w:rPr>
                <w:rFonts w:ascii="Calibri" w:eastAsia="Calibri" w:hAnsi="Calibri" w:cs="Calibri"/>
                <w:color w:val="0070C0"/>
              </w:rPr>
              <w:t>B</w:t>
            </w:r>
          </w:p>
        </w:tc>
        <w:tc>
          <w:tcPr>
            <w:tcW w:w="2135" w:type="dxa"/>
            <w:vAlign w:val="center"/>
          </w:tcPr>
          <w:p w14:paraId="47536786" w14:textId="7EF234CE" w:rsidR="00942BB1" w:rsidRPr="00A54E85" w:rsidRDefault="00942BB1" w:rsidP="00942BB1">
            <w:pPr>
              <w:spacing w:line="240" w:lineRule="auto"/>
              <w:jc w:val="left"/>
              <w:rPr>
                <w:rFonts w:ascii="Calibri" w:eastAsia="Calibri" w:hAnsi="Calibri" w:cs="Calibri"/>
                <w:i/>
                <w:iCs/>
                <w:color w:val="2E74B5"/>
              </w:rPr>
            </w:pPr>
            <w:r>
              <w:rPr>
                <w:rFonts w:ascii="Calibri" w:eastAsia="Calibri" w:hAnsi="Calibri" w:cs="Calibri"/>
                <w:color w:val="0070C0"/>
              </w:rPr>
              <w:t>Physiopathologie/</w:t>
            </w:r>
            <w:r>
              <w:rPr>
                <w:rFonts w:ascii="Calibri" w:eastAsia="Calibri" w:hAnsi="Calibri" w:cs="Calibri"/>
                <w:color w:val="0070C0"/>
              </w:rPr>
              <w:br/>
              <w:t>étiologies</w:t>
            </w:r>
          </w:p>
        </w:tc>
        <w:tc>
          <w:tcPr>
            <w:tcW w:w="6237" w:type="dxa"/>
          </w:tcPr>
          <w:p w14:paraId="65B74D14" w14:textId="738E109F" w:rsidR="00942BB1" w:rsidRPr="00A54E85" w:rsidRDefault="00942BB1" w:rsidP="00942BB1">
            <w:pPr>
              <w:spacing w:line="240" w:lineRule="auto"/>
              <w:rPr>
                <w:rFonts w:ascii="Calibri" w:eastAsia="Calibri" w:hAnsi="Calibri" w:cs="Calibri"/>
                <w:i/>
                <w:iCs/>
                <w:color w:val="2E74B5"/>
              </w:rPr>
            </w:pPr>
            <w:r>
              <w:rPr>
                <w:rFonts w:ascii="Calibri" w:eastAsia="Calibri" w:hAnsi="Calibri" w:cs="Calibri"/>
                <w:color w:val="0070C0"/>
              </w:rPr>
              <w:t>Savoir différencier les IRC selon leur mécanisme physiopathologique (liées à l’échangeur vs pompe ventilatoire ou commande centrale vs vascularisation pulmonaire)</w:t>
            </w:r>
          </w:p>
        </w:tc>
      </w:tr>
      <w:tr w:rsidR="00942BB1" w:rsidRPr="00A54E85" w14:paraId="770A2B74" w14:textId="77777777" w:rsidTr="00942BB1">
        <w:trPr>
          <w:trHeight w:val="201"/>
        </w:trPr>
        <w:tc>
          <w:tcPr>
            <w:tcW w:w="640" w:type="dxa"/>
            <w:vAlign w:val="center"/>
          </w:tcPr>
          <w:p w14:paraId="774C2E64" w14:textId="79D7BCB7" w:rsidR="00942BB1" w:rsidRPr="00A54E85" w:rsidRDefault="00942BB1" w:rsidP="00942BB1">
            <w:pPr>
              <w:spacing w:line="240" w:lineRule="auto"/>
              <w:jc w:val="center"/>
              <w:rPr>
                <w:rFonts w:ascii="Calibri" w:eastAsia="Calibri" w:hAnsi="Calibri" w:cs="Calibri"/>
              </w:rPr>
            </w:pPr>
            <w:r>
              <w:rPr>
                <w:rFonts w:ascii="Calibri" w:eastAsia="Calibri" w:hAnsi="Calibri" w:cs="Calibri"/>
                <w:color w:val="0070C0"/>
              </w:rPr>
              <w:t>B</w:t>
            </w:r>
          </w:p>
        </w:tc>
        <w:tc>
          <w:tcPr>
            <w:tcW w:w="2135" w:type="dxa"/>
            <w:vAlign w:val="center"/>
          </w:tcPr>
          <w:p w14:paraId="409CA63E" w14:textId="2CE0AD4F" w:rsidR="00942BB1" w:rsidRPr="00A54E85" w:rsidRDefault="00942BB1" w:rsidP="00942BB1">
            <w:pPr>
              <w:spacing w:line="240" w:lineRule="auto"/>
              <w:jc w:val="left"/>
              <w:rPr>
                <w:rFonts w:ascii="Calibri" w:eastAsia="Calibri" w:hAnsi="Calibri" w:cs="Calibri"/>
              </w:rPr>
            </w:pPr>
            <w:r>
              <w:rPr>
                <w:rFonts w:ascii="Calibri" w:eastAsia="Calibri" w:hAnsi="Calibri" w:cs="Calibri"/>
                <w:color w:val="0070C0"/>
              </w:rPr>
              <w:t>Physiopathologie/</w:t>
            </w:r>
            <w:r>
              <w:rPr>
                <w:rFonts w:ascii="Calibri" w:eastAsia="Calibri" w:hAnsi="Calibri" w:cs="Calibri"/>
                <w:color w:val="0070C0"/>
              </w:rPr>
              <w:br/>
              <w:t>étiologies</w:t>
            </w:r>
          </w:p>
        </w:tc>
        <w:tc>
          <w:tcPr>
            <w:tcW w:w="6237" w:type="dxa"/>
          </w:tcPr>
          <w:p w14:paraId="54A2725D" w14:textId="68BEFBE2" w:rsidR="00942BB1" w:rsidRPr="00A54E85" w:rsidRDefault="00942BB1" w:rsidP="00942BB1">
            <w:pPr>
              <w:spacing w:line="240" w:lineRule="auto"/>
              <w:rPr>
                <w:rFonts w:ascii="Calibri" w:eastAsia="Calibri" w:hAnsi="Calibri" w:cs="Calibri"/>
              </w:rPr>
            </w:pPr>
            <w:r>
              <w:rPr>
                <w:rFonts w:ascii="Calibri" w:eastAsia="Calibri" w:hAnsi="Calibri" w:cs="Calibri"/>
                <w:color w:val="0070C0"/>
              </w:rPr>
              <w:t>Connaître les principaux mécanismes responsables d’une hypoxémie et ceux responsables d’une hypercapnie</w:t>
            </w:r>
          </w:p>
        </w:tc>
      </w:tr>
      <w:tr w:rsidR="00942BB1" w:rsidRPr="00A54E85" w14:paraId="6959E82F" w14:textId="77777777" w:rsidTr="00942BB1">
        <w:trPr>
          <w:trHeight w:val="201"/>
        </w:trPr>
        <w:tc>
          <w:tcPr>
            <w:tcW w:w="640" w:type="dxa"/>
            <w:vAlign w:val="center"/>
          </w:tcPr>
          <w:p w14:paraId="4E1EE5DA" w14:textId="727A9953" w:rsidR="00942BB1" w:rsidRPr="00A54E85" w:rsidRDefault="00942BB1" w:rsidP="00942BB1">
            <w:pPr>
              <w:spacing w:line="240" w:lineRule="auto"/>
              <w:jc w:val="center"/>
              <w:rPr>
                <w:rFonts w:ascii="Calibri" w:eastAsia="Calibri" w:hAnsi="Calibri" w:cs="Calibri"/>
                <w:color w:val="2E74B5"/>
              </w:rPr>
            </w:pPr>
            <w:r>
              <w:rPr>
                <w:rFonts w:ascii="Calibri" w:eastAsia="Calibri" w:hAnsi="Calibri" w:cs="Calibri"/>
                <w:color w:val="0070C0"/>
              </w:rPr>
              <w:t>B</w:t>
            </w:r>
          </w:p>
        </w:tc>
        <w:tc>
          <w:tcPr>
            <w:tcW w:w="2135" w:type="dxa"/>
            <w:vAlign w:val="center"/>
          </w:tcPr>
          <w:p w14:paraId="1264C9BE" w14:textId="43D697D6" w:rsidR="00942BB1" w:rsidRPr="00A54E85" w:rsidRDefault="00942BB1" w:rsidP="00942BB1">
            <w:pPr>
              <w:spacing w:line="240" w:lineRule="auto"/>
              <w:jc w:val="left"/>
              <w:rPr>
                <w:rFonts w:ascii="Calibri" w:eastAsia="Calibri" w:hAnsi="Calibri" w:cs="Calibri"/>
                <w:color w:val="2E74B5"/>
              </w:rPr>
            </w:pPr>
            <w:r>
              <w:rPr>
                <w:rFonts w:ascii="Calibri" w:eastAsia="Calibri" w:hAnsi="Calibri" w:cs="Calibri"/>
                <w:color w:val="0070C0"/>
              </w:rPr>
              <w:t>Prise en charge</w:t>
            </w:r>
          </w:p>
        </w:tc>
        <w:tc>
          <w:tcPr>
            <w:tcW w:w="6237" w:type="dxa"/>
          </w:tcPr>
          <w:p w14:paraId="3F9C46EE" w14:textId="01845A54" w:rsidR="00942BB1" w:rsidRPr="00A54E85" w:rsidRDefault="00942BB1" w:rsidP="00942BB1">
            <w:pPr>
              <w:spacing w:line="240" w:lineRule="auto"/>
              <w:rPr>
                <w:rFonts w:ascii="Calibri" w:eastAsia="Calibri" w:hAnsi="Calibri" w:cs="Calibri"/>
                <w:color w:val="2E74B5"/>
              </w:rPr>
            </w:pPr>
            <w:r>
              <w:rPr>
                <w:rFonts w:ascii="Calibri" w:eastAsia="Calibri" w:hAnsi="Calibri" w:cs="Calibri"/>
                <w:color w:val="0070C0"/>
              </w:rPr>
              <w:t>Connaître les indications et les modalités de l’oxygénothérapie de longue durée</w:t>
            </w:r>
          </w:p>
        </w:tc>
      </w:tr>
      <w:tr w:rsidR="00942BB1" w:rsidRPr="00A54E85" w14:paraId="0E632BB6" w14:textId="77777777" w:rsidTr="00942BB1">
        <w:trPr>
          <w:trHeight w:val="201"/>
        </w:trPr>
        <w:tc>
          <w:tcPr>
            <w:tcW w:w="640" w:type="dxa"/>
            <w:vAlign w:val="center"/>
          </w:tcPr>
          <w:p w14:paraId="20386550" w14:textId="4D89F552" w:rsidR="00942BB1" w:rsidRPr="00A54E85" w:rsidRDefault="00942BB1" w:rsidP="00942BB1">
            <w:pPr>
              <w:spacing w:line="240" w:lineRule="auto"/>
              <w:jc w:val="center"/>
              <w:rPr>
                <w:rFonts w:ascii="Calibri" w:hAnsi="Calibri" w:cs="Calibri"/>
                <w:color w:val="0070C0"/>
              </w:rPr>
            </w:pPr>
            <w:r>
              <w:rPr>
                <w:rFonts w:ascii="Calibri" w:eastAsia="Calibri" w:hAnsi="Calibri" w:cs="Calibri"/>
                <w:color w:val="0070C0"/>
              </w:rPr>
              <w:t>B</w:t>
            </w:r>
          </w:p>
        </w:tc>
        <w:tc>
          <w:tcPr>
            <w:tcW w:w="2135" w:type="dxa"/>
            <w:vAlign w:val="center"/>
          </w:tcPr>
          <w:p w14:paraId="2E937A91" w14:textId="40953C75" w:rsidR="00942BB1" w:rsidRPr="00A54E85" w:rsidRDefault="00942BB1" w:rsidP="00942BB1">
            <w:pPr>
              <w:spacing w:line="240" w:lineRule="auto"/>
              <w:jc w:val="left"/>
              <w:rPr>
                <w:rFonts w:ascii="Calibri" w:hAnsi="Calibri" w:cs="Calibri"/>
                <w:color w:val="0070C0"/>
              </w:rPr>
            </w:pPr>
            <w:r>
              <w:rPr>
                <w:rFonts w:ascii="Calibri" w:eastAsia="Calibri" w:hAnsi="Calibri" w:cs="Calibri"/>
                <w:color w:val="0070C0"/>
              </w:rPr>
              <w:t>Prise en charge</w:t>
            </w:r>
          </w:p>
        </w:tc>
        <w:tc>
          <w:tcPr>
            <w:tcW w:w="6237" w:type="dxa"/>
          </w:tcPr>
          <w:p w14:paraId="6AD1D19C" w14:textId="383D2880" w:rsidR="00942BB1" w:rsidRPr="00A54E85" w:rsidRDefault="00942BB1" w:rsidP="00942BB1">
            <w:pPr>
              <w:spacing w:line="240" w:lineRule="auto"/>
              <w:rPr>
                <w:rFonts w:ascii="Calibri" w:hAnsi="Calibri" w:cs="Calibri"/>
                <w:color w:val="0070C0"/>
              </w:rPr>
            </w:pPr>
            <w:r>
              <w:rPr>
                <w:rFonts w:ascii="Calibri" w:eastAsia="Calibri" w:hAnsi="Calibri" w:cs="Calibri"/>
                <w:color w:val="0070C0"/>
              </w:rPr>
              <w:t>Connaître les implications médico-sociales de l’IRC (Affection de Longue Durée)</w:t>
            </w:r>
          </w:p>
        </w:tc>
      </w:tr>
      <w:tr w:rsidR="00942BB1" w:rsidRPr="00A54E85" w14:paraId="4D6371BC" w14:textId="77777777" w:rsidTr="00942BB1">
        <w:trPr>
          <w:trHeight w:val="201"/>
        </w:trPr>
        <w:tc>
          <w:tcPr>
            <w:tcW w:w="640" w:type="dxa"/>
            <w:vAlign w:val="center"/>
          </w:tcPr>
          <w:p w14:paraId="680D62D0" w14:textId="1D4781BB" w:rsidR="00942BB1" w:rsidRPr="00A54E85" w:rsidRDefault="00942BB1" w:rsidP="00942BB1">
            <w:pPr>
              <w:spacing w:line="240" w:lineRule="auto"/>
              <w:jc w:val="center"/>
              <w:rPr>
                <w:rFonts w:ascii="Calibri" w:hAnsi="Calibri" w:cs="Calibri"/>
                <w:color w:val="0070C0"/>
              </w:rPr>
            </w:pPr>
            <w:r>
              <w:rPr>
                <w:rFonts w:ascii="Calibri" w:eastAsia="Calibri" w:hAnsi="Calibri" w:cs="Calibri"/>
                <w:color w:val="0070C0"/>
              </w:rPr>
              <w:t>B</w:t>
            </w:r>
          </w:p>
        </w:tc>
        <w:tc>
          <w:tcPr>
            <w:tcW w:w="2135" w:type="dxa"/>
            <w:vAlign w:val="center"/>
          </w:tcPr>
          <w:p w14:paraId="6494AD1D" w14:textId="5B48A47F" w:rsidR="00942BB1" w:rsidRPr="00A54E85" w:rsidRDefault="00942BB1" w:rsidP="00942BB1">
            <w:pPr>
              <w:spacing w:line="240" w:lineRule="auto"/>
              <w:jc w:val="left"/>
              <w:rPr>
                <w:rFonts w:ascii="Calibri" w:hAnsi="Calibri" w:cs="Calibri"/>
                <w:color w:val="0070C0"/>
              </w:rPr>
            </w:pPr>
            <w:r>
              <w:rPr>
                <w:rFonts w:ascii="Calibri" w:eastAsia="Calibri" w:hAnsi="Calibri" w:cs="Calibri"/>
                <w:color w:val="0070C0"/>
              </w:rPr>
              <w:t>Prise en charge</w:t>
            </w:r>
          </w:p>
        </w:tc>
        <w:tc>
          <w:tcPr>
            <w:tcW w:w="6237" w:type="dxa"/>
          </w:tcPr>
          <w:p w14:paraId="36C20C6D" w14:textId="0CDB7382" w:rsidR="00942BB1" w:rsidRPr="00A54E85" w:rsidRDefault="00942BB1" w:rsidP="00942BB1">
            <w:pPr>
              <w:spacing w:line="240" w:lineRule="auto"/>
              <w:rPr>
                <w:rFonts w:ascii="Calibri" w:hAnsi="Calibri" w:cs="Calibri"/>
                <w:color w:val="0070C0"/>
              </w:rPr>
            </w:pPr>
            <w:r>
              <w:rPr>
                <w:rFonts w:ascii="Calibri" w:eastAsia="Calibri" w:hAnsi="Calibri" w:cs="Calibri"/>
                <w:color w:val="0070C0"/>
              </w:rPr>
              <w:t>Savoir prescrire et surveiller une oxygénothérapie chez un malade hypercapnique</w:t>
            </w:r>
          </w:p>
        </w:tc>
      </w:tr>
      <w:tr w:rsidR="00942BB1" w:rsidRPr="00A54E85" w14:paraId="78B177F8" w14:textId="77777777" w:rsidTr="00942BB1">
        <w:trPr>
          <w:trHeight w:val="201"/>
        </w:trPr>
        <w:tc>
          <w:tcPr>
            <w:tcW w:w="640" w:type="dxa"/>
            <w:vAlign w:val="center"/>
          </w:tcPr>
          <w:p w14:paraId="71CE24D9" w14:textId="59EAEDC2" w:rsidR="00942BB1" w:rsidRPr="00A54E85" w:rsidRDefault="00942BB1" w:rsidP="00942BB1">
            <w:pPr>
              <w:spacing w:line="240" w:lineRule="auto"/>
              <w:jc w:val="center"/>
              <w:rPr>
                <w:rFonts w:ascii="Calibri" w:hAnsi="Calibri" w:cs="Calibri"/>
                <w:color w:val="0070C0"/>
              </w:rPr>
            </w:pPr>
            <w:r>
              <w:rPr>
                <w:rFonts w:ascii="Calibri" w:eastAsia="Calibri" w:hAnsi="Calibri" w:cs="Calibri"/>
              </w:rPr>
              <w:t>A</w:t>
            </w:r>
          </w:p>
        </w:tc>
        <w:tc>
          <w:tcPr>
            <w:tcW w:w="2135" w:type="dxa"/>
            <w:vAlign w:val="center"/>
          </w:tcPr>
          <w:p w14:paraId="0C688DE0" w14:textId="24B019C6" w:rsidR="00942BB1" w:rsidRPr="00A54E85" w:rsidRDefault="00942BB1" w:rsidP="00942BB1">
            <w:pPr>
              <w:spacing w:line="240" w:lineRule="auto"/>
              <w:jc w:val="left"/>
              <w:rPr>
                <w:rFonts w:ascii="Calibri" w:hAnsi="Calibri" w:cs="Calibri"/>
                <w:color w:val="0070C0"/>
              </w:rPr>
            </w:pPr>
            <w:r>
              <w:rPr>
                <w:rFonts w:ascii="Calibri" w:eastAsia="Calibri" w:hAnsi="Calibri" w:cs="Calibri"/>
              </w:rPr>
              <w:t>Suivi et/ou pronostic</w:t>
            </w:r>
          </w:p>
        </w:tc>
        <w:tc>
          <w:tcPr>
            <w:tcW w:w="6237" w:type="dxa"/>
          </w:tcPr>
          <w:p w14:paraId="2217735D" w14:textId="12D982CB" w:rsidR="00942BB1" w:rsidRPr="00A54E85" w:rsidRDefault="00942BB1" w:rsidP="00942BB1">
            <w:pPr>
              <w:spacing w:line="240" w:lineRule="auto"/>
              <w:rPr>
                <w:rFonts w:ascii="Calibri" w:hAnsi="Calibri" w:cs="Calibri"/>
                <w:color w:val="0070C0"/>
              </w:rPr>
            </w:pPr>
            <w:r>
              <w:rPr>
                <w:rFonts w:ascii="Calibri" w:eastAsia="Calibri" w:hAnsi="Calibri" w:cs="Calibri"/>
              </w:rPr>
              <w:t xml:space="preserve">Savoir identifier les conséquences de l’IRC : insuffisance respiratoire aiguë, polyglobulie, hypertension pulmonaire, rétention </w:t>
            </w:r>
            <w:proofErr w:type="spellStart"/>
            <w:r>
              <w:rPr>
                <w:rFonts w:ascii="Calibri" w:eastAsia="Calibri" w:hAnsi="Calibri" w:cs="Calibri"/>
              </w:rPr>
              <w:t>hydro-sodée</w:t>
            </w:r>
            <w:proofErr w:type="spellEnd"/>
          </w:p>
        </w:tc>
      </w:tr>
    </w:tbl>
    <w:p w14:paraId="4E3A47D8" w14:textId="77777777" w:rsidR="00A54E85" w:rsidRDefault="00A54E85" w:rsidP="00362251"/>
    <w:p w14:paraId="7F04C889" w14:textId="47959A67" w:rsidR="00717C5F" w:rsidRDefault="00876EF8" w:rsidP="00717C5F">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358057FC" w14:textId="77777777" w:rsidR="00A54E85" w:rsidRDefault="00A54E85" w:rsidP="00A54E85">
      <w:pPr>
        <w:spacing w:line="240" w:lineRule="auto"/>
        <w:jc w:val="center"/>
        <w:rPr>
          <w:i/>
          <w:iCs/>
          <w:color w:val="2E74B5"/>
        </w:rPr>
      </w:pPr>
    </w:p>
    <w:p w14:paraId="17BC317F" w14:textId="4BDD28EC" w:rsidR="00A54E85" w:rsidRDefault="00A54E85" w:rsidP="00A54E85">
      <w:pPr>
        <w:spacing w:line="240" w:lineRule="auto"/>
        <w:ind w:left="3"/>
        <w:jc w:val="center"/>
        <w:rPr>
          <w:color w:val="0070C0"/>
        </w:rPr>
      </w:pPr>
      <w:r>
        <w:rPr>
          <w:noProof/>
        </w:rPr>
        <w:drawing>
          <wp:anchor distT="0" distB="0" distL="114300" distR="114300" simplePos="0" relativeHeight="251840512" behindDoc="0" locked="0" layoutInCell="1" hidden="0" allowOverlap="1" wp14:anchorId="29C38B89" wp14:editId="4AD4ABEC">
            <wp:simplePos x="0" y="0"/>
            <wp:positionH relativeFrom="column">
              <wp:posOffset>880994</wp:posOffset>
            </wp:positionH>
            <wp:positionV relativeFrom="paragraph">
              <wp:posOffset>5715</wp:posOffset>
            </wp:positionV>
            <wp:extent cx="136444" cy="138458"/>
            <wp:effectExtent l="0" t="0" r="0" b="0"/>
            <wp:wrapNone/>
            <wp:docPr id="198141560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136444" cy="138458"/>
                    </a:xfrm>
                    <a:prstGeom prst="rect">
                      <a:avLst/>
                    </a:prstGeom>
                    <a:ln/>
                  </pic:spPr>
                </pic:pic>
              </a:graphicData>
            </a:graphic>
          </wp:anchor>
        </w:drawing>
      </w:r>
      <w:r>
        <w:rPr>
          <w:color w:val="00B050"/>
        </w:rPr>
        <w:t>Les informations de rang C apparaissent en vert dans le texte.</w:t>
      </w:r>
    </w:p>
    <w:p w14:paraId="0D637BE3" w14:textId="3C946FA2" w:rsidR="00447337" w:rsidRPr="00447337" w:rsidRDefault="00FE57EC" w:rsidP="00FE57EC">
      <w:pPr>
        <w:spacing w:after="160"/>
        <w:jc w:val="left"/>
        <w:rPr>
          <w:color w:val="0070C0"/>
        </w:rPr>
      </w:pPr>
      <w:r>
        <w:rPr>
          <w:color w:val="0070C0"/>
        </w:rPr>
        <w:br w:type="page"/>
      </w:r>
    </w:p>
    <w:p w14:paraId="1A91D4E0" w14:textId="77777777" w:rsidR="00896114" w:rsidRDefault="00876EF8" w:rsidP="00896114">
      <w:pPr>
        <w:pStyle w:val="Pointscls"/>
      </w:pPr>
      <w:r>
        <w:lastRenderedPageBreak/>
        <w:t>Points clés</w:t>
      </w:r>
    </w:p>
    <w:p w14:paraId="54585C12" w14:textId="77777777" w:rsidR="00FE57EC" w:rsidRPr="00B04C56" w:rsidRDefault="00FE57EC" w:rsidP="00B04C56">
      <w:pPr>
        <w:pStyle w:val="pointscls1"/>
      </w:pPr>
      <w:r w:rsidRPr="00B04C56">
        <w:t>L’insuffisance respiratoire chronique est définie par l’incapacité de l’appareil respiratoire à assurer l’hématose. Le seuil de 70 </w:t>
      </w:r>
      <w:proofErr w:type="spellStart"/>
      <w:r w:rsidRPr="00B04C56">
        <w:t>mmHg</w:t>
      </w:r>
      <w:proofErr w:type="spellEnd"/>
      <w:r w:rsidRPr="00B04C56">
        <w:t xml:space="preserve"> de PaO2 (9,3 kPa), mesurée en air ambiant au repos et à l’état stable, est retenu pour parler d’insuffisance respiratoire chronique.</w:t>
      </w:r>
    </w:p>
    <w:p w14:paraId="5CD0F7B4" w14:textId="77777777" w:rsidR="00FE57EC" w:rsidRPr="00B04C56" w:rsidRDefault="00FE57EC" w:rsidP="00B04C56">
      <w:pPr>
        <w:pStyle w:val="pointscls1"/>
      </w:pPr>
      <w:r w:rsidRPr="00B04C56">
        <w:t>Les principaux signes cliniques de l’insuffisance respiratoire chronique sont la dyspnée et les signes d’hypoventilation alvéolaire, mais le diagnostic d’une insuffisance respiratoire chronique est exclusivement basé sur une gazométrie artérielle.</w:t>
      </w:r>
    </w:p>
    <w:p w14:paraId="57BB9413" w14:textId="77777777" w:rsidR="00FE57EC" w:rsidRPr="00B04C56" w:rsidRDefault="00FE57EC" w:rsidP="00B04C56">
      <w:pPr>
        <w:pStyle w:val="pointscls1"/>
      </w:pPr>
      <w:r w:rsidRPr="00B04C56">
        <w:t>Les trois causes les plus fréquentes d’insuffisance respiratoire chronique sont la BPCO, le syndrome obésité-hypoventilation et les maladies neuromusculaires. Son pronostic est sévère.</w:t>
      </w:r>
    </w:p>
    <w:p w14:paraId="522C7504" w14:textId="77777777" w:rsidR="00FE57EC" w:rsidRPr="00B04C56" w:rsidRDefault="00FE57EC" w:rsidP="00B04C56">
      <w:pPr>
        <w:pStyle w:val="pointscls1"/>
      </w:pPr>
      <w:r w:rsidRPr="00B04C56">
        <w:t>L’orientation étiologique repose sur l’histoire clinique, les explorations fonctionnelles respiratoires et l’imagerie thoracique, permettant de distinguer les insuffisances respiratoires chroniques obstructives, restrictives et mixtes.</w:t>
      </w:r>
    </w:p>
    <w:p w14:paraId="0E920BAC" w14:textId="77777777" w:rsidR="00FE57EC" w:rsidRPr="00B04C56" w:rsidRDefault="00FE57EC" w:rsidP="00B04C56">
      <w:pPr>
        <w:pStyle w:val="pointscls1"/>
      </w:pPr>
      <w:r w:rsidRPr="00B04C56">
        <w:t xml:space="preserve">Le traitement de l’insuffisance respiratoire chronique est essentiellement symptomatique et repose sur des techniques d’assistance respiratoire à domicile : oxygénothérapie et/ou ventilation assistée non invasive ou invasive. </w:t>
      </w:r>
    </w:p>
    <w:p w14:paraId="13D68A92" w14:textId="77777777" w:rsidR="00FE57EC" w:rsidRPr="00B04C56" w:rsidRDefault="00FE57EC" w:rsidP="00B04C56">
      <w:pPr>
        <w:pStyle w:val="pointscls1"/>
      </w:pPr>
      <w:r w:rsidRPr="00B04C56">
        <w:t xml:space="preserve">La prise en charge d’une insuffisance respiratoire chronique implique l’optimisation des traitements pharmacologiques et non pharmacologiques de la maladie respiratoire sous-jacente. </w:t>
      </w:r>
    </w:p>
    <w:p w14:paraId="288EC8A6" w14:textId="77777777" w:rsidR="00FE57EC" w:rsidRPr="00B04C56" w:rsidRDefault="00FE57EC" w:rsidP="00B04C56">
      <w:pPr>
        <w:pStyle w:val="pointscls1"/>
      </w:pPr>
      <w:r w:rsidRPr="00B04C56">
        <w:t xml:space="preserve">Les patients atteints d’insuffisance respiratoire chronique sont exposés au risque d’insuffisance respiratoire aiguë, dont la morbidité et la mortalité sont élevées. </w:t>
      </w:r>
    </w:p>
    <w:p w14:paraId="08B45855" w14:textId="77777777" w:rsidR="00FE57EC" w:rsidRPr="00B04C56" w:rsidRDefault="00FE57EC" w:rsidP="00B04C56">
      <w:pPr>
        <w:pStyle w:val="pointscls1"/>
      </w:pPr>
      <w:r w:rsidRPr="00B04C56">
        <w:t xml:space="preserve">La confirmation à l’état stable d’une hypertension pulmonaire a une signification pronostique péjorative de l’insuffisance respiratoire chronique. </w:t>
      </w:r>
    </w:p>
    <w:p w14:paraId="0D118E1C" w14:textId="77777777" w:rsidR="00896114" w:rsidRDefault="00896114">
      <w:pPr>
        <w:spacing w:after="160"/>
        <w:jc w:val="left"/>
        <w:rPr>
          <w:b/>
          <w:bCs/>
          <w:color w:val="FFFFFF"/>
          <w:sz w:val="22"/>
          <w:szCs w:val="22"/>
        </w:rPr>
      </w:pPr>
      <w:r>
        <w:br w:type="page"/>
      </w:r>
    </w:p>
    <w:p w14:paraId="2458E3FB" w14:textId="6B1F413C" w:rsidR="00FE57EC" w:rsidRDefault="00FE57EC" w:rsidP="00FE57EC">
      <w:pPr>
        <w:pStyle w:val="titredepartie"/>
      </w:pPr>
      <w:r>
        <w:lastRenderedPageBreak/>
        <w:t xml:space="preserve">DÉFINITIONS – ÉPIDÉMIOLOGIE - PHYSIOPATHOLOGIE </w:t>
      </w:r>
      <w:r>
        <w:tab/>
      </w:r>
    </w:p>
    <w:p w14:paraId="012EC976" w14:textId="77777777" w:rsidR="00FE57EC" w:rsidRDefault="00FE57EC" w:rsidP="00FE57EC">
      <w:pPr>
        <w:pStyle w:val="titredesous-partie"/>
      </w:pPr>
      <w:r>
        <w:rPr>
          <w:shd w:val="clear" w:color="auto" w:fill="auto"/>
        </w:rPr>
        <w:t>DEFINITIONS</w:t>
      </w:r>
    </w:p>
    <w:p w14:paraId="7AF36CF6" w14:textId="77777777" w:rsidR="00FE57EC" w:rsidRDefault="00FE57EC" w:rsidP="00FE57EC">
      <w:pPr>
        <w:spacing w:line="276" w:lineRule="auto"/>
        <w:rPr>
          <w:b/>
          <w:bCs/>
        </w:rPr>
      </w:pPr>
      <w:r>
        <w:rPr>
          <w:b/>
          <w:bCs/>
        </w:rPr>
        <w:t>«</w:t>
      </w:r>
      <w:r>
        <w:rPr>
          <w:rFonts w:ascii="Arial" w:eastAsia="Arial" w:hAnsi="Arial" w:cs="Arial"/>
          <w:b/>
          <w:bCs/>
        </w:rPr>
        <w:t> </w:t>
      </w:r>
      <w:r>
        <w:rPr>
          <w:b/>
          <w:bCs/>
        </w:rPr>
        <w:t>Insuffisance respiratoire chronique</w:t>
      </w:r>
      <w:r>
        <w:rPr>
          <w:rFonts w:ascii="Arial" w:eastAsia="Arial" w:hAnsi="Arial" w:cs="Arial"/>
          <w:b/>
          <w:bCs/>
        </w:rPr>
        <w:t> </w:t>
      </w:r>
      <w:r>
        <w:rPr>
          <w:b/>
          <w:bCs/>
        </w:rPr>
        <w:t xml:space="preserve">» </w:t>
      </w:r>
    </w:p>
    <w:p w14:paraId="67A802F1" w14:textId="77777777" w:rsidR="00FE57EC" w:rsidRDefault="00FE57EC" w:rsidP="00FE57EC">
      <w:pPr>
        <w:spacing w:line="276" w:lineRule="auto"/>
      </w:pPr>
      <w:r>
        <w:t>L’insuffisance respiratoire correspond à l’incapacité de l’appareil respiratoire d’assurer les échanges gazeux, c’est-à-dire oxygéner le sang pour répondre aux besoins métaboliques de l’organisme et pour éliminer le gaz carbonique produit par ce métabolisme. C’est la défaillance d’organe respiratoire.</w:t>
      </w:r>
    </w:p>
    <w:p w14:paraId="3385BA62" w14:textId="77777777" w:rsidR="00FE57EC" w:rsidRDefault="00FE57EC" w:rsidP="00FE57EC">
      <w:pPr>
        <w:spacing w:line="276" w:lineRule="auto"/>
      </w:pPr>
      <w:r>
        <w:t xml:space="preserve">L’insuffisance respiratoire </w:t>
      </w:r>
      <w:r>
        <w:rPr>
          <w:u w:val="single"/>
        </w:rPr>
        <w:t>chronique</w:t>
      </w:r>
      <w:r>
        <w:t xml:space="preserve"> (IRC) est définie par la présence d’une hypoxémie avec une PaO</w:t>
      </w:r>
      <w:r>
        <w:rPr>
          <w:vertAlign w:val="subscript"/>
        </w:rPr>
        <w:t>2</w:t>
      </w:r>
      <w:r>
        <w:t xml:space="preserve"> &lt; 70 </w:t>
      </w:r>
      <w:proofErr w:type="spellStart"/>
      <w:r>
        <w:t>mmHg</w:t>
      </w:r>
      <w:proofErr w:type="spellEnd"/>
      <w:r>
        <w:t xml:space="preserve"> (9,3 kPa) mesurée en air ambiant, au repos, à l’état stable, ET à deux reprises ET à plusieurs semaines d’intervalle de façon à confirmer l’état stable (au moins 2 semaines et jusqu’à 3 mois).</w:t>
      </w:r>
    </w:p>
    <w:p w14:paraId="2C4C0B7B" w14:textId="77777777" w:rsidR="00FE57EC" w:rsidRDefault="00FE57EC" w:rsidP="00FE57EC">
      <w:pPr>
        <w:spacing w:line="276" w:lineRule="auto"/>
      </w:pPr>
    </w:p>
    <w:p w14:paraId="7C614B44" w14:textId="77777777" w:rsidR="00FE57EC" w:rsidRDefault="00FE57EC" w:rsidP="00FE57EC">
      <w:pPr>
        <w:spacing w:line="276" w:lineRule="auto"/>
      </w:pPr>
      <w:r>
        <w:rPr>
          <w:b/>
          <w:bCs/>
        </w:rPr>
        <w:t>«</w:t>
      </w:r>
      <w:r>
        <w:rPr>
          <w:rFonts w:ascii="Arial" w:eastAsia="Arial" w:hAnsi="Arial" w:cs="Arial"/>
          <w:b/>
          <w:bCs/>
        </w:rPr>
        <w:t> </w:t>
      </w:r>
      <w:r>
        <w:rPr>
          <w:b/>
          <w:bCs/>
        </w:rPr>
        <w:t>Insuffisance respiratoire chronique hypoxémique</w:t>
      </w:r>
      <w:r>
        <w:rPr>
          <w:rFonts w:ascii="Arial" w:eastAsia="Arial" w:hAnsi="Arial" w:cs="Arial"/>
          <w:b/>
          <w:bCs/>
        </w:rPr>
        <w:t> </w:t>
      </w:r>
      <w:r>
        <w:rPr>
          <w:b/>
          <w:bCs/>
        </w:rPr>
        <w:t>»</w:t>
      </w:r>
      <w:r>
        <w:t xml:space="preserve"> et </w:t>
      </w:r>
      <w:r>
        <w:rPr>
          <w:b/>
          <w:bCs/>
        </w:rPr>
        <w:t>«</w:t>
      </w:r>
      <w:r>
        <w:rPr>
          <w:rFonts w:ascii="Arial" w:eastAsia="Arial" w:hAnsi="Arial" w:cs="Arial"/>
          <w:b/>
          <w:bCs/>
        </w:rPr>
        <w:t> </w:t>
      </w:r>
      <w:r>
        <w:rPr>
          <w:b/>
          <w:bCs/>
        </w:rPr>
        <w:t>Insuffisance respiratoire chronique hypercapnique</w:t>
      </w:r>
      <w:r>
        <w:rPr>
          <w:rFonts w:ascii="Arial" w:eastAsia="Arial" w:hAnsi="Arial" w:cs="Arial"/>
          <w:b/>
          <w:bCs/>
        </w:rPr>
        <w:t> </w:t>
      </w:r>
      <w:r>
        <w:rPr>
          <w:b/>
          <w:bCs/>
        </w:rPr>
        <w:t>»</w:t>
      </w:r>
    </w:p>
    <w:p w14:paraId="3B916AE3" w14:textId="77777777" w:rsidR="00FE57EC" w:rsidRDefault="00FE57EC" w:rsidP="00FE57EC">
      <w:pPr>
        <w:spacing w:line="276" w:lineRule="auto"/>
      </w:pPr>
      <w:r>
        <w:t>Une hypercapnie peut être associée ou non, permettant de distinguer l’IRC hypoxémique (PaO</w:t>
      </w:r>
      <w:r>
        <w:rPr>
          <w:vertAlign w:val="subscript"/>
        </w:rPr>
        <w:t>2</w:t>
      </w:r>
      <w:r>
        <w:t xml:space="preserve"> abaissée avec PaCO</w:t>
      </w:r>
      <w:r>
        <w:rPr>
          <w:vertAlign w:val="subscript"/>
        </w:rPr>
        <w:t>2</w:t>
      </w:r>
      <w:r>
        <w:t xml:space="preserve"> normale ou diminuée) et l’IRC hypercapnique (PaO</w:t>
      </w:r>
      <w:r>
        <w:rPr>
          <w:vertAlign w:val="subscript"/>
        </w:rPr>
        <w:t>2</w:t>
      </w:r>
      <w:r>
        <w:t xml:space="preserve"> abaissée avec élévation de la PaCO</w:t>
      </w:r>
      <w:r>
        <w:rPr>
          <w:vertAlign w:val="subscript"/>
        </w:rPr>
        <w:t>2</w:t>
      </w:r>
      <w:r>
        <w:t>).</w:t>
      </w:r>
    </w:p>
    <w:p w14:paraId="54BE519E" w14:textId="77777777" w:rsidR="00FE57EC" w:rsidRDefault="00FE57EC" w:rsidP="00FE57EC">
      <w:pPr>
        <w:spacing w:line="276" w:lineRule="auto"/>
      </w:pPr>
    </w:p>
    <w:p w14:paraId="244DFB5C" w14:textId="77777777" w:rsidR="00FE57EC" w:rsidRDefault="00FE57EC" w:rsidP="00FE57EC">
      <w:pPr>
        <w:spacing w:line="276" w:lineRule="auto"/>
      </w:pPr>
      <w:r>
        <w:rPr>
          <w:b/>
          <w:bCs/>
        </w:rPr>
        <w:t>«</w:t>
      </w:r>
      <w:r>
        <w:rPr>
          <w:rFonts w:ascii="Arial" w:eastAsia="Arial" w:hAnsi="Arial" w:cs="Arial"/>
          <w:b/>
          <w:bCs/>
        </w:rPr>
        <w:t> </w:t>
      </w:r>
      <w:r>
        <w:rPr>
          <w:b/>
          <w:bCs/>
        </w:rPr>
        <w:t>Insuffisance respiratoire chronique grave</w:t>
      </w:r>
      <w:r>
        <w:rPr>
          <w:rFonts w:ascii="Arial" w:eastAsia="Arial" w:hAnsi="Arial" w:cs="Arial"/>
          <w:b/>
          <w:bCs/>
        </w:rPr>
        <w:t> </w:t>
      </w:r>
      <w:r>
        <w:rPr>
          <w:b/>
          <w:bCs/>
        </w:rPr>
        <w:t>»</w:t>
      </w:r>
    </w:p>
    <w:p w14:paraId="5EB0AD8B" w14:textId="77777777" w:rsidR="00FE57EC" w:rsidRDefault="00FE57EC" w:rsidP="00FE57EC">
      <w:pPr>
        <w:spacing w:line="276" w:lineRule="auto"/>
      </w:pPr>
      <w:r>
        <w:t>On parle d’IRC grave en présence d’une PaO</w:t>
      </w:r>
      <w:r>
        <w:rPr>
          <w:vertAlign w:val="subscript"/>
        </w:rPr>
        <w:t>2</w:t>
      </w:r>
      <w:r>
        <w:t xml:space="preserve"> &lt; 60 mm Hg (8,0 kPa) mesurée en air ambiant, au repos et à l’état stable. L’IRC grave est reconnue par la Haute Autorité de Santé (HAS) comme un des critères de prescription de l’oxygénothérapie de longue durée et donne droit à une exonération du ticket modérateur au titre de l’ALD 14. </w:t>
      </w:r>
    </w:p>
    <w:p w14:paraId="3AFEA562" w14:textId="77777777" w:rsidR="00FE57EC" w:rsidRDefault="00FE57EC" w:rsidP="00FE57EC">
      <w:pPr>
        <w:spacing w:line="276" w:lineRule="auto"/>
      </w:pPr>
    </w:p>
    <w:p w14:paraId="561B6C0E" w14:textId="77777777" w:rsidR="00FE57EC" w:rsidRDefault="00FE57EC" w:rsidP="00FE57EC">
      <w:pPr>
        <w:pStyle w:val="titredesous-partie"/>
      </w:pPr>
      <w:r>
        <w:rPr>
          <w:shd w:val="clear" w:color="auto" w:fill="auto"/>
        </w:rPr>
        <w:t>EPIDEMIOLOGIE</w:t>
      </w:r>
    </w:p>
    <w:p w14:paraId="750D2B8D" w14:textId="77777777" w:rsidR="00FE57EC" w:rsidRDefault="00FE57EC" w:rsidP="00FE57EC">
      <w:pPr>
        <w:spacing w:line="276" w:lineRule="auto"/>
      </w:pPr>
      <w:r>
        <w:t>Il existe de nombreuses causes d’IRC. Les trois plus fréquentes sont la BPCO, le syndrome obésité-hypoventilation et les maladies neuromusculaires.</w:t>
      </w:r>
    </w:p>
    <w:p w14:paraId="154CB198" w14:textId="77777777" w:rsidR="00FE57EC" w:rsidRDefault="00FE57EC" w:rsidP="00FE57EC">
      <w:pPr>
        <w:spacing w:line="276" w:lineRule="auto"/>
      </w:pPr>
      <w:r>
        <w:rPr>
          <w:noProof/>
        </w:rPr>
        <w:drawing>
          <wp:anchor distT="0" distB="0" distL="114300" distR="114300" simplePos="0" relativeHeight="251858944" behindDoc="0" locked="0" layoutInCell="1" hidden="0" allowOverlap="1" wp14:anchorId="185D3874" wp14:editId="79AD9A91">
            <wp:simplePos x="0" y="0"/>
            <wp:positionH relativeFrom="column">
              <wp:posOffset>-264491</wp:posOffset>
            </wp:positionH>
            <wp:positionV relativeFrom="paragraph">
              <wp:posOffset>160020</wp:posOffset>
            </wp:positionV>
            <wp:extent cx="153670" cy="137160"/>
            <wp:effectExtent l="0" t="0" r="0" b="0"/>
            <wp:wrapSquare wrapText="bothSides" distT="0" distB="0" distL="114300" distR="11430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3A45C0F4" w14:textId="77777777" w:rsidR="00FE57EC" w:rsidRDefault="00FE57EC" w:rsidP="00FE57EC">
      <w:pPr>
        <w:spacing w:line="276" w:lineRule="auto"/>
        <w:rPr>
          <w:color w:val="0070C0"/>
        </w:rPr>
      </w:pPr>
      <w:r>
        <w:rPr>
          <w:color w:val="0070C0"/>
        </w:rPr>
        <w:t>En France, près de 300</w:t>
      </w:r>
      <w:r>
        <w:rPr>
          <w:rFonts w:ascii="Arial" w:eastAsia="Arial" w:hAnsi="Arial" w:cs="Arial"/>
          <w:color w:val="0070C0"/>
        </w:rPr>
        <w:t> </w:t>
      </w:r>
      <w:r>
        <w:rPr>
          <w:color w:val="0070C0"/>
        </w:rPr>
        <w:t>000 patients souffrent d’IRC grave (codés ALD (affection longue durée) numéro 14 selon l’assurance maladie).</w:t>
      </w:r>
    </w:p>
    <w:p w14:paraId="210814FA" w14:textId="77777777" w:rsidR="00FE57EC" w:rsidRDefault="00FE57EC" w:rsidP="00FE57EC">
      <w:pPr>
        <w:spacing w:line="276" w:lineRule="auto"/>
        <w:rPr>
          <w:color w:val="0070C0"/>
        </w:rPr>
      </w:pPr>
    </w:p>
    <w:tbl>
      <w:tblPr>
        <w:tblW w:w="9067"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ayout w:type="fixed"/>
        <w:tblLook w:val="0400" w:firstRow="0" w:lastRow="0" w:firstColumn="0" w:lastColumn="0" w:noHBand="0" w:noVBand="1"/>
      </w:tblPr>
      <w:tblGrid>
        <w:gridCol w:w="9067"/>
      </w:tblGrid>
      <w:tr w:rsidR="00FE57EC" w14:paraId="446EFFD4" w14:textId="77777777" w:rsidTr="00FE57EC">
        <w:trPr>
          <w:trHeight w:val="1077"/>
        </w:trPr>
        <w:tc>
          <w:tcPr>
            <w:tcW w:w="9067" w:type="dxa"/>
            <w:vAlign w:val="center"/>
          </w:tcPr>
          <w:p w14:paraId="3DD4D7FC" w14:textId="11556133" w:rsidR="00FE57EC" w:rsidRDefault="00FE57EC" w:rsidP="00FE57EC">
            <w:pPr>
              <w:spacing w:line="276" w:lineRule="auto"/>
              <w:rPr>
                <w:color w:val="0070C0"/>
              </w:rPr>
            </w:pPr>
            <w:r>
              <w:rPr>
                <w:color w:val="0070C0"/>
              </w:rPr>
              <w:t xml:space="preserve">Pour bien citer les bons mots clefs, il est important de retenir pour une pathologie respiratoire chronique les seuils de PaO2 : </w:t>
            </w:r>
          </w:p>
          <w:p w14:paraId="7DBA9946" w14:textId="0C1D5997" w:rsidR="00FE57EC" w:rsidRDefault="00FE57EC" w:rsidP="00FE57EC">
            <w:pPr>
              <w:spacing w:line="276" w:lineRule="auto"/>
              <w:rPr>
                <w:color w:val="0070C0"/>
              </w:rPr>
            </w:pPr>
            <w:r>
              <w:rPr>
                <w:noProof/>
              </w:rPr>
              <w:drawing>
                <wp:anchor distT="0" distB="0" distL="114300" distR="114300" simplePos="0" relativeHeight="251859968" behindDoc="0" locked="0" layoutInCell="1" hidden="0" allowOverlap="1" wp14:anchorId="28ECAA3C" wp14:editId="2EE91138">
                  <wp:simplePos x="0" y="0"/>
                  <wp:positionH relativeFrom="column">
                    <wp:posOffset>-770890</wp:posOffset>
                  </wp:positionH>
                  <wp:positionV relativeFrom="paragraph">
                    <wp:posOffset>-7620</wp:posOffset>
                  </wp:positionV>
                  <wp:extent cx="656590" cy="665480"/>
                  <wp:effectExtent l="0" t="0" r="0" b="0"/>
                  <wp:wrapSquare wrapText="bothSides" distT="0" distB="0" distL="114300" distR="11430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656590" cy="665480"/>
                          </a:xfrm>
                          <a:prstGeom prst="rect">
                            <a:avLst/>
                          </a:prstGeom>
                          <a:ln/>
                        </pic:spPr>
                      </pic:pic>
                    </a:graphicData>
                  </a:graphic>
                  <wp14:sizeRelH relativeFrom="margin">
                    <wp14:pctWidth>0</wp14:pctWidth>
                  </wp14:sizeRelH>
                  <wp14:sizeRelV relativeFrom="margin">
                    <wp14:pctHeight>0</wp14:pctHeight>
                  </wp14:sizeRelV>
                </wp:anchor>
              </w:drawing>
            </w:r>
            <w:r>
              <w:rPr>
                <w:color w:val="0070C0"/>
              </w:rPr>
              <w:t>- PaO</w:t>
            </w:r>
            <w:r w:rsidRPr="00FE57EC">
              <w:rPr>
                <w:color w:val="0070C0"/>
                <w:vertAlign w:val="subscript"/>
              </w:rPr>
              <w:t>2</w:t>
            </w:r>
            <w:r>
              <w:rPr>
                <w:color w:val="0070C0"/>
              </w:rPr>
              <w:t xml:space="preserve"> &lt; 80 </w:t>
            </w:r>
            <w:proofErr w:type="spellStart"/>
            <w:r>
              <w:rPr>
                <w:color w:val="0070C0"/>
              </w:rPr>
              <w:t>mmHg</w:t>
            </w:r>
            <w:proofErr w:type="spellEnd"/>
            <w:r>
              <w:rPr>
                <w:color w:val="0070C0"/>
              </w:rPr>
              <w:t xml:space="preserve"> = «</w:t>
            </w:r>
            <w:r>
              <w:rPr>
                <w:rFonts w:ascii="Arial" w:eastAsia="Arial" w:hAnsi="Arial" w:cs="Arial"/>
                <w:color w:val="0070C0"/>
              </w:rPr>
              <w:t> </w:t>
            </w:r>
            <w:r>
              <w:rPr>
                <w:color w:val="0070C0"/>
              </w:rPr>
              <w:t>hypoxémie</w:t>
            </w:r>
            <w:r>
              <w:rPr>
                <w:rFonts w:ascii="Arial" w:eastAsia="Arial" w:hAnsi="Arial" w:cs="Arial"/>
                <w:color w:val="0070C0"/>
              </w:rPr>
              <w:t> </w:t>
            </w:r>
            <w:r>
              <w:rPr>
                <w:color w:val="0070C0"/>
              </w:rPr>
              <w:t>».</w:t>
            </w:r>
          </w:p>
          <w:p w14:paraId="2BB25ECC" w14:textId="5D02BEAF" w:rsidR="00FE57EC" w:rsidRDefault="00FE57EC" w:rsidP="00FE57EC">
            <w:pPr>
              <w:spacing w:line="276" w:lineRule="auto"/>
              <w:rPr>
                <w:color w:val="0070C0"/>
              </w:rPr>
            </w:pPr>
            <w:r>
              <w:rPr>
                <w:color w:val="0070C0"/>
              </w:rPr>
              <w:t>- PaO</w:t>
            </w:r>
            <w:r w:rsidRPr="00FE57EC">
              <w:rPr>
                <w:color w:val="0070C0"/>
                <w:vertAlign w:val="subscript"/>
              </w:rPr>
              <w:t>2</w:t>
            </w:r>
            <w:r>
              <w:rPr>
                <w:color w:val="0070C0"/>
              </w:rPr>
              <w:t xml:space="preserve"> &lt; 70 </w:t>
            </w:r>
            <w:proofErr w:type="spellStart"/>
            <w:r>
              <w:rPr>
                <w:color w:val="0070C0"/>
              </w:rPr>
              <w:t>mmHg</w:t>
            </w:r>
            <w:proofErr w:type="spellEnd"/>
            <w:r>
              <w:rPr>
                <w:color w:val="0070C0"/>
              </w:rPr>
              <w:t xml:space="preserve"> = «</w:t>
            </w:r>
            <w:r>
              <w:rPr>
                <w:rFonts w:ascii="Arial" w:eastAsia="Arial" w:hAnsi="Arial" w:cs="Arial"/>
                <w:color w:val="0070C0"/>
              </w:rPr>
              <w:t> </w:t>
            </w:r>
            <w:r>
              <w:rPr>
                <w:color w:val="0070C0"/>
              </w:rPr>
              <w:t>insuffisance respiratoire chronique</w:t>
            </w:r>
            <w:r>
              <w:rPr>
                <w:rFonts w:ascii="Arial" w:eastAsia="Arial" w:hAnsi="Arial" w:cs="Arial"/>
                <w:color w:val="0070C0"/>
              </w:rPr>
              <w:t> </w:t>
            </w:r>
            <w:r>
              <w:rPr>
                <w:color w:val="0070C0"/>
              </w:rPr>
              <w:t>».</w:t>
            </w:r>
          </w:p>
          <w:p w14:paraId="0FDD7A37" w14:textId="4B9F61C9" w:rsidR="00FE57EC" w:rsidRDefault="00FE57EC" w:rsidP="00FE57EC">
            <w:pPr>
              <w:spacing w:line="276" w:lineRule="auto"/>
              <w:rPr>
                <w:color w:val="0070C0"/>
              </w:rPr>
            </w:pPr>
            <w:r>
              <w:rPr>
                <w:color w:val="0070C0"/>
              </w:rPr>
              <w:t>- PaO</w:t>
            </w:r>
            <w:r w:rsidRPr="00FE57EC">
              <w:rPr>
                <w:color w:val="0070C0"/>
                <w:vertAlign w:val="subscript"/>
              </w:rPr>
              <w:t>2</w:t>
            </w:r>
            <w:r>
              <w:rPr>
                <w:color w:val="0070C0"/>
              </w:rPr>
              <w:t xml:space="preserve"> &lt; 60 </w:t>
            </w:r>
            <w:proofErr w:type="spellStart"/>
            <w:r>
              <w:rPr>
                <w:color w:val="0070C0"/>
              </w:rPr>
              <w:t>mmHg</w:t>
            </w:r>
            <w:proofErr w:type="spellEnd"/>
            <w:r>
              <w:rPr>
                <w:color w:val="0070C0"/>
              </w:rPr>
              <w:t xml:space="preserve"> = «</w:t>
            </w:r>
            <w:r>
              <w:rPr>
                <w:rFonts w:ascii="Arial" w:eastAsia="Arial" w:hAnsi="Arial" w:cs="Arial"/>
                <w:color w:val="0070C0"/>
              </w:rPr>
              <w:t> </w:t>
            </w:r>
            <w:r>
              <w:rPr>
                <w:color w:val="0070C0"/>
              </w:rPr>
              <w:t>insuffisance respiratoire grave</w:t>
            </w:r>
            <w:r>
              <w:rPr>
                <w:rFonts w:ascii="Arial" w:eastAsia="Arial" w:hAnsi="Arial" w:cs="Arial"/>
                <w:color w:val="0070C0"/>
              </w:rPr>
              <w:t> </w:t>
            </w:r>
            <w:r w:rsidR="00D7068A">
              <w:rPr>
                <w:rFonts w:ascii="Arial" w:eastAsia="Arial" w:hAnsi="Arial" w:cs="Arial"/>
                <w:color w:val="0070C0"/>
              </w:rPr>
              <w:t xml:space="preserve">+ </w:t>
            </w:r>
            <w:r w:rsidR="00D7068A" w:rsidRPr="00D7068A">
              <w:rPr>
                <w:rFonts w:ascii="Arial" w:eastAsia="Arial" w:hAnsi="Arial" w:cs="Arial"/>
                <w:color w:val="0070C0"/>
                <w:sz w:val="15"/>
                <w:szCs w:val="15"/>
              </w:rPr>
              <w:t xml:space="preserve">indication O2 sous certaines </w:t>
            </w:r>
            <w:proofErr w:type="gramStart"/>
            <w:r w:rsidR="00D7068A" w:rsidRPr="00D7068A">
              <w:rPr>
                <w:rFonts w:ascii="Arial" w:eastAsia="Arial" w:hAnsi="Arial" w:cs="Arial"/>
                <w:color w:val="0070C0"/>
                <w:sz w:val="15"/>
                <w:szCs w:val="15"/>
              </w:rPr>
              <w:t>conditions</w:t>
            </w:r>
            <w:r>
              <w:rPr>
                <w:color w:val="0070C0"/>
              </w:rPr>
              <w:t>»</w:t>
            </w:r>
            <w:proofErr w:type="gramEnd"/>
            <w:r>
              <w:rPr>
                <w:color w:val="0070C0"/>
              </w:rPr>
              <w:t>.</w:t>
            </w:r>
          </w:p>
          <w:p w14:paraId="4E198779" w14:textId="2B437CAE" w:rsidR="00FE57EC" w:rsidRDefault="00FE57EC" w:rsidP="00FE57EC">
            <w:pPr>
              <w:spacing w:line="276" w:lineRule="auto"/>
              <w:rPr>
                <w:sz w:val="16"/>
                <w:szCs w:val="16"/>
              </w:rPr>
            </w:pPr>
            <w:r>
              <w:rPr>
                <w:color w:val="0070C0"/>
              </w:rPr>
              <w:t>- PaO</w:t>
            </w:r>
            <w:r w:rsidRPr="00FE57EC">
              <w:rPr>
                <w:color w:val="0070C0"/>
                <w:vertAlign w:val="subscript"/>
              </w:rPr>
              <w:t>2</w:t>
            </w:r>
            <w:r>
              <w:rPr>
                <w:color w:val="0070C0"/>
              </w:rPr>
              <w:t xml:space="preserve"> &lt; 55 </w:t>
            </w:r>
            <w:proofErr w:type="spellStart"/>
            <w:r>
              <w:rPr>
                <w:color w:val="0070C0"/>
              </w:rPr>
              <w:t>mmHg</w:t>
            </w:r>
            <w:proofErr w:type="spellEnd"/>
            <w:r>
              <w:rPr>
                <w:color w:val="0070C0"/>
              </w:rPr>
              <w:t>= «</w:t>
            </w:r>
            <w:r>
              <w:rPr>
                <w:rFonts w:ascii="Arial" w:eastAsia="Arial" w:hAnsi="Arial" w:cs="Arial"/>
                <w:color w:val="0070C0"/>
              </w:rPr>
              <w:t> </w:t>
            </w:r>
            <w:r>
              <w:rPr>
                <w:color w:val="0070C0"/>
              </w:rPr>
              <w:t>indication à oxygène au long cours</w:t>
            </w:r>
            <w:r>
              <w:rPr>
                <w:rFonts w:ascii="Arial" w:eastAsia="Arial" w:hAnsi="Arial" w:cs="Arial"/>
                <w:color w:val="0070C0"/>
              </w:rPr>
              <w:t> </w:t>
            </w:r>
            <w:r>
              <w:rPr>
                <w:color w:val="0070C0"/>
              </w:rPr>
              <w:t>».</w:t>
            </w:r>
          </w:p>
        </w:tc>
      </w:tr>
    </w:tbl>
    <w:p w14:paraId="71593DCE" w14:textId="77777777" w:rsidR="00FE57EC" w:rsidRDefault="00FE57EC" w:rsidP="00FE57EC">
      <w:pPr>
        <w:spacing w:line="276" w:lineRule="auto"/>
      </w:pPr>
    </w:p>
    <w:p w14:paraId="07A50738" w14:textId="77777777" w:rsidR="00FE57EC" w:rsidRDefault="00FE57EC" w:rsidP="00FE57EC">
      <w:pPr>
        <w:pStyle w:val="titredesous-partie"/>
      </w:pPr>
      <w:r>
        <w:rPr>
          <w:shd w:val="clear" w:color="auto" w:fill="auto"/>
        </w:rPr>
        <w:t>PHYSIOPATHOLOGIE</w:t>
      </w:r>
    </w:p>
    <w:p w14:paraId="61129ABA" w14:textId="77777777" w:rsidR="00FE57EC" w:rsidRPr="00FE57EC" w:rsidRDefault="00FE57EC" w:rsidP="00FE57EC">
      <w:pPr>
        <w:pBdr>
          <w:top w:val="nil"/>
          <w:left w:val="nil"/>
          <w:bottom w:val="nil"/>
          <w:right w:val="nil"/>
          <w:between w:val="nil"/>
        </w:pBdr>
        <w:spacing w:after="240" w:line="276" w:lineRule="auto"/>
        <w:jc w:val="left"/>
        <w:rPr>
          <w:b/>
          <w:bCs/>
          <w:caps/>
        </w:rPr>
      </w:pPr>
      <w:r w:rsidRPr="00FE57EC">
        <w:rPr>
          <w:b/>
          <w:bCs/>
          <w:caps/>
        </w:rPr>
        <w:t>Mécanismes des anomalies gazométriques</w:t>
      </w:r>
    </w:p>
    <w:p w14:paraId="21C6B1EE" w14:textId="77777777" w:rsidR="00FE57EC" w:rsidRDefault="00FE57EC" w:rsidP="00FE57EC">
      <w:pPr>
        <w:spacing w:line="276" w:lineRule="auto"/>
        <w:rPr>
          <w:color w:val="0070C0"/>
        </w:rPr>
      </w:pPr>
      <w:r>
        <w:rPr>
          <w:color w:val="0070C0"/>
        </w:rPr>
        <w:t xml:space="preserve">Trois principaux mécanismes physiopathologiques peuvent être à l’origine de l’hypoxémie chronique. Ces mécanismes peuvent être associés chez un même patient. </w:t>
      </w:r>
    </w:p>
    <w:p w14:paraId="5EA4C190" w14:textId="77777777" w:rsidR="00FE57EC" w:rsidRDefault="00FE57EC" w:rsidP="00FE57EC">
      <w:pPr>
        <w:spacing w:line="276" w:lineRule="auto"/>
        <w:rPr>
          <w:color w:val="0070C0"/>
        </w:rPr>
      </w:pPr>
    </w:p>
    <w:p w14:paraId="71A2A3CD" w14:textId="77777777" w:rsidR="00FE57EC" w:rsidRDefault="00FE57EC" w:rsidP="00FE57EC">
      <w:pPr>
        <w:pStyle w:val="Titre2"/>
      </w:pPr>
      <w:r>
        <w:t>Anomalies des rapports ventilation/perfusion (VA/Q)</w:t>
      </w:r>
    </w:p>
    <w:p w14:paraId="0772DE4C" w14:textId="77777777" w:rsidR="00FE57EC" w:rsidRDefault="00FE57EC" w:rsidP="00FE57EC">
      <w:pPr>
        <w:pStyle w:val="Titre3"/>
      </w:pPr>
      <w:r>
        <w:t>Effet shunt</w:t>
      </w:r>
    </w:p>
    <w:p w14:paraId="5CC6AF99" w14:textId="77777777" w:rsidR="00FE57EC" w:rsidRDefault="00FE57EC" w:rsidP="00FE57EC">
      <w:pPr>
        <w:spacing w:line="276" w:lineRule="auto"/>
        <w:rPr>
          <w:color w:val="0070C0"/>
        </w:rPr>
      </w:pPr>
      <w:r>
        <w:rPr>
          <w:color w:val="0070C0"/>
        </w:rPr>
        <w:t>On parle d’effet shunt lorsque certaines alvéoles sont normalement perfusées, mais mal ventilées (Figure 1B).</w:t>
      </w:r>
    </w:p>
    <w:p w14:paraId="4D4B5DF1" w14:textId="77777777" w:rsidR="00FE57EC" w:rsidRDefault="00FE57EC" w:rsidP="00FE57EC">
      <w:pPr>
        <w:spacing w:line="276" w:lineRule="auto"/>
        <w:rPr>
          <w:color w:val="0070C0"/>
        </w:rPr>
      </w:pPr>
      <w:r>
        <w:rPr>
          <w:color w:val="0070C0"/>
        </w:rPr>
        <w:t>- L’effet shunt survient dans les pathologies responsables d’anomalies des voies aériennes distales (par exemple la BPCO).</w:t>
      </w:r>
    </w:p>
    <w:p w14:paraId="5F5FCCD4" w14:textId="77777777" w:rsidR="00FE57EC" w:rsidRDefault="00FE57EC" w:rsidP="00FE57EC">
      <w:pPr>
        <w:spacing w:line="276" w:lineRule="auto"/>
        <w:rPr>
          <w:color w:val="0070C0"/>
        </w:rPr>
      </w:pPr>
      <w:r>
        <w:rPr>
          <w:color w:val="0070C0"/>
        </w:rPr>
        <w:t>- L’hypoxie alvéolaire induit une vasoconstriction des artérioles adjacentes qui tend à diminuer l’effet shunt, mais peut avoir des effets délétères à long terme : hypertension pulmonaire, insuffisance ventriculaire droite.</w:t>
      </w:r>
    </w:p>
    <w:p w14:paraId="7941B887" w14:textId="77777777" w:rsidR="00FE57EC" w:rsidRDefault="00FE57EC" w:rsidP="00FE57EC">
      <w:pPr>
        <w:spacing w:line="276" w:lineRule="auto"/>
        <w:rPr>
          <w:color w:val="0070C0"/>
        </w:rPr>
      </w:pPr>
      <w:r>
        <w:rPr>
          <w:color w:val="0070C0"/>
        </w:rPr>
        <w:t>- Dans l’effet shunt, l’hypoxémie est associée à une hypocapnie, car les centres respiratoires tendent à corriger l’hypoxémie par une augmentation de la ventilation alvéolaire. Au fil du temps, si le travail ventilatoire augmente, une normocapnie peut apparaître. Puis, à un stade avancé de la maladie respiratoire, quand le travail ventilatoire dépasse les capacités maximales de compensation du patient, que l’on voit apparaître une hypercapnie.</w:t>
      </w:r>
    </w:p>
    <w:p w14:paraId="6951193D" w14:textId="77777777" w:rsidR="00FE57EC" w:rsidRDefault="00FE57EC" w:rsidP="00FE57EC">
      <w:pPr>
        <w:spacing w:line="276" w:lineRule="auto"/>
        <w:rPr>
          <w:color w:val="0070C0"/>
        </w:rPr>
      </w:pPr>
      <w:r>
        <w:rPr>
          <w:color w:val="0070C0"/>
        </w:rPr>
        <w:t>- En présence d’un effet shunt, de faibles débits d’oxygène suffisent en général à corriger l’hypoxémie.</w:t>
      </w:r>
    </w:p>
    <w:p w14:paraId="67421F49" w14:textId="77777777" w:rsidR="00FE57EC" w:rsidRDefault="00FE57EC" w:rsidP="00FE57EC">
      <w:pPr>
        <w:spacing w:line="276" w:lineRule="auto"/>
        <w:rPr>
          <w:color w:val="0070C0"/>
        </w:rPr>
      </w:pPr>
    </w:p>
    <w:p w14:paraId="6EB72376" w14:textId="77777777" w:rsidR="00FE57EC" w:rsidRPr="00FE57EC" w:rsidRDefault="00FE57EC" w:rsidP="00FE57EC">
      <w:pPr>
        <w:pStyle w:val="lgende"/>
        <w:rPr>
          <w:color w:val="0070C0"/>
        </w:rPr>
      </w:pPr>
      <w:r w:rsidRPr="00FE57EC">
        <w:rPr>
          <w:color w:val="0070C0"/>
        </w:rPr>
        <w:t>Figure 1 : Les principaux mécanismes de l’hypoxémie.</w:t>
      </w:r>
    </w:p>
    <w:p w14:paraId="02D84DF2" w14:textId="77777777" w:rsidR="00FE57EC" w:rsidRDefault="00FE57EC" w:rsidP="00FE57EC">
      <w:pPr>
        <w:spacing w:line="276" w:lineRule="auto"/>
        <w:jc w:val="center"/>
        <w:rPr>
          <w:b/>
          <w:bCs/>
          <w:i/>
          <w:iCs/>
        </w:rPr>
      </w:pPr>
      <w:r>
        <w:rPr>
          <w:b/>
          <w:bCs/>
          <w:i/>
          <w:iCs/>
          <w:noProof/>
        </w:rPr>
        <w:lastRenderedPageBreak/>
        <w:drawing>
          <wp:inline distT="0" distB="0" distL="0" distR="0" wp14:anchorId="5E695561" wp14:editId="09FD632D">
            <wp:extent cx="5454772" cy="4531517"/>
            <wp:effectExtent l="0" t="0" r="0" b="0"/>
            <wp:docPr id="3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l="3378" r="7493"/>
                    <a:stretch>
                      <a:fillRect/>
                    </a:stretch>
                  </pic:blipFill>
                  <pic:spPr>
                    <a:xfrm>
                      <a:off x="0" y="0"/>
                      <a:ext cx="5454772" cy="4531517"/>
                    </a:xfrm>
                    <a:prstGeom prst="rect">
                      <a:avLst/>
                    </a:prstGeom>
                    <a:ln/>
                  </pic:spPr>
                </pic:pic>
              </a:graphicData>
            </a:graphic>
          </wp:inline>
        </w:drawing>
      </w:r>
    </w:p>
    <w:p w14:paraId="3F32FBEE" w14:textId="77777777" w:rsidR="00FE57EC" w:rsidRDefault="00FE57EC" w:rsidP="00FE57EC">
      <w:pPr>
        <w:spacing w:line="276" w:lineRule="auto"/>
        <w:rPr>
          <w:color w:val="0070C0"/>
        </w:rPr>
      </w:pPr>
    </w:p>
    <w:p w14:paraId="21F7AA17" w14:textId="77777777" w:rsidR="00FE57EC" w:rsidRDefault="00FE57EC" w:rsidP="00FE57EC">
      <w:pPr>
        <w:pStyle w:val="Titre3"/>
      </w:pPr>
      <w:r>
        <w:t xml:space="preserve">Shunt vrai </w:t>
      </w:r>
    </w:p>
    <w:p w14:paraId="3544E98E" w14:textId="77777777" w:rsidR="00FE57EC" w:rsidRDefault="00FE57EC" w:rsidP="00FE57EC">
      <w:pPr>
        <w:spacing w:line="276" w:lineRule="auto"/>
        <w:rPr>
          <w:color w:val="0070C0"/>
        </w:rPr>
      </w:pPr>
      <w:r>
        <w:rPr>
          <w:color w:val="0070C0"/>
        </w:rPr>
        <w:t>On parle de shunt vrai :</w:t>
      </w:r>
    </w:p>
    <w:p w14:paraId="2FC0C514" w14:textId="77777777" w:rsidR="00FE57EC" w:rsidRDefault="00FE57EC" w:rsidP="00FE57EC">
      <w:pPr>
        <w:spacing w:line="276" w:lineRule="auto"/>
        <w:rPr>
          <w:color w:val="0070C0"/>
        </w:rPr>
      </w:pPr>
      <w:r>
        <w:rPr>
          <w:color w:val="0070C0"/>
        </w:rPr>
        <w:t xml:space="preserve">- Lorsqu’il existe une communication anatomique entre la circulation droite et gauche (shunt vrai </w:t>
      </w:r>
      <w:r>
        <w:rPr>
          <w:b/>
          <w:bCs/>
          <w:color w:val="0070C0"/>
          <w:u w:val="single"/>
        </w:rPr>
        <w:t>anatomique</w:t>
      </w:r>
      <w:r>
        <w:rPr>
          <w:color w:val="0070C0"/>
        </w:rPr>
        <w:t>) (Figure 1C), par exemple :</w:t>
      </w:r>
    </w:p>
    <w:p w14:paraId="1155579A" w14:textId="77777777" w:rsidR="00FE57EC" w:rsidRDefault="00FE57EC">
      <w:pPr>
        <w:numPr>
          <w:ilvl w:val="0"/>
          <w:numId w:val="22"/>
        </w:numPr>
        <w:spacing w:line="276" w:lineRule="auto"/>
        <w:ind w:left="284" w:hanging="142"/>
        <w:rPr>
          <w:color w:val="0070C0"/>
        </w:rPr>
      </w:pPr>
      <w:r>
        <w:rPr>
          <w:color w:val="0070C0"/>
        </w:rPr>
        <w:t>Cardiopathie cyanogène (avec shunt droit-gauche).</w:t>
      </w:r>
    </w:p>
    <w:p w14:paraId="120E5F6D" w14:textId="77777777" w:rsidR="00FE57EC" w:rsidRDefault="00FE57EC">
      <w:pPr>
        <w:numPr>
          <w:ilvl w:val="0"/>
          <w:numId w:val="22"/>
        </w:numPr>
        <w:spacing w:line="276" w:lineRule="auto"/>
        <w:ind w:left="284" w:hanging="142"/>
        <w:rPr>
          <w:color w:val="0070C0"/>
        </w:rPr>
      </w:pPr>
      <w:r>
        <w:rPr>
          <w:color w:val="0070C0"/>
        </w:rPr>
        <w:t>Foramen ovale perméable.</w:t>
      </w:r>
    </w:p>
    <w:p w14:paraId="4C6FA014" w14:textId="77777777" w:rsidR="00FE57EC" w:rsidRDefault="00FE57EC">
      <w:pPr>
        <w:numPr>
          <w:ilvl w:val="0"/>
          <w:numId w:val="22"/>
        </w:numPr>
        <w:spacing w:line="276" w:lineRule="auto"/>
        <w:ind w:left="284" w:hanging="142"/>
        <w:rPr>
          <w:color w:val="0070C0"/>
        </w:rPr>
      </w:pPr>
      <w:r>
        <w:rPr>
          <w:color w:val="0070C0"/>
        </w:rPr>
        <w:t xml:space="preserve">Malformation </w:t>
      </w:r>
      <w:proofErr w:type="spellStart"/>
      <w:r>
        <w:rPr>
          <w:color w:val="0070C0"/>
        </w:rPr>
        <w:t>artério-veineuse</w:t>
      </w:r>
      <w:proofErr w:type="spellEnd"/>
      <w:r>
        <w:rPr>
          <w:color w:val="0070C0"/>
        </w:rPr>
        <w:t xml:space="preserve"> pulmonaire.</w:t>
      </w:r>
    </w:p>
    <w:p w14:paraId="715D040B" w14:textId="77777777" w:rsidR="00FE57EC" w:rsidRDefault="00FE57EC" w:rsidP="00FE57EC">
      <w:pPr>
        <w:spacing w:line="276" w:lineRule="auto"/>
        <w:rPr>
          <w:color w:val="0070C0"/>
        </w:rPr>
      </w:pPr>
      <w:r>
        <w:rPr>
          <w:color w:val="0070C0"/>
        </w:rPr>
        <w:t xml:space="preserve">- Lorsque certaines unités pulmonaires sont perfusées normalement, mais non ventilées (shunt vrai </w:t>
      </w:r>
      <w:r>
        <w:rPr>
          <w:b/>
          <w:bCs/>
          <w:color w:val="0070C0"/>
          <w:u w:val="single"/>
        </w:rPr>
        <w:t>fonctionnel</w:t>
      </w:r>
      <w:r>
        <w:rPr>
          <w:color w:val="0070C0"/>
        </w:rPr>
        <w:t>) (Figure 1D).</w:t>
      </w:r>
    </w:p>
    <w:p w14:paraId="1870FF9A" w14:textId="77777777" w:rsidR="00FE57EC" w:rsidRDefault="00FE57EC">
      <w:pPr>
        <w:numPr>
          <w:ilvl w:val="0"/>
          <w:numId w:val="22"/>
        </w:numPr>
        <w:pBdr>
          <w:top w:val="nil"/>
          <w:left w:val="nil"/>
          <w:bottom w:val="nil"/>
          <w:right w:val="nil"/>
          <w:between w:val="nil"/>
        </w:pBdr>
        <w:spacing w:line="276" w:lineRule="auto"/>
        <w:ind w:left="284" w:hanging="142"/>
        <w:rPr>
          <w:color w:val="0070C0"/>
        </w:rPr>
      </w:pPr>
      <w:r>
        <w:rPr>
          <w:color w:val="0070C0"/>
        </w:rPr>
        <w:t>En raison d’un obstacle bronchique : atélectasie lobaire ou pulmonaire.</w:t>
      </w:r>
    </w:p>
    <w:p w14:paraId="420A761C" w14:textId="77777777" w:rsidR="00FE57EC" w:rsidRDefault="00FE57EC">
      <w:pPr>
        <w:numPr>
          <w:ilvl w:val="0"/>
          <w:numId w:val="22"/>
        </w:numPr>
        <w:pBdr>
          <w:top w:val="nil"/>
          <w:left w:val="nil"/>
          <w:bottom w:val="nil"/>
          <w:right w:val="nil"/>
          <w:between w:val="nil"/>
        </w:pBdr>
        <w:spacing w:line="276" w:lineRule="auto"/>
        <w:ind w:left="284" w:hanging="142"/>
        <w:rPr>
          <w:color w:val="0070C0"/>
        </w:rPr>
      </w:pPr>
      <w:r>
        <w:rPr>
          <w:color w:val="0070C0"/>
        </w:rPr>
        <w:t>En raison d’un comblement alvéolaire : pneumonie, œdème pulmonaire aigu hémodynamique ou lésionnel (syndrome de détresse respiratoire aiguë, SDRA).</w:t>
      </w:r>
    </w:p>
    <w:p w14:paraId="2661EEBC" w14:textId="77777777" w:rsidR="00FE57EC" w:rsidRDefault="00FE57EC" w:rsidP="00FE57EC">
      <w:pPr>
        <w:spacing w:line="276" w:lineRule="auto"/>
        <w:rPr>
          <w:color w:val="0070C0"/>
        </w:rPr>
      </w:pPr>
      <w:r>
        <w:rPr>
          <w:color w:val="0070C0"/>
        </w:rPr>
        <w:t>Ces causes sont plutôt vues en situation d’Insuffisance respiratoire aiguë (voir item 359).</w:t>
      </w:r>
    </w:p>
    <w:p w14:paraId="16105E9E" w14:textId="77777777" w:rsidR="00FE57EC" w:rsidRDefault="00FE57EC" w:rsidP="00FE57EC">
      <w:pPr>
        <w:spacing w:line="276" w:lineRule="auto"/>
        <w:rPr>
          <w:b/>
          <w:bCs/>
          <w:color w:val="0070C0"/>
        </w:rPr>
      </w:pPr>
      <w:r>
        <w:rPr>
          <w:color w:val="0070C0"/>
        </w:rPr>
        <w:t>- À l’inverse de l’effet shunt, l’oxygénothérapie (y compris à haut débit) ne parvient pas ou mal à corriger l’hypoxémie au cours d’un shunt vrai.</w:t>
      </w:r>
    </w:p>
    <w:p w14:paraId="0D0A8F58" w14:textId="77777777" w:rsidR="00FE57EC" w:rsidRDefault="00FE57EC" w:rsidP="00FE57EC">
      <w:pPr>
        <w:spacing w:line="276" w:lineRule="auto"/>
        <w:ind w:left="360"/>
        <w:rPr>
          <w:b/>
          <w:bCs/>
          <w:color w:val="0070C0"/>
        </w:rPr>
      </w:pPr>
    </w:p>
    <w:p w14:paraId="6929E26E" w14:textId="77777777" w:rsidR="00FE57EC" w:rsidRDefault="00FE57EC" w:rsidP="00FE57EC">
      <w:pPr>
        <w:pStyle w:val="Titre2"/>
      </w:pPr>
      <w:r>
        <w:t>Hypoventilation alvéolaire</w:t>
      </w:r>
    </w:p>
    <w:p w14:paraId="06E09066" w14:textId="77777777" w:rsidR="00FE57EC" w:rsidRDefault="00FE57EC" w:rsidP="00FE57EC">
      <w:pPr>
        <w:spacing w:line="276" w:lineRule="auto"/>
        <w:rPr>
          <w:color w:val="0070C0"/>
        </w:rPr>
      </w:pPr>
      <w:r>
        <w:rPr>
          <w:color w:val="0070C0"/>
        </w:rPr>
        <w:lastRenderedPageBreak/>
        <w:t>La diminution du renouvellement de l’air alvéolaire entraîne une hypoxémie et une hypercapnie (PaCO</w:t>
      </w:r>
      <w:r>
        <w:rPr>
          <w:color w:val="0070C0"/>
          <w:vertAlign w:val="subscript"/>
        </w:rPr>
        <w:t>2</w:t>
      </w:r>
      <w:sdt>
        <w:sdtPr>
          <w:tag w:val="goog_rdk_1"/>
          <w:id w:val="1083288181"/>
        </w:sdtPr>
        <w:sdtContent>
          <w:r>
            <w:rPr>
              <w:rFonts w:ascii="Arial Unicode MS" w:eastAsia="Arial Unicode MS" w:hAnsi="Arial Unicode MS" w:cs="Arial Unicode MS"/>
              <w:color w:val="0070C0"/>
            </w:rPr>
            <w:t xml:space="preserve"> ≥ 45 mm Hg soit 6,0 kPa).</w:t>
          </w:r>
        </w:sdtContent>
      </w:sdt>
    </w:p>
    <w:p w14:paraId="701044E3" w14:textId="77777777" w:rsidR="00FE57EC" w:rsidRDefault="00FE57EC" w:rsidP="00FE57EC">
      <w:pPr>
        <w:spacing w:line="276" w:lineRule="auto"/>
        <w:rPr>
          <w:color w:val="0070C0"/>
        </w:rPr>
      </w:pPr>
    </w:p>
    <w:p w14:paraId="51C36D0F" w14:textId="77777777" w:rsidR="00FE57EC" w:rsidRPr="00FE57EC" w:rsidRDefault="00FE57EC" w:rsidP="00FE57EC">
      <w:pPr>
        <w:pStyle w:val="Paragraphedeliste"/>
        <w:numPr>
          <w:ilvl w:val="0"/>
          <w:numId w:val="1"/>
        </w:numPr>
        <w:spacing w:after="240"/>
        <w:outlineLvl w:val="2"/>
        <w:rPr>
          <w:b/>
          <w:bCs/>
          <w:vanish/>
        </w:rPr>
      </w:pPr>
    </w:p>
    <w:p w14:paraId="3B2F9C45" w14:textId="316D863C" w:rsidR="00FE57EC" w:rsidRDefault="00FE57EC" w:rsidP="00FE57EC">
      <w:pPr>
        <w:pStyle w:val="Titre3"/>
      </w:pPr>
      <w:r>
        <w:t xml:space="preserve">Hypoventilation alvéolaire pure </w:t>
      </w:r>
    </w:p>
    <w:p w14:paraId="2C8ADACF" w14:textId="77777777" w:rsidR="00FE57EC" w:rsidRDefault="00FE57EC" w:rsidP="00FE57EC">
      <w:pPr>
        <w:spacing w:line="276" w:lineRule="auto"/>
        <w:rPr>
          <w:color w:val="0070C0"/>
        </w:rPr>
      </w:pPr>
      <w:r>
        <w:rPr>
          <w:color w:val="0070C0"/>
        </w:rPr>
        <w:t>Elle survient au cours des maladies affectant la commande centrale de la pompe ventilatoire (par exemple le surdosage en opiacés) ou affectant la pompe ventilatoire elle-même (faiblesse diaphragmatique et des autres muscles inspiratoires, déformation anatomique et/ou diminution de compliance thoraco-pulmonaire (voir infra= étiologies de l’IRC)).</w:t>
      </w:r>
    </w:p>
    <w:p w14:paraId="65F90592" w14:textId="77777777" w:rsidR="00FE57EC" w:rsidRDefault="00FE57EC" w:rsidP="00FE57EC">
      <w:pPr>
        <w:spacing w:line="276" w:lineRule="auto"/>
        <w:rPr>
          <w:color w:val="0070C0"/>
        </w:rPr>
      </w:pPr>
      <w:r>
        <w:rPr>
          <w:color w:val="0070C0"/>
        </w:rPr>
        <w:t>Dans l’hypoventilation alvéolaire pure, l’importance de l’hypoxémie est proportionnelle à l’élévation de la PaCO</w:t>
      </w:r>
      <w:r>
        <w:rPr>
          <w:color w:val="0070C0"/>
          <w:vertAlign w:val="subscript"/>
        </w:rPr>
        <w:t>2</w:t>
      </w:r>
      <w:r>
        <w:rPr>
          <w:color w:val="0070C0"/>
        </w:rPr>
        <w:t xml:space="preserve">. </w:t>
      </w:r>
    </w:p>
    <w:p w14:paraId="1D57B218" w14:textId="77777777" w:rsidR="00FE57EC" w:rsidRDefault="00FE57EC" w:rsidP="00FE57EC">
      <w:pPr>
        <w:spacing w:line="276" w:lineRule="auto"/>
        <w:rPr>
          <w:color w:val="0070C0"/>
        </w:rPr>
      </w:pPr>
      <w:r>
        <w:rPr>
          <w:color w:val="0070C0"/>
        </w:rPr>
        <w:t>- La différence alvéolo-artérielle reste normale : PaO</w:t>
      </w:r>
      <w:r>
        <w:rPr>
          <w:color w:val="0070C0"/>
          <w:vertAlign w:val="subscript"/>
        </w:rPr>
        <w:t>2</w:t>
      </w:r>
      <w:r>
        <w:rPr>
          <w:color w:val="0070C0"/>
        </w:rPr>
        <w:t xml:space="preserve"> + PaCO</w:t>
      </w:r>
      <w:r>
        <w:rPr>
          <w:color w:val="0070C0"/>
          <w:vertAlign w:val="subscript"/>
        </w:rPr>
        <w:t>2</w:t>
      </w:r>
      <w:r>
        <w:rPr>
          <w:color w:val="0070C0"/>
        </w:rPr>
        <w:t xml:space="preserve"> &gt; 120 </w:t>
      </w:r>
      <w:proofErr w:type="spellStart"/>
      <w:r>
        <w:rPr>
          <w:color w:val="0070C0"/>
        </w:rPr>
        <w:t>mmHg</w:t>
      </w:r>
      <w:proofErr w:type="spellEnd"/>
      <w:r>
        <w:rPr>
          <w:color w:val="0070C0"/>
        </w:rPr>
        <w:t xml:space="preserve"> (16 kPa).</w:t>
      </w:r>
    </w:p>
    <w:p w14:paraId="48580674" w14:textId="77777777" w:rsidR="00FE57EC" w:rsidRDefault="00FE57EC" w:rsidP="00FE57EC">
      <w:pPr>
        <w:spacing w:line="276" w:lineRule="auto"/>
        <w:rPr>
          <w:i/>
          <w:iCs/>
        </w:rPr>
      </w:pPr>
      <w:r>
        <w:rPr>
          <w:color w:val="0070C0"/>
        </w:rPr>
        <w:t>- ATTENTION, cette formule est une approximation qui peut être utilisée seulement si le patient est en air ambiant (il ne reçoit pas d’O</w:t>
      </w:r>
      <w:r>
        <w:rPr>
          <w:color w:val="0070C0"/>
          <w:vertAlign w:val="subscript"/>
        </w:rPr>
        <w:t>2</w:t>
      </w:r>
      <w:r>
        <w:rPr>
          <w:color w:val="0070C0"/>
        </w:rPr>
        <w:t>) et si le parenchyme pulmonaire est sain</w:t>
      </w:r>
      <w:r>
        <w:rPr>
          <w:i/>
          <w:iCs/>
        </w:rPr>
        <w:t>.</w:t>
      </w:r>
    </w:p>
    <w:p w14:paraId="73FC71C5" w14:textId="77777777" w:rsidR="00FE57EC" w:rsidRDefault="00FE57EC" w:rsidP="00FE57EC">
      <w:pPr>
        <w:spacing w:line="276" w:lineRule="auto"/>
        <w:rPr>
          <w:i/>
          <w:iCs/>
        </w:rPr>
      </w:pPr>
    </w:p>
    <w:p w14:paraId="36A58668" w14:textId="77777777" w:rsidR="00FE57EC" w:rsidRDefault="00FE57EC" w:rsidP="00FE57EC">
      <w:pPr>
        <w:pStyle w:val="Titre3"/>
      </w:pPr>
      <w:r>
        <w:t>Hypoventilation par Effet espace mort</w:t>
      </w:r>
    </w:p>
    <w:p w14:paraId="072216BB" w14:textId="77777777" w:rsidR="00FE57EC" w:rsidRDefault="00FE57EC" w:rsidP="00FE57EC">
      <w:pPr>
        <w:spacing w:line="276" w:lineRule="auto"/>
        <w:rPr>
          <w:color w:val="0070C0"/>
        </w:rPr>
      </w:pPr>
      <w:r>
        <w:rPr>
          <w:color w:val="0070C0"/>
        </w:rPr>
        <w:t>L’espace mort (V</w:t>
      </w:r>
      <w:r>
        <w:rPr>
          <w:color w:val="0070C0"/>
          <w:vertAlign w:val="subscript"/>
        </w:rPr>
        <w:t>D</w:t>
      </w:r>
      <w:r>
        <w:rPr>
          <w:color w:val="0070C0"/>
        </w:rPr>
        <w:t>) correspond à la proportion du volume courant (V</w:t>
      </w:r>
      <w:r>
        <w:rPr>
          <w:color w:val="0070C0"/>
          <w:vertAlign w:val="subscript"/>
        </w:rPr>
        <w:t>t</w:t>
      </w:r>
      <w:r>
        <w:rPr>
          <w:color w:val="0070C0"/>
        </w:rPr>
        <w:t>) qui ne participe pas aux échanges gazeux. C’est la somme de l’</w:t>
      </w:r>
      <w:r>
        <w:rPr>
          <w:b/>
          <w:bCs/>
          <w:color w:val="0070C0"/>
        </w:rPr>
        <w:t>espace mort anatomique</w:t>
      </w:r>
      <w:r>
        <w:rPr>
          <w:color w:val="0070C0"/>
        </w:rPr>
        <w:t xml:space="preserve"> (voies aériennes de conduction, de l’ordre de 150 </w:t>
      </w:r>
      <w:proofErr w:type="spellStart"/>
      <w:r>
        <w:rPr>
          <w:color w:val="0070C0"/>
        </w:rPr>
        <w:t>mL</w:t>
      </w:r>
      <w:proofErr w:type="spellEnd"/>
      <w:r>
        <w:rPr>
          <w:color w:val="0070C0"/>
        </w:rPr>
        <w:t xml:space="preserve"> chez l’adulte) et de l’</w:t>
      </w:r>
      <w:r>
        <w:rPr>
          <w:b/>
          <w:bCs/>
          <w:color w:val="0070C0"/>
        </w:rPr>
        <w:t xml:space="preserve">espace mort alvéolaire </w:t>
      </w:r>
      <w:r>
        <w:rPr>
          <w:color w:val="0070C0"/>
        </w:rPr>
        <w:t>(négligeable chez le sujet sain).</w:t>
      </w:r>
    </w:p>
    <w:p w14:paraId="41CEBA55" w14:textId="77777777" w:rsidR="00FE57EC" w:rsidRDefault="00FE57EC" w:rsidP="00FE57EC">
      <w:pPr>
        <w:spacing w:line="276" w:lineRule="auto"/>
        <w:rPr>
          <w:color w:val="0070C0"/>
        </w:rPr>
      </w:pPr>
      <w:r>
        <w:rPr>
          <w:color w:val="0070C0"/>
        </w:rPr>
        <w:t>L’espace mort alvéolaire correspond aux unités pulmonaires normalement ventilées, mais mal perfusées :</w:t>
      </w:r>
    </w:p>
    <w:p w14:paraId="32CF23C6" w14:textId="77777777" w:rsidR="00FE57EC" w:rsidRDefault="00FE57EC" w:rsidP="00FE57EC">
      <w:pPr>
        <w:spacing w:line="276" w:lineRule="auto"/>
        <w:rPr>
          <w:color w:val="0070C0"/>
        </w:rPr>
      </w:pPr>
      <w:r>
        <w:rPr>
          <w:color w:val="0070C0"/>
        </w:rPr>
        <w:t>- Obstruction vasculaire (embolie pulmonaire).</w:t>
      </w:r>
    </w:p>
    <w:p w14:paraId="4F9C350D" w14:textId="77777777" w:rsidR="00FE57EC" w:rsidRDefault="00FE57EC" w:rsidP="00FE57EC">
      <w:pPr>
        <w:spacing w:line="276" w:lineRule="auto"/>
        <w:rPr>
          <w:color w:val="0070C0"/>
        </w:rPr>
      </w:pPr>
      <w:r>
        <w:rPr>
          <w:color w:val="0070C0"/>
        </w:rPr>
        <w:t>- Territoire emphysémateux avec destruction capillaire &gt; destruction alvéolaire.</w:t>
      </w:r>
    </w:p>
    <w:p w14:paraId="36AC108F" w14:textId="77777777" w:rsidR="00FE57EC" w:rsidRDefault="00FE57EC" w:rsidP="00FE57EC">
      <w:pPr>
        <w:spacing w:line="276" w:lineRule="auto"/>
        <w:rPr>
          <w:color w:val="0070C0"/>
        </w:rPr>
      </w:pPr>
      <w:r>
        <w:rPr>
          <w:color w:val="0070C0"/>
        </w:rPr>
        <w:t xml:space="preserve">Cependant, l’hypercapnie n’est observée que dans les formes les plus sévères de ces deux affections. </w:t>
      </w:r>
    </w:p>
    <w:p w14:paraId="020419D1" w14:textId="77777777" w:rsidR="00FE57EC" w:rsidRDefault="00FE57EC" w:rsidP="00FE57EC">
      <w:pPr>
        <w:spacing w:line="276" w:lineRule="auto"/>
        <w:rPr>
          <w:color w:val="0070C0"/>
        </w:rPr>
      </w:pP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9067"/>
      </w:tblGrid>
      <w:tr w:rsidR="00FE57EC" w14:paraId="7F620F18" w14:textId="77777777" w:rsidTr="00FE57EC">
        <w:trPr>
          <w:trHeight w:val="1210"/>
        </w:trPr>
        <w:tc>
          <w:tcPr>
            <w:tcW w:w="9067" w:type="dxa"/>
            <w:vAlign w:val="center"/>
          </w:tcPr>
          <w:p w14:paraId="725F0E8F" w14:textId="77777777" w:rsidR="00FE57EC" w:rsidRDefault="00FE57EC" w:rsidP="00FE57EC">
            <w:pPr>
              <w:spacing w:line="276" w:lineRule="auto"/>
              <w:ind w:left="360"/>
              <w:rPr>
                <w:sz w:val="10"/>
                <w:szCs w:val="10"/>
              </w:rPr>
            </w:pPr>
            <w:r>
              <w:rPr>
                <w:noProof/>
              </w:rPr>
              <w:drawing>
                <wp:anchor distT="0" distB="0" distL="114300" distR="114300" simplePos="0" relativeHeight="251860992" behindDoc="0" locked="0" layoutInCell="1" hidden="0" allowOverlap="1" wp14:anchorId="58D26F44" wp14:editId="1C036D34">
                  <wp:simplePos x="0" y="0"/>
                  <wp:positionH relativeFrom="column">
                    <wp:posOffset>-513714</wp:posOffset>
                  </wp:positionH>
                  <wp:positionV relativeFrom="paragraph">
                    <wp:posOffset>-123824</wp:posOffset>
                  </wp:positionV>
                  <wp:extent cx="580390" cy="699135"/>
                  <wp:effectExtent l="0" t="0" r="0" b="0"/>
                  <wp:wrapSquare wrapText="bothSides" distT="0" distB="0" distL="114300" distR="114300"/>
                  <wp:docPr id="2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80390" cy="699135"/>
                          </a:xfrm>
                          <a:prstGeom prst="rect">
                            <a:avLst/>
                          </a:prstGeom>
                          <a:ln/>
                        </pic:spPr>
                      </pic:pic>
                    </a:graphicData>
                  </a:graphic>
                </wp:anchor>
              </w:drawing>
            </w:r>
          </w:p>
          <w:p w14:paraId="43BE8787" w14:textId="77777777" w:rsidR="00FE57EC" w:rsidRDefault="00FE57EC" w:rsidP="00FE57EC">
            <w:pPr>
              <w:spacing w:line="276" w:lineRule="auto"/>
              <w:ind w:left="360"/>
            </w:pPr>
            <w:r>
              <w:t>L’embolie pulmonaire crée un espace mort alvéolaire dans les territoires embolisés, mais en raison de l’hyperventilation du malade et la redirection du débit sanguin vers des zones non embolisées la PaCO2 va baisser et entraîner un effet shunt sur les GDS.</w:t>
            </w:r>
          </w:p>
        </w:tc>
      </w:tr>
    </w:tbl>
    <w:p w14:paraId="6FEA0FBD" w14:textId="77777777" w:rsidR="00FE57EC" w:rsidRDefault="00FE57EC" w:rsidP="00FE57EC">
      <w:pPr>
        <w:spacing w:line="276" w:lineRule="auto"/>
      </w:pPr>
    </w:p>
    <w:p w14:paraId="016AC7F7" w14:textId="2A6B5503" w:rsidR="00FE57EC" w:rsidRDefault="00FE57EC" w:rsidP="00FE57EC">
      <w:pPr>
        <w:pStyle w:val="Titre2"/>
      </w:pPr>
      <w:r>
        <w:rPr>
          <w:noProof/>
        </w:rPr>
        <w:drawing>
          <wp:anchor distT="0" distB="0" distL="114300" distR="114300" simplePos="0" relativeHeight="251862016" behindDoc="0" locked="0" layoutInCell="1" hidden="0" allowOverlap="1" wp14:anchorId="4A813423" wp14:editId="233C65B7">
            <wp:simplePos x="0" y="0"/>
            <wp:positionH relativeFrom="column">
              <wp:posOffset>-264958</wp:posOffset>
            </wp:positionH>
            <wp:positionV relativeFrom="paragraph">
              <wp:posOffset>321310</wp:posOffset>
            </wp:positionV>
            <wp:extent cx="153670" cy="137160"/>
            <wp:effectExtent l="0" t="0" r="0" b="0"/>
            <wp:wrapSquare wrapText="bothSides" distT="0" distB="0" distL="114300" distR="11430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t>Atteinte de la diffusion alvéolo-capillaire des gaz respiratoires</w:t>
      </w:r>
    </w:p>
    <w:p w14:paraId="7885FD68" w14:textId="3674659F" w:rsidR="00FE57EC" w:rsidRDefault="00FE57EC" w:rsidP="00FE57EC">
      <w:pPr>
        <w:spacing w:line="276" w:lineRule="auto"/>
        <w:rPr>
          <w:color w:val="0070C0"/>
        </w:rPr>
      </w:pPr>
      <w:r>
        <w:rPr>
          <w:color w:val="0070C0"/>
        </w:rPr>
        <w:t>La diffusion alvéolo-capillaire des gaz respiratoires dépend de l’intégrité de la membrane et de la surface disponible pour les échanges.</w:t>
      </w:r>
    </w:p>
    <w:p w14:paraId="47578534" w14:textId="77777777" w:rsidR="00FE57EC" w:rsidRDefault="00FE57EC" w:rsidP="00FE57EC">
      <w:pPr>
        <w:spacing w:line="276" w:lineRule="auto"/>
        <w:rPr>
          <w:color w:val="0070C0"/>
        </w:rPr>
      </w:pPr>
      <w:r>
        <w:rPr>
          <w:color w:val="0070C0"/>
        </w:rPr>
        <w:t>La diminution de la diffusion des gaz peut être liée à :</w:t>
      </w:r>
    </w:p>
    <w:p w14:paraId="039DFC07" w14:textId="77777777" w:rsidR="00FE57EC" w:rsidRDefault="00FE57EC" w:rsidP="00FE57EC">
      <w:pPr>
        <w:spacing w:line="276" w:lineRule="auto"/>
        <w:rPr>
          <w:color w:val="0070C0"/>
        </w:rPr>
      </w:pPr>
      <w:r>
        <w:rPr>
          <w:color w:val="0070C0"/>
        </w:rPr>
        <w:t>- Une altération de la membrane (pneumopathies interstitielles diffuses).</w:t>
      </w:r>
    </w:p>
    <w:p w14:paraId="5EDA4DBE" w14:textId="77777777" w:rsidR="00FE57EC" w:rsidRDefault="00FE57EC" w:rsidP="00FE57EC">
      <w:pPr>
        <w:spacing w:line="276" w:lineRule="auto"/>
        <w:rPr>
          <w:color w:val="0070C0"/>
        </w:rPr>
      </w:pPr>
      <w:r>
        <w:rPr>
          <w:color w:val="0070C0"/>
        </w:rPr>
        <w:t>- Une réduction de la surface d’échange sur le versant alvéolaire (emphysème) ou sur le versant vasculaire pulmonaire (hypertension pulmonaire).</w:t>
      </w:r>
    </w:p>
    <w:p w14:paraId="77E54A83" w14:textId="77777777" w:rsidR="00FE57EC" w:rsidRDefault="00FE57EC" w:rsidP="00FE57EC">
      <w:pPr>
        <w:spacing w:line="276" w:lineRule="auto"/>
        <w:rPr>
          <w:color w:val="0070C0"/>
        </w:rPr>
      </w:pPr>
    </w:p>
    <w:p w14:paraId="32687149" w14:textId="77777777" w:rsidR="00FE57EC" w:rsidRDefault="00FE57EC" w:rsidP="00FE57EC">
      <w:pPr>
        <w:spacing w:line="276" w:lineRule="auto"/>
        <w:rPr>
          <w:color w:val="0070C0"/>
        </w:rPr>
      </w:pPr>
      <w:r>
        <w:rPr>
          <w:color w:val="0070C0"/>
        </w:rPr>
        <w:t>L’atteinte de la diffusion alvéolo-capillaire se traduit par une hypoxémie à l’effort, lorsque le temps de contact sang-air alvéolaire est réduit, et une hypo ou une normocapnie (la diffusibilité du CO</w:t>
      </w:r>
      <w:r>
        <w:rPr>
          <w:color w:val="0070C0"/>
          <w:vertAlign w:val="subscript"/>
        </w:rPr>
        <w:t>2</w:t>
      </w:r>
      <w:r>
        <w:rPr>
          <w:color w:val="0070C0"/>
        </w:rPr>
        <w:t xml:space="preserve"> étant 20 fois plus importante que celle de l’O</w:t>
      </w:r>
      <w:r>
        <w:rPr>
          <w:color w:val="0070C0"/>
          <w:vertAlign w:val="subscript"/>
        </w:rPr>
        <w:t>2</w:t>
      </w:r>
      <w:r>
        <w:rPr>
          <w:color w:val="0070C0"/>
        </w:rPr>
        <w:t>).</w:t>
      </w:r>
    </w:p>
    <w:p w14:paraId="6BCED45C" w14:textId="77777777" w:rsidR="00FE57EC" w:rsidRDefault="00FE57EC" w:rsidP="00FE57EC">
      <w:pPr>
        <w:spacing w:line="276" w:lineRule="auto"/>
        <w:rPr>
          <w:smallCaps/>
        </w:rPr>
      </w:pPr>
    </w:p>
    <w:p w14:paraId="78B5BB43" w14:textId="77777777" w:rsidR="00FE57EC" w:rsidRPr="00FE57EC" w:rsidRDefault="00FE57EC" w:rsidP="00FE57EC">
      <w:pPr>
        <w:pBdr>
          <w:top w:val="nil"/>
          <w:left w:val="nil"/>
          <w:bottom w:val="nil"/>
          <w:right w:val="nil"/>
          <w:between w:val="nil"/>
        </w:pBdr>
        <w:spacing w:after="240" w:line="276" w:lineRule="auto"/>
        <w:jc w:val="left"/>
        <w:rPr>
          <w:b/>
          <w:bCs/>
          <w:caps/>
        </w:rPr>
      </w:pPr>
      <w:r w:rsidRPr="00FE57EC">
        <w:rPr>
          <w:b/>
          <w:bCs/>
          <w:caps/>
        </w:rPr>
        <w:t>Conséquences cliniques de l’insuffisance respiratoire chronique</w:t>
      </w:r>
    </w:p>
    <w:p w14:paraId="6EDE04A1" w14:textId="77777777" w:rsidR="00FE57EC" w:rsidRDefault="00FE57EC">
      <w:pPr>
        <w:pStyle w:val="1titre"/>
        <w:numPr>
          <w:ilvl w:val="0"/>
          <w:numId w:val="23"/>
        </w:numPr>
      </w:pPr>
      <w:r>
        <w:lastRenderedPageBreak/>
        <w:t xml:space="preserve">Polyglobulie </w:t>
      </w:r>
    </w:p>
    <w:p w14:paraId="5664881A" w14:textId="77777777" w:rsidR="00FE57EC" w:rsidRDefault="00FE57EC" w:rsidP="00FE57EC">
      <w:pPr>
        <w:spacing w:line="276" w:lineRule="auto"/>
      </w:pPr>
      <w:r>
        <w:t xml:space="preserve">Elle a pour objectif le maintien d’un contenu artériel en oxygène normal </w:t>
      </w:r>
    </w:p>
    <w:p w14:paraId="69C631C6" w14:textId="77777777" w:rsidR="00FE57EC" w:rsidRDefault="00FE57EC" w:rsidP="00FE57EC">
      <w:pPr>
        <w:spacing w:line="276" w:lineRule="auto"/>
      </w:pPr>
      <w:r>
        <w:t>- Phénomène adaptatif, inconstant.</w:t>
      </w:r>
    </w:p>
    <w:p w14:paraId="73705B15" w14:textId="77777777" w:rsidR="00FE57EC" w:rsidRDefault="00FE57EC" w:rsidP="00FE57EC">
      <w:pPr>
        <w:spacing w:line="276" w:lineRule="auto"/>
      </w:pPr>
      <w:r>
        <w:t>- Due à la production par le rein d’érythropoïétine (EPO), en réponse à l’hypoxémie chronique.</w:t>
      </w:r>
    </w:p>
    <w:p w14:paraId="386332E2" w14:textId="77777777" w:rsidR="00FE57EC" w:rsidRDefault="00FE57EC" w:rsidP="00FE57EC">
      <w:pPr>
        <w:spacing w:line="276" w:lineRule="auto"/>
      </w:pPr>
      <w:r>
        <w:t>- Entraîne une hyperviscosité sanguine et un risque accru de thromboses artérielles ou veineuses.</w:t>
      </w:r>
    </w:p>
    <w:p w14:paraId="50A3E47D" w14:textId="77777777" w:rsidR="00FE57EC" w:rsidRDefault="00FE57EC" w:rsidP="00FE57EC">
      <w:pPr>
        <w:spacing w:line="276" w:lineRule="auto"/>
      </w:pPr>
    </w:p>
    <w:p w14:paraId="3A8167D4" w14:textId="45B43115" w:rsidR="00FE57EC" w:rsidRDefault="00FE57EC" w:rsidP="00FE57EC">
      <w:pPr>
        <w:pStyle w:val="Titre2"/>
      </w:pPr>
      <w:r>
        <w:rPr>
          <w:noProof/>
        </w:rPr>
        <w:drawing>
          <wp:anchor distT="0" distB="0" distL="114300" distR="114300" simplePos="0" relativeHeight="251863040" behindDoc="0" locked="0" layoutInCell="1" hidden="0" allowOverlap="1" wp14:anchorId="523121B1" wp14:editId="14CB813E">
            <wp:simplePos x="0" y="0"/>
            <wp:positionH relativeFrom="margin">
              <wp:posOffset>-267172</wp:posOffset>
            </wp:positionH>
            <wp:positionV relativeFrom="paragraph">
              <wp:posOffset>322580</wp:posOffset>
            </wp:positionV>
            <wp:extent cx="153670" cy="137160"/>
            <wp:effectExtent l="0" t="0" r="0" b="0"/>
            <wp:wrapSquare wrapText="bothSides" distT="0" distB="0" distL="114300" distR="11430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t>Rétention hydrosodée</w:t>
      </w:r>
    </w:p>
    <w:p w14:paraId="1178F062" w14:textId="765F6BB7" w:rsidR="00FE57EC" w:rsidRDefault="00FE57EC" w:rsidP="00FE57EC">
      <w:pPr>
        <w:spacing w:line="276" w:lineRule="auto"/>
        <w:rPr>
          <w:color w:val="0070C0"/>
        </w:rPr>
      </w:pPr>
      <w:r>
        <w:rPr>
          <w:color w:val="0070C0"/>
        </w:rPr>
        <w:t>La présence d’œdèmes déclives est fréquente.</w:t>
      </w:r>
    </w:p>
    <w:p w14:paraId="67AA9433" w14:textId="77777777" w:rsidR="00FE57EC" w:rsidRDefault="00FE57EC" w:rsidP="00FE57EC">
      <w:pPr>
        <w:spacing w:line="276" w:lineRule="auto"/>
        <w:rPr>
          <w:color w:val="0070C0"/>
        </w:rPr>
      </w:pPr>
      <w:r>
        <w:rPr>
          <w:color w:val="0070C0"/>
        </w:rPr>
        <w:t>Elle est attribuée à des anomalies de régulation du facteur natriurétique.</w:t>
      </w:r>
    </w:p>
    <w:p w14:paraId="16045600" w14:textId="77777777" w:rsidR="00FE57EC" w:rsidRDefault="00FE57EC" w:rsidP="00FE57EC">
      <w:pPr>
        <w:spacing w:line="276" w:lineRule="auto"/>
        <w:rPr>
          <w:color w:val="0070C0"/>
        </w:rPr>
      </w:pPr>
      <w:r>
        <w:rPr>
          <w:color w:val="0070C0"/>
        </w:rPr>
        <w:t>Elle peut aussi être la conséquence d’une hypertension pulmonaire secondaire (voir infra).</w:t>
      </w:r>
    </w:p>
    <w:p w14:paraId="3F63FFF0" w14:textId="77777777" w:rsidR="00FE57EC" w:rsidRDefault="00FE57EC" w:rsidP="00FE57EC">
      <w:pPr>
        <w:spacing w:line="276" w:lineRule="auto"/>
      </w:pPr>
    </w:p>
    <w:p w14:paraId="7A5E6E07" w14:textId="77777777" w:rsidR="00FE57EC" w:rsidRDefault="00FE57EC" w:rsidP="00FE57EC">
      <w:pPr>
        <w:pStyle w:val="Titre2"/>
      </w:pPr>
      <w:r>
        <w:t xml:space="preserve">Hypertension pulmonaire </w:t>
      </w:r>
    </w:p>
    <w:p w14:paraId="13B00C90" w14:textId="77777777" w:rsidR="00FE57EC" w:rsidRDefault="00FE57EC" w:rsidP="00FE57EC">
      <w:pPr>
        <w:spacing w:line="276" w:lineRule="auto"/>
      </w:pPr>
      <w:r>
        <w:t>L’augmentation de la résistance vasculaire pulmonaire est due à la vasoconstriction pulmonaire hypoxique qui entraîne à long terme un remodelage vasculaire.</w:t>
      </w:r>
    </w:p>
    <w:p w14:paraId="63DEBA44" w14:textId="315D5646" w:rsidR="00FE57EC" w:rsidRDefault="00FE57EC" w:rsidP="00FE57EC">
      <w:pPr>
        <w:spacing w:line="276" w:lineRule="auto"/>
      </w:pPr>
      <w:r>
        <w:rPr>
          <w:noProof/>
        </w:rPr>
        <w:drawing>
          <wp:anchor distT="0" distB="0" distL="114300" distR="114300" simplePos="0" relativeHeight="251864064" behindDoc="0" locked="0" layoutInCell="1" hidden="0" allowOverlap="1" wp14:anchorId="40224222" wp14:editId="39D89C90">
            <wp:simplePos x="0" y="0"/>
            <wp:positionH relativeFrom="column">
              <wp:posOffset>-261620</wp:posOffset>
            </wp:positionH>
            <wp:positionV relativeFrom="paragraph">
              <wp:posOffset>170815</wp:posOffset>
            </wp:positionV>
            <wp:extent cx="153670" cy="137160"/>
            <wp:effectExtent l="0" t="0" r="0" b="0"/>
            <wp:wrapSquare wrapText="bothSides" distT="0" distB="0" distL="114300" distR="11430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729CA741" w14:textId="2E7AA01D" w:rsidR="00FE57EC" w:rsidRDefault="00FE57EC" w:rsidP="00FE57EC">
      <w:pPr>
        <w:spacing w:line="276" w:lineRule="auto"/>
        <w:rPr>
          <w:color w:val="0070C0"/>
        </w:rPr>
      </w:pPr>
      <w:r>
        <w:rPr>
          <w:color w:val="0070C0"/>
        </w:rPr>
        <w:t>Le développement d’une hypertension pulmonaire résulte de :</w:t>
      </w:r>
    </w:p>
    <w:p w14:paraId="7EC95FAC" w14:textId="77777777" w:rsidR="00FE57EC" w:rsidRDefault="00FE57EC" w:rsidP="00FE57EC">
      <w:pPr>
        <w:spacing w:line="276" w:lineRule="auto"/>
        <w:rPr>
          <w:color w:val="0070C0"/>
        </w:rPr>
      </w:pPr>
      <w:r>
        <w:rPr>
          <w:color w:val="0070C0"/>
        </w:rPr>
        <w:t>- L’augmentation de la résistance vasculaire pulmonaire essentiellement.</w:t>
      </w:r>
    </w:p>
    <w:p w14:paraId="0E683B74" w14:textId="77777777" w:rsidR="00FE57EC" w:rsidRDefault="00FE57EC" w:rsidP="00FE57EC">
      <w:pPr>
        <w:spacing w:line="276" w:lineRule="auto"/>
        <w:rPr>
          <w:color w:val="0070C0"/>
        </w:rPr>
      </w:pPr>
      <w:r>
        <w:rPr>
          <w:color w:val="0070C0"/>
        </w:rPr>
        <w:t>- L’augmentation de la viscosité sanguine.</w:t>
      </w:r>
    </w:p>
    <w:p w14:paraId="4FBD8F41" w14:textId="77777777" w:rsidR="00FE57EC" w:rsidRDefault="00FE57EC" w:rsidP="00FE57EC">
      <w:pPr>
        <w:spacing w:line="276" w:lineRule="auto"/>
        <w:rPr>
          <w:color w:val="0070C0"/>
        </w:rPr>
      </w:pPr>
      <w:r>
        <w:rPr>
          <w:color w:val="0070C0"/>
        </w:rPr>
        <w:t>- La rétention hydrosodée.</w:t>
      </w:r>
    </w:p>
    <w:p w14:paraId="362DA0B5" w14:textId="77777777" w:rsidR="00FE57EC" w:rsidRDefault="00FE57EC" w:rsidP="00FE57EC">
      <w:pPr>
        <w:spacing w:line="276" w:lineRule="auto"/>
        <w:rPr>
          <w:color w:val="0070C0"/>
        </w:rPr>
      </w:pPr>
      <w:r>
        <w:rPr>
          <w:color w:val="0070C0"/>
        </w:rPr>
        <w:t>L’hypertension pulmonaire augmente la postcharge du ventricule droit et est à l’origine d’une hypertrophie ventriculaire droite ou cœur pulmonaire chronique. La dysfonction ventriculaire droite ou insuffisance ventriculaire droite se manifeste particulièrement lors des épisodes d’insuffisance respiratoire aiguë.</w:t>
      </w:r>
    </w:p>
    <w:p w14:paraId="0F7B0F68" w14:textId="77777777" w:rsidR="00FE57EC" w:rsidRDefault="00FE57EC" w:rsidP="00FE57EC">
      <w:pPr>
        <w:spacing w:line="276" w:lineRule="auto"/>
        <w:rPr>
          <w:color w:val="0070C0"/>
        </w:rPr>
      </w:pPr>
    </w:p>
    <w:p w14:paraId="7F0ABF7A" w14:textId="77777777" w:rsidR="00FE57EC" w:rsidRDefault="00FE57EC" w:rsidP="00FE57EC">
      <w:pPr>
        <w:pStyle w:val="Titre2"/>
      </w:pPr>
      <w:r>
        <w:t>Insuffisance respiratoire aiguë et épisodes de détresse respiratoire aiguë (cf. item 359)</w:t>
      </w:r>
    </w:p>
    <w:p w14:paraId="5A609C16" w14:textId="77777777" w:rsidR="00FE57EC" w:rsidRDefault="00FE57EC" w:rsidP="00FE57EC">
      <w:pPr>
        <w:spacing w:line="276" w:lineRule="auto"/>
      </w:pPr>
      <w:r>
        <w:t>L’évolution de l’IRC est émaillée d’épisodes de décompensation entraînant une insuffisance respiratoire aiguë qui met en jeu le pronostic vital (cf. item 359).</w:t>
      </w:r>
    </w:p>
    <w:p w14:paraId="4750E011" w14:textId="77777777" w:rsidR="00FE57EC" w:rsidRDefault="00FE57EC" w:rsidP="00FE57EC">
      <w:pPr>
        <w:spacing w:line="276" w:lineRule="auto"/>
        <w:rPr>
          <w:b/>
          <w:bCs/>
        </w:rPr>
      </w:pPr>
    </w:p>
    <w:p w14:paraId="0E612557" w14:textId="47971796" w:rsidR="00FE57EC" w:rsidRDefault="00FE57EC" w:rsidP="00FE57EC">
      <w:pPr>
        <w:pStyle w:val="titredepartie"/>
      </w:pPr>
      <w:r>
        <w:t>Stratégie diagnostique devant une insuffisance respiratoire chronique</w:t>
      </w:r>
    </w:p>
    <w:p w14:paraId="3FE24349" w14:textId="77777777" w:rsidR="00FE57EC" w:rsidRDefault="00FE57EC" w:rsidP="00FE57EC">
      <w:pPr>
        <w:pStyle w:val="titredesous-partie"/>
        <w:rPr>
          <w:i/>
          <w:iCs/>
        </w:rPr>
      </w:pPr>
      <w:r>
        <w:rPr>
          <w:shd w:val="clear" w:color="auto" w:fill="auto"/>
        </w:rPr>
        <w:t>MOTIF DE CONSULTATION/PRISE EN CHARGE</w:t>
      </w:r>
      <w:r>
        <w:rPr>
          <w:i/>
          <w:iCs/>
          <w:shd w:val="clear" w:color="auto" w:fill="auto"/>
        </w:rPr>
        <w:t xml:space="preserve"> </w:t>
      </w:r>
    </w:p>
    <w:p w14:paraId="663C28B3" w14:textId="77777777" w:rsidR="00FE57EC" w:rsidRDefault="00FE57EC" w:rsidP="00FE57EC">
      <w:pPr>
        <w:spacing w:line="276" w:lineRule="auto"/>
      </w:pPr>
      <w:r>
        <w:t>Les 2 motifs de prise en charge les plus fréquents pour une IRC sont 1) un signe clinique de l’atteinte respiratoire (</w:t>
      </w:r>
      <w:r>
        <w:rPr>
          <w:b/>
          <w:bCs/>
        </w:rPr>
        <w:t>dyspnée</w:t>
      </w:r>
      <w:r>
        <w:t xml:space="preserve"> avant tout) et/ou un signe du retentissement de l’IRC (comme des œdèmes des membres inférieurs) et 2) un épisode </w:t>
      </w:r>
      <w:r>
        <w:rPr>
          <w:b/>
          <w:bCs/>
        </w:rPr>
        <w:t>d’insuffisance respiratoire aiguë</w:t>
      </w:r>
      <w:r>
        <w:t>. Un motif plus rare est la découverte fortuite sur une NFS d’une polyglobulie ou sur une échographie cardiaque de signes droits.</w:t>
      </w:r>
    </w:p>
    <w:p w14:paraId="2CF24B6C" w14:textId="77777777" w:rsidR="00FE57EC" w:rsidRDefault="00FE57EC" w:rsidP="00FE57EC">
      <w:pPr>
        <w:spacing w:line="276" w:lineRule="auto"/>
      </w:pPr>
    </w:p>
    <w:p w14:paraId="66443364" w14:textId="77777777" w:rsidR="00FE57EC" w:rsidRDefault="00FE57EC" w:rsidP="00FE57EC">
      <w:pPr>
        <w:pStyle w:val="titredesous-partie"/>
      </w:pPr>
      <w:r>
        <w:rPr>
          <w:shd w:val="clear" w:color="auto" w:fill="auto"/>
        </w:rPr>
        <w:t>TERRAIN ET ATCD</w:t>
      </w:r>
    </w:p>
    <w:p w14:paraId="61747644" w14:textId="77777777" w:rsidR="00FE57EC" w:rsidRDefault="00FE57EC" w:rsidP="00FE57EC">
      <w:pPr>
        <w:spacing w:line="276" w:lineRule="auto"/>
      </w:pPr>
      <w:r>
        <w:t xml:space="preserve">Il n’y a pas de terrain spécifique à l’insuffisance respiratoire, mais la présence d’un ATCD de maladie respiratoire va être l’élément clé. </w:t>
      </w:r>
    </w:p>
    <w:p w14:paraId="4BEA00F8" w14:textId="77777777" w:rsidR="00FE57EC" w:rsidRDefault="00FE57EC" w:rsidP="00FE57EC">
      <w:pPr>
        <w:spacing w:line="276" w:lineRule="auto"/>
      </w:pPr>
      <w:r>
        <w:t>Un autre facteur très fréquent est la recherche d’intoxication tabagique.</w:t>
      </w:r>
    </w:p>
    <w:p w14:paraId="6B340401" w14:textId="77777777" w:rsidR="00FE57EC" w:rsidRDefault="00FE57EC" w:rsidP="00FE57EC">
      <w:pPr>
        <w:spacing w:line="276" w:lineRule="auto"/>
      </w:pPr>
      <w:r>
        <w:lastRenderedPageBreak/>
        <w:t>Il existe de nombreuses causes d’IRC, mais les trois plus fréquentes sont la BPCO, le syndrome obésité-hypoventilation et les maladies neuromusculaires.</w:t>
      </w:r>
    </w:p>
    <w:p w14:paraId="458A995E" w14:textId="77777777" w:rsidR="00FE57EC" w:rsidRDefault="00FE57EC" w:rsidP="00FE57EC">
      <w:pPr>
        <w:spacing w:line="276" w:lineRule="auto"/>
      </w:pPr>
    </w:p>
    <w:p w14:paraId="712A807D" w14:textId="77777777" w:rsidR="00FE57EC" w:rsidRDefault="00FE57EC" w:rsidP="00FE57EC">
      <w:pPr>
        <w:pStyle w:val="titredesous-partie"/>
        <w:rPr>
          <w:i/>
          <w:iCs/>
        </w:rPr>
      </w:pPr>
      <w:r>
        <w:rPr>
          <w:shd w:val="clear" w:color="auto" w:fill="auto"/>
        </w:rPr>
        <w:t>HISTOIRE DE LA MALADIE</w:t>
      </w:r>
    </w:p>
    <w:p w14:paraId="06903758" w14:textId="77777777" w:rsidR="00FE57EC" w:rsidRDefault="00FE57EC" w:rsidP="00FE57EC">
      <w:pPr>
        <w:spacing w:line="276" w:lineRule="auto"/>
      </w:pPr>
      <w:r>
        <w:t>L’histoire de la maladie va dépendre de l’étiologie sous-jacente, mais il ne faut pas oublier de remonter jusqu’à l’enfance pour rechercher/décrire la pathologie respiratoire sous-jacente et son évolution. La recherche d’épisodes de complications de l’IRC sera aussi primordiale (voir chapitre «</w:t>
      </w:r>
      <w:r>
        <w:rPr>
          <w:rFonts w:ascii="Arial" w:eastAsia="Arial" w:hAnsi="Arial" w:cs="Arial"/>
        </w:rPr>
        <w:t> </w:t>
      </w:r>
      <w:r>
        <w:t>conséquences cliniques</w:t>
      </w:r>
      <w:r>
        <w:rPr>
          <w:rFonts w:ascii="Arial" w:eastAsia="Arial" w:hAnsi="Arial" w:cs="Arial"/>
        </w:rPr>
        <w:t> </w:t>
      </w:r>
      <w:r>
        <w:t>» plus haut)</w:t>
      </w:r>
    </w:p>
    <w:p w14:paraId="65A7EF3A" w14:textId="77777777" w:rsidR="00FE57EC" w:rsidRDefault="00FE57EC" w:rsidP="00FE57EC">
      <w:pPr>
        <w:spacing w:line="276" w:lineRule="auto"/>
        <w:rPr>
          <w:b/>
          <w:bCs/>
        </w:rPr>
      </w:pPr>
    </w:p>
    <w:p w14:paraId="7691701D" w14:textId="77777777" w:rsidR="00FE57EC" w:rsidRDefault="00FE57EC" w:rsidP="00FE57EC">
      <w:pPr>
        <w:pStyle w:val="titredesous-partie"/>
      </w:pPr>
      <w:r>
        <w:rPr>
          <w:shd w:val="clear" w:color="auto" w:fill="auto"/>
        </w:rPr>
        <w:t>EXAMEN CLINIQUE</w:t>
      </w:r>
    </w:p>
    <w:p w14:paraId="448705E4" w14:textId="77777777" w:rsidR="00FE57EC" w:rsidRPr="009E29E0" w:rsidRDefault="00FE57EC" w:rsidP="00FE57EC">
      <w:pPr>
        <w:pBdr>
          <w:top w:val="nil"/>
          <w:left w:val="nil"/>
          <w:bottom w:val="nil"/>
          <w:right w:val="nil"/>
          <w:between w:val="nil"/>
        </w:pBdr>
        <w:spacing w:after="240" w:line="276" w:lineRule="auto"/>
        <w:jc w:val="left"/>
        <w:rPr>
          <w:b/>
          <w:bCs/>
          <w:caps/>
        </w:rPr>
      </w:pPr>
      <w:r w:rsidRPr="009E29E0">
        <w:rPr>
          <w:b/>
          <w:bCs/>
          <w:caps/>
        </w:rPr>
        <w:t>Signes fonctionnels</w:t>
      </w:r>
    </w:p>
    <w:p w14:paraId="0AF9D153" w14:textId="77777777" w:rsidR="00FE57EC" w:rsidRDefault="00FE57EC" w:rsidP="00FE57EC">
      <w:pPr>
        <w:widowControl w:val="0"/>
        <w:spacing w:line="276" w:lineRule="auto"/>
        <w:rPr>
          <w:u w:val="single"/>
        </w:rPr>
      </w:pPr>
      <w:r>
        <w:rPr>
          <w:u w:val="single"/>
        </w:rPr>
        <w:t>Signes en rapport avec la pathologie initiale</w:t>
      </w:r>
    </w:p>
    <w:p w14:paraId="2CE01A4C" w14:textId="77777777" w:rsidR="00FE57EC" w:rsidRDefault="00FE57EC" w:rsidP="00FE57EC">
      <w:pPr>
        <w:spacing w:line="276" w:lineRule="auto"/>
      </w:pPr>
      <w:r>
        <w:t xml:space="preserve">On retrouvera des signes cliniques spécifiques à la pathologie respiratoire sous-jacente (voir items correspondants). </w:t>
      </w:r>
    </w:p>
    <w:p w14:paraId="2C5D917B" w14:textId="77777777" w:rsidR="00FE57EC" w:rsidRDefault="00FE57EC" w:rsidP="00FE57EC">
      <w:pPr>
        <w:spacing w:line="276" w:lineRule="auto"/>
      </w:pPr>
    </w:p>
    <w:p w14:paraId="1CA2D42F" w14:textId="77777777" w:rsidR="00FE57EC" w:rsidRDefault="00FE57EC" w:rsidP="00FE57EC">
      <w:pPr>
        <w:spacing w:line="276" w:lineRule="auto"/>
        <w:rPr>
          <w:u w:val="single"/>
        </w:rPr>
      </w:pPr>
      <w:r>
        <w:rPr>
          <w:u w:val="single"/>
        </w:rPr>
        <w:t>Signes en rapport avec l’insuffisance respiratoire chronique</w:t>
      </w:r>
    </w:p>
    <w:p w14:paraId="2DB2C0E7" w14:textId="77777777" w:rsidR="00FE57EC" w:rsidRDefault="00FE57EC">
      <w:pPr>
        <w:numPr>
          <w:ilvl w:val="0"/>
          <w:numId w:val="19"/>
        </w:numPr>
        <w:pBdr>
          <w:top w:val="nil"/>
          <w:left w:val="nil"/>
          <w:bottom w:val="nil"/>
          <w:right w:val="nil"/>
          <w:between w:val="nil"/>
        </w:pBdr>
        <w:spacing w:line="276" w:lineRule="auto"/>
        <w:ind w:left="284" w:hanging="284"/>
      </w:pPr>
      <w:r>
        <w:t xml:space="preserve">La dyspnée est un signe quasi-constant au cours de l’insuffisance respiratoire chronique. Cette dyspnée : </w:t>
      </w:r>
    </w:p>
    <w:p w14:paraId="3D9F2FBD" w14:textId="77777777" w:rsidR="00FE57EC" w:rsidRDefault="00FE57EC">
      <w:pPr>
        <w:numPr>
          <w:ilvl w:val="0"/>
          <w:numId w:val="13"/>
        </w:numPr>
        <w:spacing w:line="276" w:lineRule="auto"/>
        <w:ind w:left="426" w:hanging="142"/>
      </w:pPr>
      <w:r>
        <w:t>Survient initialement à l’effort puis pour des efforts plus modestes, voire au repos.</w:t>
      </w:r>
    </w:p>
    <w:p w14:paraId="1EF74CFD" w14:textId="77777777" w:rsidR="00FE57EC" w:rsidRDefault="00FE57EC">
      <w:pPr>
        <w:numPr>
          <w:ilvl w:val="0"/>
          <w:numId w:val="13"/>
        </w:numPr>
        <w:spacing w:line="276" w:lineRule="auto"/>
        <w:ind w:left="426" w:hanging="142"/>
      </w:pPr>
      <w:r>
        <w:t>Est extrêmement variable d’un patient à l’autre pour un même degré d’atteinte respiratoire.</w:t>
      </w:r>
    </w:p>
    <w:p w14:paraId="10514BE5" w14:textId="77777777" w:rsidR="00FE57EC" w:rsidRDefault="00FE57EC">
      <w:pPr>
        <w:numPr>
          <w:ilvl w:val="0"/>
          <w:numId w:val="13"/>
        </w:numPr>
        <w:spacing w:line="276" w:lineRule="auto"/>
        <w:ind w:left="426" w:hanging="142"/>
      </w:pPr>
      <w:r>
        <w:t>Ne témoigne pas à elle seule de la présence d’une hypoxémie.</w:t>
      </w:r>
    </w:p>
    <w:p w14:paraId="19D95CB2" w14:textId="77777777" w:rsidR="00FE57EC" w:rsidRDefault="00FE57EC">
      <w:pPr>
        <w:numPr>
          <w:ilvl w:val="0"/>
          <w:numId w:val="13"/>
        </w:numPr>
        <w:spacing w:line="276" w:lineRule="auto"/>
        <w:ind w:left="426" w:hanging="142"/>
      </w:pPr>
      <w:r>
        <w:t xml:space="preserve">Il est utile et simple en consultation d’apprécier la dyspnée dans le cadre des activités quotidiennes du patient (échelle </w:t>
      </w:r>
      <w:proofErr w:type="spellStart"/>
      <w:r>
        <w:t>mMRC</w:t>
      </w:r>
      <w:proofErr w:type="spellEnd"/>
      <w:r>
        <w:t>, cf. item 203).</w:t>
      </w:r>
    </w:p>
    <w:p w14:paraId="42C5DD99" w14:textId="5F5D53F5" w:rsidR="00FE57EC" w:rsidRDefault="00FE57EC">
      <w:pPr>
        <w:numPr>
          <w:ilvl w:val="0"/>
          <w:numId w:val="19"/>
        </w:numPr>
        <w:pBdr>
          <w:top w:val="nil"/>
          <w:left w:val="nil"/>
          <w:bottom w:val="nil"/>
          <w:right w:val="nil"/>
          <w:between w:val="nil"/>
        </w:pBdr>
        <w:spacing w:line="276" w:lineRule="auto"/>
        <w:ind w:left="284" w:hanging="284"/>
      </w:pPr>
      <w:r>
        <w:t>Les autres signes fréquents au cours de toutes les insuffisances respiratoires chroniques sont ceux témoignant d’une fragmentation du sommeil due à de l’hypoventilation alvéolaire nocturne, et/ou de l’hypoxémie nocturne et/ou des apnées du sommeil. Ces signes peuvent être inauguraux. Ils sont nombreux, peu spécifiques, mais peuvent être très handicapant (cf. item 110).</w:t>
      </w:r>
    </w:p>
    <w:p w14:paraId="3BD3149E" w14:textId="77777777" w:rsidR="00FE57EC" w:rsidRDefault="00FE57EC" w:rsidP="00FE57EC">
      <w:pPr>
        <w:spacing w:line="276" w:lineRule="auto"/>
        <w:ind w:left="360"/>
      </w:pP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9067"/>
      </w:tblGrid>
      <w:tr w:rsidR="00FE57EC" w14:paraId="37D67911" w14:textId="77777777" w:rsidTr="009E29E0">
        <w:trPr>
          <w:trHeight w:val="1210"/>
        </w:trPr>
        <w:tc>
          <w:tcPr>
            <w:tcW w:w="9067" w:type="dxa"/>
            <w:vAlign w:val="center"/>
          </w:tcPr>
          <w:p w14:paraId="2BCAC9AA" w14:textId="77777777" w:rsidR="00FE57EC" w:rsidRDefault="00FE57EC" w:rsidP="00FE57EC">
            <w:pPr>
              <w:spacing w:line="276" w:lineRule="auto"/>
              <w:ind w:left="360"/>
              <w:rPr>
                <w:b/>
                <w:bCs/>
              </w:rPr>
            </w:pPr>
            <w:r>
              <w:rPr>
                <w:b/>
                <w:bCs/>
              </w:rPr>
              <w:t>PENSEZ A INTERROGER SUR LE SOMMEIL</w:t>
            </w:r>
            <w:r>
              <w:rPr>
                <w:noProof/>
              </w:rPr>
              <w:drawing>
                <wp:anchor distT="0" distB="0" distL="114300" distR="71755" simplePos="0" relativeHeight="251865088" behindDoc="0" locked="0" layoutInCell="1" hidden="0" allowOverlap="1" wp14:anchorId="0060EBBE" wp14:editId="21407CAA">
                  <wp:simplePos x="0" y="0"/>
                  <wp:positionH relativeFrom="column">
                    <wp:posOffset>-36194</wp:posOffset>
                  </wp:positionH>
                  <wp:positionV relativeFrom="paragraph">
                    <wp:posOffset>14604</wp:posOffset>
                  </wp:positionV>
                  <wp:extent cx="615600" cy="590400"/>
                  <wp:effectExtent l="0" t="0" r="0" b="0"/>
                  <wp:wrapSquare wrapText="bothSides" distT="0" distB="0" distL="114300" distR="71755"/>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615600" cy="590400"/>
                          </a:xfrm>
                          <a:prstGeom prst="rect">
                            <a:avLst/>
                          </a:prstGeom>
                          <a:ln/>
                        </pic:spPr>
                      </pic:pic>
                    </a:graphicData>
                  </a:graphic>
                </wp:anchor>
              </w:drawing>
            </w:r>
          </w:p>
          <w:p w14:paraId="1DA7578D" w14:textId="77777777" w:rsidR="00FE57EC" w:rsidRDefault="00FE57EC" w:rsidP="00FE57EC">
            <w:pPr>
              <w:spacing w:line="276" w:lineRule="auto"/>
              <w:ind w:left="31"/>
            </w:pPr>
            <w:r>
              <w:t>Les signes témoignant d’une fragmentation du sommeil sont souvent très nombreux, mais les malades ne pensent pas pertinent de les signaler. On peut citer : un sommeil non réparateur, une fatigue au réveil, des céphalées matinales, des troubles de vigilance diurne, une somnolence diurne excessive, des troubles de la mémoire et de la concentration, un syndrome anxio-dépressif, des troubles de la sexualité, etc. (cf. item 110).</w:t>
            </w:r>
          </w:p>
        </w:tc>
      </w:tr>
    </w:tbl>
    <w:p w14:paraId="39EF4789" w14:textId="77777777" w:rsidR="00FE57EC" w:rsidRDefault="00FE57EC" w:rsidP="00FE57EC">
      <w:pPr>
        <w:spacing w:line="276" w:lineRule="auto"/>
        <w:rPr>
          <w:b/>
          <w:bCs/>
        </w:rPr>
      </w:pPr>
    </w:p>
    <w:p w14:paraId="2B981BC0" w14:textId="77777777" w:rsidR="00FE57EC" w:rsidRPr="009E29E0" w:rsidRDefault="00FE57EC" w:rsidP="009E29E0">
      <w:pPr>
        <w:pBdr>
          <w:top w:val="nil"/>
          <w:left w:val="nil"/>
          <w:bottom w:val="nil"/>
          <w:right w:val="nil"/>
          <w:between w:val="nil"/>
        </w:pBdr>
        <w:spacing w:after="240" w:line="276" w:lineRule="auto"/>
        <w:jc w:val="left"/>
        <w:rPr>
          <w:b/>
          <w:bCs/>
          <w:caps/>
        </w:rPr>
      </w:pPr>
      <w:r w:rsidRPr="009E29E0">
        <w:rPr>
          <w:b/>
          <w:bCs/>
          <w:caps/>
        </w:rPr>
        <w:t>Signes physiques</w:t>
      </w:r>
    </w:p>
    <w:p w14:paraId="056D6B72" w14:textId="77777777" w:rsidR="00FE57EC" w:rsidRDefault="00FE57EC" w:rsidP="00FE57EC">
      <w:pPr>
        <w:spacing w:line="276" w:lineRule="auto"/>
        <w:rPr>
          <w:b/>
          <w:bCs/>
        </w:rPr>
      </w:pPr>
      <w:r>
        <w:rPr>
          <w:u w:val="single"/>
        </w:rPr>
        <w:t>Signes physiques en rapport avec la pathologie initiale</w:t>
      </w:r>
    </w:p>
    <w:p w14:paraId="51BFADF5" w14:textId="77777777" w:rsidR="00FE57EC" w:rsidRDefault="00FE57EC" w:rsidP="00FE57EC">
      <w:pPr>
        <w:spacing w:line="276" w:lineRule="auto"/>
      </w:pPr>
      <w:r>
        <w:t xml:space="preserve">On retrouvera des signes physiques spécifiques à la pathologie respiratoire sous-jacente (voir items correspondants). </w:t>
      </w:r>
    </w:p>
    <w:p w14:paraId="41817D06" w14:textId="77777777" w:rsidR="00FE57EC" w:rsidRDefault="00FE57EC" w:rsidP="00FE57EC">
      <w:pPr>
        <w:spacing w:line="276" w:lineRule="auto"/>
      </w:pPr>
      <w:r>
        <w:t>Ces signes sont rarement à l’origine du diagnostic de l’IRC, ce diagnostic étant en règle établi lors du suivi par le pneumologue d’une maladie respiratoire chronique.</w:t>
      </w:r>
    </w:p>
    <w:p w14:paraId="1FA63409" w14:textId="77777777" w:rsidR="00FE57EC" w:rsidRDefault="00FE57EC" w:rsidP="00FE57EC">
      <w:pPr>
        <w:spacing w:line="276" w:lineRule="auto"/>
      </w:pPr>
      <w:r>
        <w:lastRenderedPageBreak/>
        <w:t>Ils permettent cependant de guider sur l’étiologie quand ils sont présents et que la maladie n’est pas diagnostiquée. Ceci est fréquent dans la BPCO (voir item 209) où les signes physiques sont riches.</w:t>
      </w:r>
    </w:p>
    <w:p w14:paraId="4627037A" w14:textId="77777777" w:rsidR="00FE57EC" w:rsidRDefault="00FE57EC" w:rsidP="00FE57EC">
      <w:pPr>
        <w:spacing w:line="276" w:lineRule="auto"/>
        <w:rPr>
          <w:u w:val="single"/>
        </w:rPr>
      </w:pPr>
    </w:p>
    <w:p w14:paraId="61BD40BA" w14:textId="77777777" w:rsidR="00FE57EC" w:rsidRDefault="00FE57EC" w:rsidP="00FE57EC">
      <w:pPr>
        <w:spacing w:line="276" w:lineRule="auto"/>
        <w:rPr>
          <w:u w:val="single"/>
        </w:rPr>
      </w:pPr>
      <w:r>
        <w:rPr>
          <w:u w:val="single"/>
        </w:rPr>
        <w:t>Signes physiques en rapport avec l’insuffisance respiratoire chronique</w:t>
      </w:r>
    </w:p>
    <w:p w14:paraId="3468FE81" w14:textId="77777777" w:rsidR="00FE57EC" w:rsidRDefault="00FE57EC" w:rsidP="00FE57EC">
      <w:pPr>
        <w:spacing w:line="276" w:lineRule="auto"/>
      </w:pPr>
      <w:r>
        <w:t>- Signes physiques témoignant d’une insuffisance cardiaque droite (turgescence jugulaire, œdèmes des membres inférieurs avec prise de poids et/ou reflux hépato-jugulaire), à un stade évolué d’IRC.</w:t>
      </w:r>
    </w:p>
    <w:p w14:paraId="3AF87A06" w14:textId="77777777" w:rsidR="00FE57EC" w:rsidRDefault="00FE57EC" w:rsidP="00FE57EC">
      <w:pPr>
        <w:spacing w:line="276" w:lineRule="auto"/>
      </w:pPr>
      <w:r>
        <w:t>- Cyanose (correspond à une coloration bleutée des téguments). Elle traduit la présence de plus de 5 g/dl d’hémoglobine désoxygénée et donc d’une hypoxémie sévère. C’est un signe de gravité, volontiers tardif, donc inconstamment retrouvé.</w:t>
      </w:r>
    </w:p>
    <w:p w14:paraId="696E05E1" w14:textId="77777777" w:rsidR="00FE57EC" w:rsidRDefault="00FE57EC" w:rsidP="00FE57EC">
      <w:pPr>
        <w:spacing w:line="276" w:lineRule="auto"/>
        <w:rPr>
          <w:b/>
          <w:bCs/>
        </w:rPr>
      </w:pPr>
    </w:p>
    <w:p w14:paraId="3CE47071" w14:textId="77777777" w:rsidR="00FE57EC" w:rsidRDefault="00FE57EC" w:rsidP="009E29E0">
      <w:pPr>
        <w:pStyle w:val="titredesous-partie"/>
      </w:pPr>
      <w:r>
        <w:rPr>
          <w:shd w:val="clear" w:color="auto" w:fill="auto"/>
        </w:rPr>
        <w:t>Examens complémentaires</w:t>
      </w:r>
    </w:p>
    <w:p w14:paraId="22BA6184" w14:textId="77777777" w:rsidR="00FE57EC" w:rsidRDefault="00FE57EC" w:rsidP="00FE57EC">
      <w:pPr>
        <w:spacing w:line="276" w:lineRule="auto"/>
        <w:rPr>
          <w:u w:val="single"/>
        </w:rPr>
      </w:pPr>
      <w:r>
        <w:rPr>
          <w:u w:val="single"/>
        </w:rPr>
        <w:t>Étape 1 : Confirmer l’insuffisance respiratoire chronique : les GDS</w:t>
      </w:r>
    </w:p>
    <w:p w14:paraId="633BBCD9" w14:textId="77777777" w:rsidR="00FE57EC" w:rsidRDefault="00FE57EC" w:rsidP="00FE57EC">
      <w:pPr>
        <w:spacing w:line="276" w:lineRule="auto"/>
      </w:pPr>
      <w:r>
        <w:t>Les gaz du sang effectués à l’état stable (à distance d’un épisode aigu) et en air ambiant sont indispensables. On recherchera une hypoxémie et la présence associée ou non d’une hypercapnie. Une acidose respiratoire compensée par des bicarbonates élevés suggère la chronicité d’une hypercapnie.</w:t>
      </w:r>
    </w:p>
    <w:p w14:paraId="05C8BE02" w14:textId="77777777" w:rsidR="00FE57EC" w:rsidRDefault="00FE57EC" w:rsidP="00FE57EC">
      <w:pPr>
        <w:spacing w:line="276" w:lineRule="auto"/>
      </w:pPr>
    </w:p>
    <w:p w14:paraId="012DF8CB" w14:textId="77777777" w:rsidR="00FE57EC" w:rsidRDefault="00FE57EC" w:rsidP="00FE57EC">
      <w:pPr>
        <w:spacing w:line="276" w:lineRule="auto"/>
        <w:rPr>
          <w:u w:val="single"/>
        </w:rPr>
      </w:pPr>
      <w:r>
        <w:rPr>
          <w:u w:val="single"/>
        </w:rPr>
        <w:t>Étape 2 : Évaluer le retentissement de l’IRC</w:t>
      </w:r>
    </w:p>
    <w:p w14:paraId="5BAE41B6" w14:textId="77777777" w:rsidR="00FE57EC" w:rsidRDefault="00FE57EC" w:rsidP="00FE57EC">
      <w:pPr>
        <w:spacing w:line="276" w:lineRule="auto"/>
      </w:pPr>
      <w:r>
        <w:t>- La numération-formule sanguine recherchera une polyglobulie qui suggère la chronicité de l’hypoxémie. Celle-ci est devenue rare aujourd’hui grâce au diagnostic plus précoce des maladies à l’origine de l’IRC.</w:t>
      </w:r>
    </w:p>
    <w:p w14:paraId="471BC546" w14:textId="77777777" w:rsidR="00FE57EC" w:rsidRDefault="00FE57EC" w:rsidP="00FE57EC">
      <w:pPr>
        <w:spacing w:line="276" w:lineRule="auto"/>
      </w:pPr>
      <w:r>
        <w:t>- L’électrocardiogramme peut montrer des signes d’hypertrophie des cavités cardiaques droites.</w:t>
      </w:r>
    </w:p>
    <w:p w14:paraId="0F6BF1CA" w14:textId="77777777" w:rsidR="00FE57EC" w:rsidRDefault="00FE57EC" w:rsidP="00FE57EC">
      <w:pPr>
        <w:spacing w:line="276" w:lineRule="auto"/>
      </w:pPr>
      <w:r>
        <w:t xml:space="preserve">- L’échocardiographie transthoracique : Le retentissement de l’IRC sur le ventricule droit est systématiquement évalué par une échocardiographie transthoracique : </w:t>
      </w:r>
    </w:p>
    <w:p w14:paraId="3B278051" w14:textId="77777777" w:rsidR="00FE57EC" w:rsidRDefault="00FE57EC">
      <w:pPr>
        <w:numPr>
          <w:ilvl w:val="0"/>
          <w:numId w:val="14"/>
        </w:numPr>
        <w:pBdr>
          <w:top w:val="nil"/>
          <w:left w:val="nil"/>
          <w:bottom w:val="nil"/>
          <w:right w:val="nil"/>
          <w:between w:val="nil"/>
        </w:pBdr>
        <w:spacing w:line="276" w:lineRule="auto"/>
        <w:ind w:left="284" w:hanging="142"/>
        <w:rPr>
          <w:i/>
          <w:iCs/>
        </w:rPr>
      </w:pPr>
      <w:r>
        <w:t xml:space="preserve">Évaluation de la pression artérielle pulmonaire systolique (dépistage d’une hypertension pulmonaire, HTP). </w:t>
      </w:r>
    </w:p>
    <w:p w14:paraId="75726429" w14:textId="77777777" w:rsidR="00FE57EC" w:rsidRDefault="00FE57EC">
      <w:pPr>
        <w:numPr>
          <w:ilvl w:val="0"/>
          <w:numId w:val="14"/>
        </w:numPr>
        <w:pBdr>
          <w:top w:val="nil"/>
          <w:left w:val="nil"/>
          <w:bottom w:val="nil"/>
          <w:right w:val="nil"/>
          <w:between w:val="nil"/>
        </w:pBdr>
        <w:spacing w:line="276" w:lineRule="auto"/>
        <w:ind w:left="284" w:hanging="142"/>
      </w:pPr>
      <w:r>
        <w:t>On en profitera pour dépister une insuffisance cardiaque gauche, en cas de facteurs de risque communs (âge, tabagisme…). Ceci est particulièrement pertinent chez les patients atteints de BPCO.</w:t>
      </w:r>
    </w:p>
    <w:p w14:paraId="407976B3" w14:textId="77777777" w:rsidR="00FE57EC" w:rsidRDefault="00FE57EC" w:rsidP="00FE57EC">
      <w:pPr>
        <w:spacing w:line="276" w:lineRule="auto"/>
      </w:pPr>
    </w:p>
    <w:p w14:paraId="0ECB89F8" w14:textId="4018CA55" w:rsidR="00FE57EC" w:rsidRDefault="009E29E0" w:rsidP="00FE57EC">
      <w:pPr>
        <w:spacing w:line="276" w:lineRule="auto"/>
        <w:rPr>
          <w:i/>
          <w:iCs/>
        </w:rPr>
      </w:pPr>
      <w:r>
        <w:rPr>
          <w:noProof/>
        </w:rPr>
        <w:drawing>
          <wp:anchor distT="0" distB="0" distL="114300" distR="114300" simplePos="0" relativeHeight="251866112" behindDoc="0" locked="0" layoutInCell="1" hidden="0" allowOverlap="1" wp14:anchorId="41FB58C8" wp14:editId="4B58D60D">
            <wp:simplePos x="0" y="0"/>
            <wp:positionH relativeFrom="column">
              <wp:posOffset>-272577</wp:posOffset>
            </wp:positionH>
            <wp:positionV relativeFrom="paragraph">
              <wp:posOffset>0</wp:posOffset>
            </wp:positionV>
            <wp:extent cx="153670" cy="137160"/>
            <wp:effectExtent l="0" t="0" r="0" b="0"/>
            <wp:wrapSquare wrapText="bothSides" distT="0" distB="0" distL="114300" distR="11430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rPr>
          <w:color w:val="0070C0"/>
        </w:rPr>
        <w:t>Un test d’exercice : test de marche de 6 minutes, test de lever de chaise voire une épreuve fonctionnelle à l’exercice (EFX) permettent une évaluation pronostique des patients insuffisants respiratoires chroniques et orientent l’attitude thérapeutique</w:t>
      </w:r>
      <w:r w:rsidR="00FE57EC">
        <w:rPr>
          <w:i/>
          <w:iCs/>
        </w:rPr>
        <w:t>.</w:t>
      </w:r>
    </w:p>
    <w:p w14:paraId="3178B9E0" w14:textId="77777777" w:rsidR="00FE57EC" w:rsidRDefault="00FE57EC" w:rsidP="00FE57EC">
      <w:pPr>
        <w:spacing w:line="276" w:lineRule="auto"/>
        <w:rPr>
          <w:i/>
          <w:iCs/>
        </w:rPr>
      </w:pPr>
    </w:p>
    <w:p w14:paraId="7F7F847D" w14:textId="68940B66" w:rsidR="00FE57EC" w:rsidRDefault="009E29E0" w:rsidP="00FE57EC">
      <w:pPr>
        <w:spacing w:line="276" w:lineRule="auto"/>
        <w:rPr>
          <w:u w:val="single"/>
        </w:rPr>
      </w:pPr>
      <w:r>
        <w:rPr>
          <w:noProof/>
        </w:rPr>
        <w:drawing>
          <wp:anchor distT="0" distB="0" distL="114300" distR="114300" simplePos="0" relativeHeight="251867136" behindDoc="0" locked="0" layoutInCell="1" hidden="0" allowOverlap="1" wp14:anchorId="590DD41F" wp14:editId="05C47D1C">
            <wp:simplePos x="0" y="0"/>
            <wp:positionH relativeFrom="column">
              <wp:posOffset>-272577</wp:posOffset>
            </wp:positionH>
            <wp:positionV relativeFrom="paragraph">
              <wp:posOffset>169545</wp:posOffset>
            </wp:positionV>
            <wp:extent cx="153670" cy="137160"/>
            <wp:effectExtent l="0" t="0" r="0" b="0"/>
            <wp:wrapSquare wrapText="bothSides" distT="0" distB="0" distL="114300" distR="11430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rPr>
          <w:u w:val="single"/>
        </w:rPr>
        <w:t>Étape 3 : Rechercher la cause de l’IRC (si elle n’est déjà pas connue) : les EFR++</w:t>
      </w:r>
    </w:p>
    <w:p w14:paraId="5A0A9F80" w14:textId="13EF90D6" w:rsidR="00FE57EC" w:rsidRDefault="00FE57EC" w:rsidP="00FE57EC">
      <w:pPr>
        <w:spacing w:line="276" w:lineRule="auto"/>
        <w:rPr>
          <w:color w:val="0070C0"/>
        </w:rPr>
      </w:pPr>
      <w:r>
        <w:rPr>
          <w:color w:val="0070C0"/>
        </w:rPr>
        <w:t xml:space="preserve">La radiographie thoracique est un élément fondamental dans le diagnostic étiologique de l’IRC. Elle peut suffire au diagnostic dans certaines pathologies comme les déformations thoraciques majeures ou les séquelles de tuberculose par exemple. Elle est complétée le plus souvent par un scanner thoracique pour préciser la topographie et l’étendue des lésions ainsi que leur type. </w:t>
      </w:r>
    </w:p>
    <w:p w14:paraId="6495E783" w14:textId="77777777" w:rsidR="00FE57EC" w:rsidRDefault="00FE57EC" w:rsidP="00FE57EC">
      <w:pPr>
        <w:spacing w:line="276" w:lineRule="auto"/>
        <w:rPr>
          <w:color w:val="0070C0"/>
        </w:rPr>
      </w:pPr>
    </w:p>
    <w:p w14:paraId="65DF69A6" w14:textId="77777777" w:rsidR="00FE57EC" w:rsidRDefault="00FE57EC" w:rsidP="00FE57EC">
      <w:pPr>
        <w:spacing w:line="276" w:lineRule="auto"/>
      </w:pPr>
      <w:r>
        <w:t>Les épreuves fonctionnelles respiratoires jouent un rôle pivot dans l’orientation étiologique de l’IRC (voir infra) Tableau 1 et Figure 2.</w:t>
      </w:r>
    </w:p>
    <w:p w14:paraId="46E4F612" w14:textId="77777777" w:rsidR="00FE57EC" w:rsidRDefault="00FE57EC" w:rsidP="00FE57EC">
      <w:pPr>
        <w:spacing w:line="276" w:lineRule="auto"/>
        <w:rPr>
          <w:i/>
          <w:iCs/>
          <w:u w:val="single"/>
        </w:rPr>
      </w:pPr>
    </w:p>
    <w:p w14:paraId="58C0F88A" w14:textId="77777777" w:rsidR="00FE57EC" w:rsidRDefault="00FE57EC" w:rsidP="009E29E0">
      <w:pPr>
        <w:pStyle w:val="lgende"/>
      </w:pPr>
      <w:r>
        <w:t xml:space="preserve">Figure 2 : Démarche diagnostique simplifiée des pathologies les plus fréquemment responsables d’insuffisance respiratoire chronique selon le résultat des explorations fonctionnelles respiratoires (TV = trouble ventilatoire ; </w:t>
      </w:r>
      <w:r>
        <w:lastRenderedPageBreak/>
        <w:t>BPCO = bronchopneumopathie chronique obstructive ; DDB = dilatation des bronches ; SOH= syndrome obésité hypoventilation ; MNM = maladie neuromusculaire).</w:t>
      </w:r>
    </w:p>
    <w:p w14:paraId="7E0BA477" w14:textId="77777777" w:rsidR="00FE57EC" w:rsidRDefault="00FE57EC" w:rsidP="00FE57EC">
      <w:pPr>
        <w:spacing w:line="276" w:lineRule="auto"/>
        <w:ind w:left="1134" w:hanging="1134"/>
        <w:jc w:val="center"/>
        <w:rPr>
          <w:b/>
          <w:bCs/>
        </w:rPr>
      </w:pPr>
      <w:r>
        <w:rPr>
          <w:b/>
          <w:bCs/>
          <w:noProof/>
        </w:rPr>
        <w:drawing>
          <wp:inline distT="0" distB="0" distL="0" distR="0" wp14:anchorId="57B381F6" wp14:editId="1C8D9004">
            <wp:extent cx="5760720" cy="3389630"/>
            <wp:effectExtent l="0" t="0" r="0" b="0"/>
            <wp:docPr id="3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5760720" cy="3389630"/>
                    </a:xfrm>
                    <a:prstGeom prst="rect">
                      <a:avLst/>
                    </a:prstGeom>
                    <a:ln/>
                  </pic:spPr>
                </pic:pic>
              </a:graphicData>
            </a:graphic>
          </wp:inline>
        </w:drawing>
      </w:r>
    </w:p>
    <w:p w14:paraId="1FB15D5F" w14:textId="77777777" w:rsidR="00FE57EC" w:rsidRDefault="00FE57EC" w:rsidP="009E29E0">
      <w:pPr>
        <w:pStyle w:val="lgende"/>
      </w:pPr>
      <w:r>
        <w:t xml:space="preserve">Tableau 1 : Liste non exhaustive des insuffisances respiratoires chroniques classées selon le profil aux explorations fonctionnelles respiratoires (TVO : trouble ventilatoire obstructif ; TVR : trouble ventilatoire restrictif ; BPCO : bronchopneumopathie chronique obstructive ; DDB = dilatation des bronches SOH syndrome obésité </w:t>
      </w:r>
      <w:sdt>
        <w:sdtPr>
          <w:tag w:val="goog_rdk_3"/>
          <w:id w:val="-674245207"/>
        </w:sdtPr>
        <w:sdtContent/>
      </w:sdt>
      <w:r>
        <w:t>hypoventilation).</w:t>
      </w: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1830"/>
        <w:gridCol w:w="2701"/>
        <w:gridCol w:w="2552"/>
        <w:gridCol w:w="1984"/>
      </w:tblGrid>
      <w:tr w:rsidR="00FE57EC" w14:paraId="37F88380" w14:textId="77777777" w:rsidTr="009E29E0">
        <w:tc>
          <w:tcPr>
            <w:tcW w:w="1830" w:type="dxa"/>
            <w:shd w:val="clear" w:color="auto" w:fill="D1D1D1" w:themeFill="background2" w:themeFillShade="E6"/>
            <w:vAlign w:val="center"/>
          </w:tcPr>
          <w:p w14:paraId="7257CDF7" w14:textId="77777777" w:rsidR="00FE57EC" w:rsidRPr="009E29E0" w:rsidRDefault="00FE57EC" w:rsidP="009E29E0">
            <w:pPr>
              <w:spacing w:line="276" w:lineRule="auto"/>
              <w:jc w:val="center"/>
              <w:rPr>
                <w:rFonts w:ascii="Calibri" w:eastAsia="Calibri" w:hAnsi="Calibri" w:cs="Calibri"/>
                <w:b/>
                <w:bCs/>
                <w:color w:val="000000" w:themeColor="text1"/>
              </w:rPr>
            </w:pPr>
            <w:r w:rsidRPr="009E29E0">
              <w:rPr>
                <w:rFonts w:ascii="Calibri" w:eastAsia="Calibri" w:hAnsi="Calibri" w:cs="Calibri"/>
                <w:b/>
                <w:bCs/>
                <w:color w:val="000000" w:themeColor="text1"/>
              </w:rPr>
              <w:t>Obstructives</w:t>
            </w:r>
          </w:p>
        </w:tc>
        <w:tc>
          <w:tcPr>
            <w:tcW w:w="2701" w:type="dxa"/>
            <w:shd w:val="clear" w:color="auto" w:fill="D1D1D1" w:themeFill="background2" w:themeFillShade="E6"/>
            <w:vAlign w:val="center"/>
          </w:tcPr>
          <w:p w14:paraId="2D856F5F" w14:textId="77777777" w:rsidR="00FE57EC" w:rsidRPr="009E29E0" w:rsidRDefault="00FE57EC" w:rsidP="009E29E0">
            <w:pPr>
              <w:spacing w:line="276" w:lineRule="auto"/>
              <w:jc w:val="center"/>
              <w:rPr>
                <w:rFonts w:ascii="Calibri" w:eastAsia="Calibri" w:hAnsi="Calibri" w:cs="Calibri"/>
                <w:b/>
                <w:bCs/>
                <w:color w:val="000000" w:themeColor="text1"/>
              </w:rPr>
            </w:pPr>
            <w:r w:rsidRPr="009E29E0">
              <w:rPr>
                <w:rFonts w:ascii="Calibri" w:eastAsia="Calibri" w:hAnsi="Calibri" w:cs="Calibri"/>
                <w:b/>
                <w:bCs/>
                <w:color w:val="000000" w:themeColor="text1"/>
              </w:rPr>
              <w:t>Restrictives</w:t>
            </w:r>
          </w:p>
        </w:tc>
        <w:tc>
          <w:tcPr>
            <w:tcW w:w="2552" w:type="dxa"/>
            <w:shd w:val="clear" w:color="auto" w:fill="D1D1D1" w:themeFill="background2" w:themeFillShade="E6"/>
            <w:vAlign w:val="center"/>
          </w:tcPr>
          <w:p w14:paraId="730E660D" w14:textId="77777777" w:rsidR="00FE57EC" w:rsidRPr="009E29E0" w:rsidRDefault="00FE57EC" w:rsidP="009E29E0">
            <w:pPr>
              <w:spacing w:line="276" w:lineRule="auto"/>
              <w:jc w:val="center"/>
              <w:rPr>
                <w:rFonts w:ascii="Calibri" w:eastAsia="Calibri" w:hAnsi="Calibri" w:cs="Calibri"/>
                <w:b/>
                <w:bCs/>
                <w:color w:val="000000" w:themeColor="text1"/>
              </w:rPr>
            </w:pPr>
            <w:r w:rsidRPr="009E29E0">
              <w:rPr>
                <w:rFonts w:ascii="Calibri" w:eastAsia="Calibri" w:hAnsi="Calibri" w:cs="Calibri"/>
                <w:b/>
                <w:bCs/>
                <w:color w:val="000000" w:themeColor="text1"/>
              </w:rPr>
              <w:t>Mixtes</w:t>
            </w:r>
          </w:p>
        </w:tc>
        <w:tc>
          <w:tcPr>
            <w:tcW w:w="1984" w:type="dxa"/>
            <w:shd w:val="clear" w:color="auto" w:fill="D1D1D1" w:themeFill="background2" w:themeFillShade="E6"/>
            <w:vAlign w:val="center"/>
          </w:tcPr>
          <w:p w14:paraId="0A6DF910" w14:textId="77777777" w:rsidR="00FE57EC" w:rsidRPr="009E29E0" w:rsidRDefault="00FE57EC" w:rsidP="009E29E0">
            <w:pPr>
              <w:spacing w:line="276" w:lineRule="auto"/>
              <w:jc w:val="center"/>
              <w:rPr>
                <w:rFonts w:ascii="Calibri" w:eastAsia="Calibri" w:hAnsi="Calibri" w:cs="Calibri"/>
                <w:b/>
                <w:bCs/>
                <w:color w:val="000000" w:themeColor="text1"/>
              </w:rPr>
            </w:pPr>
            <w:r w:rsidRPr="009E29E0">
              <w:rPr>
                <w:rFonts w:ascii="Calibri" w:eastAsia="Calibri" w:hAnsi="Calibri" w:cs="Calibri"/>
                <w:b/>
                <w:bCs/>
                <w:color w:val="000000" w:themeColor="text1"/>
              </w:rPr>
              <w:t>Sans TVO ni TVR</w:t>
            </w:r>
          </w:p>
        </w:tc>
      </w:tr>
      <w:tr w:rsidR="00FE57EC" w14:paraId="66A595BC" w14:textId="77777777" w:rsidTr="009E29E0">
        <w:tc>
          <w:tcPr>
            <w:tcW w:w="1830" w:type="dxa"/>
          </w:tcPr>
          <w:p w14:paraId="53D9912D" w14:textId="77777777" w:rsidR="00FE57EC" w:rsidRDefault="00FE57EC" w:rsidP="00FE57EC">
            <w:pPr>
              <w:spacing w:line="276" w:lineRule="auto"/>
              <w:rPr>
                <w:rFonts w:ascii="Calibri" w:eastAsia="Calibri" w:hAnsi="Calibri" w:cs="Calibri"/>
              </w:rPr>
            </w:pPr>
            <w:r>
              <w:rPr>
                <w:rFonts w:ascii="Calibri" w:eastAsia="Calibri" w:hAnsi="Calibri" w:cs="Calibri"/>
              </w:rPr>
              <w:t>- BPCO</w:t>
            </w:r>
          </w:p>
          <w:p w14:paraId="5CA356B8" w14:textId="77777777" w:rsidR="00FE57EC" w:rsidRDefault="00FE57EC" w:rsidP="00FE57EC">
            <w:pPr>
              <w:spacing w:line="276" w:lineRule="auto"/>
              <w:rPr>
                <w:rFonts w:ascii="Calibri" w:eastAsia="Calibri" w:hAnsi="Calibri" w:cs="Calibri"/>
              </w:rPr>
            </w:pPr>
            <w:r>
              <w:rPr>
                <w:rFonts w:ascii="Calibri" w:eastAsia="Calibri" w:hAnsi="Calibri" w:cs="Calibri"/>
              </w:rPr>
              <w:t>- Asthme vieilli</w:t>
            </w:r>
          </w:p>
          <w:p w14:paraId="0142B5DA" w14:textId="77777777" w:rsidR="00FE57EC" w:rsidRDefault="00FE57EC" w:rsidP="00FE57EC">
            <w:pPr>
              <w:spacing w:line="276" w:lineRule="auto"/>
              <w:rPr>
                <w:rFonts w:ascii="Calibri" w:eastAsia="Calibri" w:hAnsi="Calibri" w:cs="Calibri"/>
              </w:rPr>
            </w:pPr>
            <w:r>
              <w:rPr>
                <w:rFonts w:ascii="Calibri" w:eastAsia="Calibri" w:hAnsi="Calibri" w:cs="Calibri"/>
              </w:rPr>
              <w:t xml:space="preserve">- DDB </w:t>
            </w:r>
          </w:p>
        </w:tc>
        <w:tc>
          <w:tcPr>
            <w:tcW w:w="2701" w:type="dxa"/>
          </w:tcPr>
          <w:p w14:paraId="774719F9" w14:textId="77777777" w:rsidR="00FE57EC" w:rsidRDefault="00FE57EC" w:rsidP="00FE57EC">
            <w:pPr>
              <w:spacing w:line="276" w:lineRule="auto"/>
              <w:rPr>
                <w:rFonts w:ascii="Calibri" w:eastAsia="Calibri" w:hAnsi="Calibri" w:cs="Calibri"/>
              </w:rPr>
            </w:pPr>
            <w:r>
              <w:rPr>
                <w:rFonts w:ascii="Calibri" w:eastAsia="Calibri" w:hAnsi="Calibri" w:cs="Calibri"/>
              </w:rPr>
              <w:t>- Cyphoscoliose</w:t>
            </w:r>
          </w:p>
          <w:p w14:paraId="7DBC64FC" w14:textId="77777777" w:rsidR="00FE57EC" w:rsidRDefault="00FE57EC" w:rsidP="00FE57EC">
            <w:pPr>
              <w:spacing w:line="276" w:lineRule="auto"/>
              <w:rPr>
                <w:rFonts w:ascii="Calibri" w:eastAsia="Calibri" w:hAnsi="Calibri" w:cs="Calibri"/>
              </w:rPr>
            </w:pPr>
            <w:r>
              <w:rPr>
                <w:rFonts w:ascii="Calibri" w:eastAsia="Calibri" w:hAnsi="Calibri" w:cs="Calibri"/>
              </w:rPr>
              <w:t>- SOH</w:t>
            </w:r>
          </w:p>
          <w:p w14:paraId="3F7B02C5" w14:textId="77777777" w:rsidR="00FE57EC" w:rsidRDefault="00FE57EC" w:rsidP="00FE57EC">
            <w:pPr>
              <w:spacing w:line="276" w:lineRule="auto"/>
              <w:rPr>
                <w:rFonts w:ascii="Calibri" w:eastAsia="Calibri" w:hAnsi="Calibri" w:cs="Calibri"/>
              </w:rPr>
            </w:pPr>
            <w:r>
              <w:rPr>
                <w:rFonts w:ascii="Calibri" w:eastAsia="Calibri" w:hAnsi="Calibri" w:cs="Calibri"/>
              </w:rPr>
              <w:t>- Maladies neuromusculaires</w:t>
            </w:r>
          </w:p>
          <w:p w14:paraId="6D2616B5" w14:textId="77777777" w:rsidR="00FE57EC" w:rsidRDefault="00FE57EC" w:rsidP="00FE57EC">
            <w:pPr>
              <w:spacing w:line="276" w:lineRule="auto"/>
              <w:rPr>
                <w:rFonts w:ascii="Calibri" w:eastAsia="Calibri" w:hAnsi="Calibri" w:cs="Calibri"/>
              </w:rPr>
            </w:pPr>
            <w:r>
              <w:rPr>
                <w:rFonts w:ascii="Calibri" w:eastAsia="Calibri" w:hAnsi="Calibri" w:cs="Calibri"/>
              </w:rPr>
              <w:t>- Séquelles pleurales</w:t>
            </w:r>
          </w:p>
          <w:p w14:paraId="6942011B" w14:textId="77777777" w:rsidR="00FE57EC" w:rsidRDefault="00FE57EC" w:rsidP="00FE57EC">
            <w:pPr>
              <w:spacing w:line="276" w:lineRule="auto"/>
              <w:rPr>
                <w:rFonts w:ascii="Calibri" w:eastAsia="Calibri" w:hAnsi="Calibri" w:cs="Calibri"/>
              </w:rPr>
            </w:pPr>
            <w:r>
              <w:rPr>
                <w:rFonts w:ascii="Calibri" w:eastAsia="Calibri" w:hAnsi="Calibri" w:cs="Calibri"/>
              </w:rPr>
              <w:t>- Pneumopathies interstitielles</w:t>
            </w:r>
          </w:p>
        </w:tc>
        <w:tc>
          <w:tcPr>
            <w:tcW w:w="2552" w:type="dxa"/>
          </w:tcPr>
          <w:p w14:paraId="2431639E" w14:textId="461079B8" w:rsidR="00FE57EC" w:rsidRPr="002C0091" w:rsidRDefault="009E29E0" w:rsidP="00FE57EC">
            <w:pPr>
              <w:spacing w:line="276" w:lineRule="auto"/>
              <w:rPr>
                <w:rFonts w:ascii="Calibri" w:eastAsia="Calibri" w:hAnsi="Calibri" w:cs="Calibri"/>
                <w:color w:val="0070C0"/>
                <w:lang w:val="pt-PT"/>
              </w:rPr>
            </w:pPr>
            <w:r>
              <w:rPr>
                <w:noProof/>
              </w:rPr>
              <w:drawing>
                <wp:anchor distT="0" distB="0" distL="114300" distR="114300" simplePos="0" relativeHeight="251868160" behindDoc="0" locked="0" layoutInCell="1" hidden="0" allowOverlap="1" wp14:anchorId="7DDAA52B" wp14:editId="415EE3B8">
                  <wp:simplePos x="0" y="0"/>
                  <wp:positionH relativeFrom="column">
                    <wp:posOffset>1315085</wp:posOffset>
                  </wp:positionH>
                  <wp:positionV relativeFrom="paragraph">
                    <wp:posOffset>28575</wp:posOffset>
                  </wp:positionV>
                  <wp:extent cx="153670" cy="137160"/>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rsidRPr="002C0091">
              <w:rPr>
                <w:rFonts w:ascii="Calibri" w:eastAsia="Calibri" w:hAnsi="Calibri" w:cs="Calibri"/>
                <w:color w:val="0070C0"/>
                <w:lang w:val="pt-PT"/>
              </w:rPr>
              <w:t>- DDB</w:t>
            </w:r>
          </w:p>
          <w:p w14:paraId="15C77313" w14:textId="77777777" w:rsidR="00FE57EC" w:rsidRPr="002C0091" w:rsidRDefault="00FE57EC" w:rsidP="00FE57EC">
            <w:pPr>
              <w:spacing w:line="276" w:lineRule="auto"/>
              <w:rPr>
                <w:rFonts w:ascii="Calibri" w:eastAsia="Calibri" w:hAnsi="Calibri" w:cs="Calibri"/>
                <w:color w:val="0070C0"/>
                <w:lang w:val="pt-PT"/>
              </w:rPr>
            </w:pPr>
            <w:r w:rsidRPr="002C0091">
              <w:rPr>
                <w:rFonts w:ascii="Calibri" w:eastAsia="Calibri" w:hAnsi="Calibri" w:cs="Calibri"/>
                <w:color w:val="0070C0"/>
                <w:lang w:val="pt-PT"/>
              </w:rPr>
              <w:t xml:space="preserve">- </w:t>
            </w:r>
            <w:proofErr w:type="spellStart"/>
            <w:r w:rsidRPr="002C0091">
              <w:rPr>
                <w:rFonts w:ascii="Calibri" w:eastAsia="Calibri" w:hAnsi="Calibri" w:cs="Calibri"/>
                <w:color w:val="0070C0"/>
                <w:lang w:val="pt-PT"/>
              </w:rPr>
              <w:t>Mucoviscidose</w:t>
            </w:r>
            <w:proofErr w:type="spellEnd"/>
            <w:r w:rsidRPr="002C0091">
              <w:rPr>
                <w:rFonts w:ascii="Calibri" w:eastAsia="Calibri" w:hAnsi="Calibri" w:cs="Calibri"/>
                <w:color w:val="0070C0"/>
                <w:lang w:val="pt-PT"/>
              </w:rPr>
              <w:t xml:space="preserve"> </w:t>
            </w:r>
          </w:p>
          <w:p w14:paraId="1F966F1B" w14:textId="77777777" w:rsidR="00FE57EC" w:rsidRPr="002C0091" w:rsidRDefault="00FE57EC" w:rsidP="00FE57EC">
            <w:pPr>
              <w:spacing w:line="276" w:lineRule="auto"/>
              <w:rPr>
                <w:rFonts w:ascii="Calibri" w:eastAsia="Calibri" w:hAnsi="Calibri" w:cs="Calibri"/>
                <w:color w:val="0070C0"/>
                <w:lang w:val="pt-PT"/>
              </w:rPr>
            </w:pPr>
            <w:r w:rsidRPr="002C0091">
              <w:rPr>
                <w:rFonts w:ascii="Calibri" w:eastAsia="Calibri" w:hAnsi="Calibri" w:cs="Calibri"/>
                <w:color w:val="0070C0"/>
                <w:lang w:val="pt-PT"/>
              </w:rPr>
              <w:t xml:space="preserve">- </w:t>
            </w:r>
            <w:proofErr w:type="spellStart"/>
            <w:r w:rsidRPr="002C0091">
              <w:rPr>
                <w:rFonts w:ascii="Calibri" w:eastAsia="Calibri" w:hAnsi="Calibri" w:cs="Calibri"/>
                <w:color w:val="0070C0"/>
                <w:lang w:val="pt-PT"/>
              </w:rPr>
              <w:t>Séquelles</w:t>
            </w:r>
            <w:proofErr w:type="spellEnd"/>
            <w:r w:rsidRPr="002C0091">
              <w:rPr>
                <w:rFonts w:ascii="Calibri" w:eastAsia="Calibri" w:hAnsi="Calibri" w:cs="Calibri"/>
                <w:color w:val="0070C0"/>
                <w:lang w:val="pt-PT"/>
              </w:rPr>
              <w:t xml:space="preserve"> de tuberculose</w:t>
            </w:r>
          </w:p>
          <w:p w14:paraId="6931120F" w14:textId="77777777" w:rsidR="00FE57EC" w:rsidRPr="002C0091" w:rsidRDefault="00FE57EC" w:rsidP="00FE57EC">
            <w:pPr>
              <w:spacing w:line="276" w:lineRule="auto"/>
              <w:rPr>
                <w:rFonts w:ascii="Calibri" w:eastAsia="Calibri" w:hAnsi="Calibri" w:cs="Calibri"/>
                <w:color w:val="0070C0"/>
                <w:lang w:val="pt-PT"/>
              </w:rPr>
            </w:pPr>
            <w:r w:rsidRPr="002C0091">
              <w:rPr>
                <w:rFonts w:ascii="Calibri" w:eastAsia="Calibri" w:hAnsi="Calibri" w:cs="Calibri"/>
                <w:color w:val="0070C0"/>
                <w:lang w:val="pt-PT"/>
              </w:rPr>
              <w:t>- Silicose</w:t>
            </w:r>
          </w:p>
          <w:p w14:paraId="1A8EAC95" w14:textId="77777777" w:rsidR="00FE57EC" w:rsidRDefault="00FE57EC" w:rsidP="00FE57EC">
            <w:pPr>
              <w:spacing w:line="276" w:lineRule="auto"/>
              <w:rPr>
                <w:rFonts w:ascii="Calibri" w:eastAsia="Calibri" w:hAnsi="Calibri" w:cs="Calibri"/>
                <w:color w:val="0070C0"/>
              </w:rPr>
            </w:pPr>
            <w:r>
              <w:rPr>
                <w:rFonts w:ascii="Calibri" w:eastAsia="Calibri" w:hAnsi="Calibri" w:cs="Calibri"/>
                <w:color w:val="0070C0"/>
              </w:rPr>
              <w:t>- Autres pneumoconioses</w:t>
            </w:r>
          </w:p>
        </w:tc>
        <w:tc>
          <w:tcPr>
            <w:tcW w:w="1984" w:type="dxa"/>
          </w:tcPr>
          <w:p w14:paraId="6E7F8F84" w14:textId="77777777" w:rsidR="00FE57EC" w:rsidRDefault="00FE57EC" w:rsidP="00FE57EC">
            <w:pPr>
              <w:spacing w:line="276" w:lineRule="auto"/>
              <w:rPr>
                <w:rFonts w:ascii="Calibri" w:eastAsia="Calibri" w:hAnsi="Calibri" w:cs="Calibri"/>
              </w:rPr>
            </w:pPr>
            <w:r>
              <w:rPr>
                <w:rFonts w:ascii="Calibri" w:eastAsia="Calibri" w:hAnsi="Calibri" w:cs="Calibri"/>
              </w:rPr>
              <w:t>- SOH</w:t>
            </w:r>
          </w:p>
          <w:p w14:paraId="2EB1AE6B" w14:textId="77777777" w:rsidR="00FE57EC" w:rsidRDefault="00FE57EC" w:rsidP="00FE57EC">
            <w:pPr>
              <w:spacing w:line="276" w:lineRule="auto"/>
              <w:rPr>
                <w:rFonts w:ascii="Calibri" w:eastAsia="Calibri" w:hAnsi="Calibri" w:cs="Calibri"/>
              </w:rPr>
            </w:pPr>
          </w:p>
          <w:p w14:paraId="717D1543" w14:textId="77777777" w:rsidR="00FE57EC" w:rsidRDefault="00FE57EC" w:rsidP="00FE57EC">
            <w:pPr>
              <w:spacing w:line="276" w:lineRule="auto"/>
              <w:rPr>
                <w:rFonts w:ascii="Calibri" w:eastAsia="Calibri" w:hAnsi="Calibri" w:cs="Calibri"/>
              </w:rPr>
            </w:pPr>
            <w:r>
              <w:rPr>
                <w:rFonts w:ascii="Calibri" w:eastAsia="Calibri" w:hAnsi="Calibri" w:cs="Calibri"/>
              </w:rPr>
              <w:t>- Maladies vasculaires pulmonaires</w:t>
            </w:r>
          </w:p>
        </w:tc>
      </w:tr>
    </w:tbl>
    <w:p w14:paraId="796E4ACC" w14:textId="77777777" w:rsidR="00FE57EC" w:rsidRDefault="00FE57EC" w:rsidP="00FE57EC">
      <w:pPr>
        <w:spacing w:line="276" w:lineRule="auto"/>
        <w:rPr>
          <w:b/>
          <w:bCs/>
        </w:rPr>
      </w:pPr>
    </w:p>
    <w:p w14:paraId="17387DD5" w14:textId="77777777" w:rsidR="00FE57EC" w:rsidRDefault="00FE57EC">
      <w:pPr>
        <w:pStyle w:val="1titre"/>
        <w:numPr>
          <w:ilvl w:val="0"/>
          <w:numId w:val="24"/>
        </w:numPr>
      </w:pPr>
      <w:r>
        <w:t>Insuffisance respiratoire chronique obstructive</w:t>
      </w:r>
    </w:p>
    <w:p w14:paraId="6D400275" w14:textId="77777777" w:rsidR="00FE57EC" w:rsidRDefault="00FE57EC" w:rsidP="00FE57EC">
      <w:pPr>
        <w:spacing w:line="276" w:lineRule="auto"/>
      </w:pPr>
      <w:r>
        <w:t>Ce sont les plus fréquentes. Elles sont principalement représentées par la BPCO (cf. item 209).</w:t>
      </w:r>
    </w:p>
    <w:p w14:paraId="4BAB378B" w14:textId="77777777" w:rsidR="00FE57EC" w:rsidRDefault="00FE57EC" w:rsidP="00FE57EC">
      <w:pPr>
        <w:spacing w:line="276" w:lineRule="auto"/>
        <w:rPr>
          <w:i/>
          <w:iCs/>
        </w:rPr>
      </w:pPr>
      <w:r>
        <w:t>Les EFR mettent en évidence un trouble ventilatoire obstructif (TVO) défini par un rapport VEMS/CV &lt; 70 %.</w:t>
      </w:r>
      <w:r>
        <w:rPr>
          <w:i/>
          <w:iCs/>
        </w:rPr>
        <w:t xml:space="preserve"> </w:t>
      </w:r>
    </w:p>
    <w:p w14:paraId="027E9ED9" w14:textId="139644F6" w:rsidR="00FE57EC" w:rsidRDefault="00FE57EC" w:rsidP="00FE57EC">
      <w:pPr>
        <w:spacing w:line="276" w:lineRule="auto"/>
        <w:rPr>
          <w:i/>
          <w:iCs/>
        </w:rPr>
      </w:pPr>
    </w:p>
    <w:p w14:paraId="4EA0AC05" w14:textId="06E0522F" w:rsidR="00FE57EC" w:rsidRDefault="009E29E0" w:rsidP="00FE57EC">
      <w:pPr>
        <w:spacing w:line="276" w:lineRule="auto"/>
        <w:rPr>
          <w:color w:val="0070C0"/>
        </w:rPr>
      </w:pPr>
      <w:r>
        <w:rPr>
          <w:noProof/>
        </w:rPr>
        <w:drawing>
          <wp:anchor distT="0" distB="0" distL="114300" distR="114300" simplePos="0" relativeHeight="251869184" behindDoc="0" locked="0" layoutInCell="1" hidden="0" allowOverlap="1" wp14:anchorId="2A28F9B7" wp14:editId="6774D651">
            <wp:simplePos x="0" y="0"/>
            <wp:positionH relativeFrom="column">
              <wp:posOffset>-261458</wp:posOffset>
            </wp:positionH>
            <wp:positionV relativeFrom="paragraph">
              <wp:posOffset>1270</wp:posOffset>
            </wp:positionV>
            <wp:extent cx="153670" cy="137160"/>
            <wp:effectExtent l="0" t="0" r="0" b="0"/>
            <wp:wrapSquare wrapText="bothSides" distT="0" distB="0" distL="114300" distR="11430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rPr>
          <w:color w:val="0070C0"/>
        </w:rPr>
        <w:t xml:space="preserve">En cas d’emphysème étendu, la destruction alvéolaire et la réduction du lit capillaire altèrent le transfert de l’oxyde de carbone (TLCO). </w:t>
      </w:r>
    </w:p>
    <w:p w14:paraId="04F416B6" w14:textId="77777777" w:rsidR="00FE57EC" w:rsidRDefault="00FE57EC" w:rsidP="00FE57EC">
      <w:pPr>
        <w:spacing w:line="276" w:lineRule="auto"/>
        <w:rPr>
          <w:color w:val="0070C0"/>
        </w:rPr>
      </w:pPr>
      <w:r>
        <w:rPr>
          <w:color w:val="0070C0"/>
        </w:rPr>
        <w:t>Le mécanisme principal de l’hypoxémie est une inadéquation des rapports ventilation/perfusion. Elle est efficacement corrigée par l’oxygénothérapie de longue durée (OLD).</w:t>
      </w:r>
    </w:p>
    <w:p w14:paraId="2317F4E6" w14:textId="77777777" w:rsidR="00FE57EC" w:rsidRDefault="00FE57EC" w:rsidP="00FE57EC">
      <w:pPr>
        <w:spacing w:line="276" w:lineRule="auto"/>
        <w:rPr>
          <w:color w:val="0070C0"/>
        </w:rPr>
      </w:pPr>
    </w:p>
    <w:p w14:paraId="691AD88B" w14:textId="77777777" w:rsidR="00FE57EC" w:rsidRDefault="00FE57EC" w:rsidP="00FE57EC">
      <w:pPr>
        <w:spacing w:line="276" w:lineRule="auto"/>
        <w:rPr>
          <w:color w:val="0070C0"/>
        </w:rPr>
      </w:pPr>
      <w:r>
        <w:rPr>
          <w:color w:val="0070C0"/>
        </w:rPr>
        <w:t>La PaCO</w:t>
      </w:r>
      <w:r>
        <w:rPr>
          <w:color w:val="0070C0"/>
          <w:vertAlign w:val="subscript"/>
        </w:rPr>
        <w:t>2</w:t>
      </w:r>
      <w:r>
        <w:rPr>
          <w:color w:val="0070C0"/>
        </w:rPr>
        <w:t xml:space="preserve"> reste longtemps normale ou diminuée du fait d’une hyperventilation réflexe, la pompe ventilatoire n’étant pas atteinte. La survenue d’une hypercapnie traduit une faillite des mécanismes </w:t>
      </w:r>
      <w:r>
        <w:rPr>
          <w:color w:val="0070C0"/>
        </w:rPr>
        <w:lastRenderedPageBreak/>
        <w:t>de compensation de la pompe ventilatoire. Elle survient à un stade avancé de la maladie en cas de distension et/ou de destruction parenchymateuse importante.</w:t>
      </w:r>
    </w:p>
    <w:p w14:paraId="45F24727" w14:textId="77777777" w:rsidR="00FE57EC" w:rsidRDefault="00FE57EC" w:rsidP="00FE57EC">
      <w:pPr>
        <w:spacing w:line="276" w:lineRule="auto"/>
      </w:pPr>
    </w:p>
    <w:p w14:paraId="7AA08A44" w14:textId="77777777" w:rsidR="00FE57EC" w:rsidRDefault="00FE57EC" w:rsidP="009E29E0">
      <w:pPr>
        <w:pStyle w:val="Titre2"/>
      </w:pPr>
      <w:r>
        <w:t>Insuffisance respiratoire chronique restrictive</w:t>
      </w:r>
    </w:p>
    <w:p w14:paraId="7BE55081" w14:textId="77777777" w:rsidR="00FE57EC" w:rsidRDefault="00FE57EC" w:rsidP="00FE57EC">
      <w:pPr>
        <w:spacing w:line="276" w:lineRule="auto"/>
      </w:pPr>
      <w:r>
        <w:t>Les EFR mettent en évidence un trouble ventilatoire restrictif (TVR) défini par une capacité pulmonaire totale (CPT) &lt; 80 % des valeurs théoriques. Il existe une diminution de la capacité vitale et une insuffisance respiratoire chronique hypercapnique.</w:t>
      </w:r>
    </w:p>
    <w:p w14:paraId="274E642B" w14:textId="77777777" w:rsidR="00FE57EC" w:rsidRDefault="00FE57EC" w:rsidP="00FE57EC">
      <w:pPr>
        <w:spacing w:line="276" w:lineRule="auto"/>
      </w:pPr>
    </w:p>
    <w:tbl>
      <w:tblPr>
        <w:tblW w:w="9067"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ayout w:type="fixed"/>
        <w:tblLook w:val="0400" w:firstRow="0" w:lastRow="0" w:firstColumn="0" w:lastColumn="0" w:noHBand="0" w:noVBand="1"/>
      </w:tblPr>
      <w:tblGrid>
        <w:gridCol w:w="9067"/>
      </w:tblGrid>
      <w:tr w:rsidR="00FE57EC" w14:paraId="24425335" w14:textId="77777777" w:rsidTr="009E29E0">
        <w:trPr>
          <w:trHeight w:val="54"/>
        </w:trPr>
        <w:tc>
          <w:tcPr>
            <w:tcW w:w="9067" w:type="dxa"/>
            <w:vAlign w:val="center"/>
          </w:tcPr>
          <w:p w14:paraId="0565907A" w14:textId="77777777" w:rsidR="00FE57EC" w:rsidRDefault="00FE57EC" w:rsidP="00FE57EC">
            <w:pPr>
              <w:spacing w:line="276" w:lineRule="auto"/>
              <w:rPr>
                <w:color w:val="0070C0"/>
              </w:rPr>
            </w:pPr>
            <w:r>
              <w:rPr>
                <w:color w:val="0070C0"/>
              </w:rPr>
              <w:t>C’est une IRC par atteinte de la pompe ventilatoire avec hypoventilation sur les GDS. Les causes peuvent être très nombreuses, mais l’étiologie sera retrouvée en cherchant le dysfonctionnement du cerveau aux poumons :</w:t>
            </w:r>
            <w:r>
              <w:rPr>
                <w:noProof/>
              </w:rPr>
              <w:drawing>
                <wp:anchor distT="0" distB="0" distL="114300" distR="71755" simplePos="0" relativeHeight="251870208" behindDoc="0" locked="0" layoutInCell="1" hidden="0" allowOverlap="1" wp14:anchorId="12CEB998" wp14:editId="1FB2C50D">
                  <wp:simplePos x="0" y="0"/>
                  <wp:positionH relativeFrom="column">
                    <wp:posOffset>-36194</wp:posOffset>
                  </wp:positionH>
                  <wp:positionV relativeFrom="paragraph">
                    <wp:posOffset>14604</wp:posOffset>
                  </wp:positionV>
                  <wp:extent cx="615600" cy="590400"/>
                  <wp:effectExtent l="0" t="0" r="0" b="0"/>
                  <wp:wrapSquare wrapText="bothSides" distT="0" distB="0" distL="114300" distR="71755"/>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615600" cy="590400"/>
                          </a:xfrm>
                          <a:prstGeom prst="rect">
                            <a:avLst/>
                          </a:prstGeom>
                          <a:ln/>
                        </pic:spPr>
                      </pic:pic>
                    </a:graphicData>
                  </a:graphic>
                </wp:anchor>
              </w:drawing>
            </w:r>
            <w:r>
              <w:rPr>
                <w:noProof/>
              </w:rPr>
              <w:drawing>
                <wp:anchor distT="0" distB="0" distL="114300" distR="114300" simplePos="0" relativeHeight="251871232" behindDoc="0" locked="0" layoutInCell="1" hidden="0" allowOverlap="1" wp14:anchorId="283E57FB" wp14:editId="7AC2089E">
                  <wp:simplePos x="0" y="0"/>
                  <wp:positionH relativeFrom="column">
                    <wp:posOffset>694690</wp:posOffset>
                  </wp:positionH>
                  <wp:positionV relativeFrom="paragraph">
                    <wp:posOffset>12700</wp:posOffset>
                  </wp:positionV>
                  <wp:extent cx="153670" cy="13716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24645D68" w14:textId="77777777" w:rsidR="00FE57EC" w:rsidRDefault="00FE57EC" w:rsidP="00FE57EC">
            <w:pPr>
              <w:spacing w:line="276" w:lineRule="auto"/>
              <w:rPr>
                <w:color w:val="0070C0"/>
              </w:rPr>
            </w:pPr>
            <w:r>
              <w:rPr>
                <w:color w:val="0070C0"/>
              </w:rPr>
              <w:t>1) Une atteinte de la commande centrale respiratoire (dans le tronc cérébral).</w:t>
            </w:r>
          </w:p>
          <w:p w14:paraId="39602464" w14:textId="5F73CDB9" w:rsidR="00FE57EC" w:rsidRDefault="00FE57EC" w:rsidP="00FE57EC">
            <w:pPr>
              <w:spacing w:line="276" w:lineRule="auto"/>
              <w:rPr>
                <w:color w:val="0070C0"/>
              </w:rPr>
            </w:pPr>
            <w:r>
              <w:rPr>
                <w:color w:val="0070C0"/>
              </w:rPr>
              <w:t>2) Une atteinte à un niveau des voies de conduction des muscles inspiratoires (moelle épinière, tronc</w:t>
            </w:r>
            <w:r w:rsidR="009E29E0">
              <w:rPr>
                <w:color w:val="0070C0"/>
              </w:rPr>
              <w:t>s</w:t>
            </w:r>
            <w:r>
              <w:rPr>
                <w:color w:val="0070C0"/>
              </w:rPr>
              <w:t xml:space="preserve"> nerveux </w:t>
            </w:r>
            <w:sdt>
              <w:sdtPr>
                <w:tag w:val="goog_rdk_4"/>
                <w:id w:val="1362052754"/>
              </w:sdtPr>
              <w:sdtContent/>
            </w:sdt>
            <w:r>
              <w:rPr>
                <w:color w:val="0070C0"/>
              </w:rPr>
              <w:t>cervicaux, nerfs phréniques, jonction neuromusculaire…).</w:t>
            </w:r>
          </w:p>
          <w:p w14:paraId="3860E05A" w14:textId="77777777" w:rsidR="00FE57EC" w:rsidRDefault="00FE57EC" w:rsidP="00FE57EC">
            <w:pPr>
              <w:spacing w:line="276" w:lineRule="auto"/>
              <w:rPr>
                <w:color w:val="0070C0"/>
              </w:rPr>
            </w:pPr>
            <w:r>
              <w:rPr>
                <w:color w:val="0070C0"/>
              </w:rPr>
              <w:t>3) Les anomalies du muscle diaphragmatique (myopathies, myotonies, myosites, traumatismes…).</w:t>
            </w:r>
          </w:p>
          <w:p w14:paraId="778BB63B" w14:textId="77777777" w:rsidR="00FE57EC" w:rsidRDefault="00FE57EC" w:rsidP="00FE57EC">
            <w:pPr>
              <w:spacing w:line="276" w:lineRule="auto"/>
              <w:rPr>
                <w:color w:val="0070C0"/>
              </w:rPr>
            </w:pPr>
            <w:r>
              <w:rPr>
                <w:color w:val="0070C0"/>
              </w:rPr>
              <w:t>4) Les anomalies de la cage thoracique (cyphoscoliose, obésité morbide…).</w:t>
            </w:r>
          </w:p>
          <w:p w14:paraId="45DAF7F5" w14:textId="77777777" w:rsidR="00FE57EC" w:rsidRDefault="00FE57EC" w:rsidP="00FE57EC">
            <w:pPr>
              <w:spacing w:line="276" w:lineRule="auto"/>
              <w:rPr>
                <w:color w:val="0070C0"/>
              </w:rPr>
            </w:pPr>
            <w:r>
              <w:rPr>
                <w:color w:val="0070C0"/>
              </w:rPr>
              <w:t>5) Les séquelles pleurales.</w:t>
            </w:r>
          </w:p>
          <w:p w14:paraId="7C675C06" w14:textId="77777777" w:rsidR="00FE57EC" w:rsidRDefault="00FE57EC" w:rsidP="00FE57EC">
            <w:pPr>
              <w:spacing w:line="276" w:lineRule="auto"/>
              <w:rPr>
                <w:color w:val="0070C0"/>
              </w:rPr>
            </w:pPr>
            <w:r>
              <w:rPr>
                <w:color w:val="0070C0"/>
              </w:rPr>
              <w:t>7) Une atteinte parenchymateuse (PID, fibroses, séquelles de pneumopathie…)</w:t>
            </w:r>
          </w:p>
        </w:tc>
      </w:tr>
    </w:tbl>
    <w:p w14:paraId="1F7EEA01" w14:textId="77777777" w:rsidR="00FE57EC" w:rsidRDefault="00FE57EC" w:rsidP="00FE57EC">
      <w:pPr>
        <w:spacing w:line="276" w:lineRule="auto"/>
        <w:rPr>
          <w:i/>
          <w:iCs/>
        </w:rPr>
      </w:pPr>
    </w:p>
    <w:p w14:paraId="62E3E25B" w14:textId="77777777" w:rsidR="00FE57EC" w:rsidRDefault="00FE57EC" w:rsidP="00FE57EC">
      <w:pPr>
        <w:spacing w:line="276" w:lineRule="auto"/>
        <w:rPr>
          <w:b/>
          <w:bCs/>
          <w:u w:val="single"/>
        </w:rPr>
      </w:pPr>
      <w:r>
        <w:rPr>
          <w:b/>
          <w:bCs/>
          <w:u w:val="single"/>
        </w:rPr>
        <w:t>Maladies neuromusculaires</w:t>
      </w:r>
    </w:p>
    <w:p w14:paraId="5B6FAD86" w14:textId="77777777" w:rsidR="00FE57EC" w:rsidRDefault="00FE57EC" w:rsidP="00FE57EC">
      <w:pPr>
        <w:spacing w:line="276" w:lineRule="auto"/>
      </w:pPr>
      <w:r>
        <w:t>Le fonctionnement de la pompe ventilatoire peut être altéré à différents niveaux : commande ventilatoire (accident vasculaire cérébral, encéphalite, tumeur, avec de nombreuses autres causes possibles…), lésions spinales (tétraplégie post-traumatique, par exemple, avec de nombreuses autres causes possibles…), maladies dégénératives de la corne antérieure (sclérose latérale amyotrophique par exemple, avec de nombreuses autres causes possibles…), myopathies (dystrophie musculaire de Duchenne de Boulogne ou myotonie de Steinert par exemple, avec de nombreuses autres causes possibles…).</w:t>
      </w:r>
    </w:p>
    <w:p w14:paraId="6660E02B" w14:textId="77777777" w:rsidR="00FE57EC" w:rsidRDefault="00FE57EC" w:rsidP="00FE57EC">
      <w:pPr>
        <w:spacing w:line="276" w:lineRule="auto"/>
        <w:rPr>
          <w:u w:val="single"/>
        </w:rPr>
      </w:pPr>
    </w:p>
    <w:p w14:paraId="2D84C071" w14:textId="77777777" w:rsidR="00FE57EC" w:rsidRDefault="00FE57EC" w:rsidP="00FE57EC">
      <w:pPr>
        <w:spacing w:line="276" w:lineRule="auto"/>
        <w:rPr>
          <w:b/>
          <w:bCs/>
          <w:u w:val="single"/>
        </w:rPr>
      </w:pPr>
      <w:r>
        <w:rPr>
          <w:b/>
          <w:bCs/>
          <w:u w:val="single"/>
        </w:rPr>
        <w:t>Cyphoscoliose idiopathique</w:t>
      </w:r>
    </w:p>
    <w:p w14:paraId="58D77B54" w14:textId="77777777" w:rsidR="00FE57EC" w:rsidRDefault="00FE57EC" w:rsidP="00FE57EC">
      <w:pPr>
        <w:spacing w:line="276" w:lineRule="auto"/>
      </w:pPr>
      <w:r>
        <w:t>La cyphoscoliose peut se compliquer d’une insuffisance respiratoire chronique. L’augmentation de la charge imposée par la paroi thoracique altère le fonctionnement de la pompe ventilatoire.</w:t>
      </w:r>
    </w:p>
    <w:p w14:paraId="5DA31BE8" w14:textId="74CE3801" w:rsidR="00FE57EC" w:rsidRDefault="009E29E0" w:rsidP="00FE57EC">
      <w:pPr>
        <w:spacing w:line="276" w:lineRule="auto"/>
        <w:rPr>
          <w:color w:val="0070C0"/>
        </w:rPr>
      </w:pPr>
      <w:r>
        <w:rPr>
          <w:noProof/>
        </w:rPr>
        <w:drawing>
          <wp:anchor distT="0" distB="0" distL="114300" distR="114300" simplePos="0" relativeHeight="251872256" behindDoc="0" locked="0" layoutInCell="1" hidden="0" allowOverlap="1" wp14:anchorId="00D18216" wp14:editId="5FAF17B3">
            <wp:simplePos x="0" y="0"/>
            <wp:positionH relativeFrom="column">
              <wp:posOffset>-260512</wp:posOffset>
            </wp:positionH>
            <wp:positionV relativeFrom="paragraph">
              <wp:posOffset>11430</wp:posOffset>
            </wp:positionV>
            <wp:extent cx="153670" cy="13716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rPr>
          <w:color w:val="0070C0"/>
        </w:rPr>
        <w:t xml:space="preserve">Plusieurs facteurs de risque ont été identifiés : </w:t>
      </w:r>
    </w:p>
    <w:p w14:paraId="55727DAE" w14:textId="77777777" w:rsidR="00FE57EC" w:rsidRDefault="00FE57EC" w:rsidP="00FE57EC">
      <w:pPr>
        <w:spacing w:line="276" w:lineRule="auto"/>
        <w:rPr>
          <w:color w:val="0070C0"/>
        </w:rPr>
      </w:pPr>
      <w:r>
        <w:rPr>
          <w:color w:val="0070C0"/>
        </w:rPr>
        <w:t>1) Âge de survenue de la déformation, avant 5 ans.</w:t>
      </w:r>
    </w:p>
    <w:p w14:paraId="244C535B" w14:textId="77777777" w:rsidR="00FE57EC" w:rsidRDefault="00FE57EC" w:rsidP="00FE57EC">
      <w:pPr>
        <w:spacing w:line="276" w:lineRule="auto"/>
        <w:rPr>
          <w:color w:val="0070C0"/>
        </w:rPr>
      </w:pPr>
      <w:r>
        <w:rPr>
          <w:color w:val="0070C0"/>
        </w:rPr>
        <w:t>2) Longueur de la déformation.</w:t>
      </w:r>
    </w:p>
    <w:p w14:paraId="1F26870D" w14:textId="77777777" w:rsidR="00FE57EC" w:rsidRDefault="00FE57EC" w:rsidP="00FE57EC">
      <w:pPr>
        <w:spacing w:line="276" w:lineRule="auto"/>
        <w:rPr>
          <w:color w:val="0070C0"/>
        </w:rPr>
      </w:pPr>
      <w:r>
        <w:rPr>
          <w:color w:val="0070C0"/>
        </w:rPr>
        <w:t>3) Siège de la déformation, plus haut situé.</w:t>
      </w:r>
    </w:p>
    <w:p w14:paraId="2417D205" w14:textId="77777777" w:rsidR="00FE57EC" w:rsidRDefault="00FE57EC" w:rsidP="00FE57EC">
      <w:pPr>
        <w:spacing w:line="276" w:lineRule="auto"/>
        <w:rPr>
          <w:color w:val="0070C0"/>
        </w:rPr>
      </w:pPr>
      <w:r>
        <w:rPr>
          <w:color w:val="0070C0"/>
        </w:rPr>
        <w:t xml:space="preserve">4) Importance de l’angulation. </w:t>
      </w:r>
    </w:p>
    <w:p w14:paraId="40E0CA8E" w14:textId="77777777" w:rsidR="00FE57EC" w:rsidRDefault="00FE57EC" w:rsidP="00FE57EC">
      <w:pPr>
        <w:spacing w:line="276" w:lineRule="auto"/>
        <w:rPr>
          <w:u w:val="single"/>
        </w:rPr>
      </w:pPr>
    </w:p>
    <w:p w14:paraId="0AC78108" w14:textId="77777777" w:rsidR="00FE57EC" w:rsidRDefault="00FE57EC" w:rsidP="00FE57EC">
      <w:pPr>
        <w:spacing w:line="276" w:lineRule="auto"/>
        <w:rPr>
          <w:b/>
          <w:bCs/>
          <w:u w:val="single"/>
        </w:rPr>
      </w:pPr>
      <w:r>
        <w:rPr>
          <w:b/>
          <w:bCs/>
          <w:u w:val="single"/>
        </w:rPr>
        <w:t>Séquelles pleurales</w:t>
      </w:r>
    </w:p>
    <w:p w14:paraId="22ADC269" w14:textId="77777777" w:rsidR="00FE57EC" w:rsidRDefault="00FE57EC" w:rsidP="00FE57EC">
      <w:pPr>
        <w:spacing w:line="276" w:lineRule="auto"/>
      </w:pPr>
      <w:r>
        <w:t>Elles correspondent aux séquelles étendues d’hémothorax ou de pleurésies infectieuses. L’épaississement et la rigidité de la plèvre entraînent une gêne à l’expansion pulmonaire.</w:t>
      </w:r>
    </w:p>
    <w:p w14:paraId="7F07F9F3" w14:textId="77777777" w:rsidR="00FE57EC" w:rsidRDefault="00FE57EC" w:rsidP="00FE57EC">
      <w:pPr>
        <w:spacing w:line="276" w:lineRule="auto"/>
        <w:rPr>
          <w:b/>
          <w:bCs/>
        </w:rPr>
      </w:pPr>
    </w:p>
    <w:p w14:paraId="700CEE3D" w14:textId="77777777" w:rsidR="00FE57EC" w:rsidRDefault="00FE57EC" w:rsidP="00FE57EC">
      <w:pPr>
        <w:spacing w:line="276" w:lineRule="auto"/>
        <w:rPr>
          <w:b/>
          <w:bCs/>
          <w:u w:val="single"/>
        </w:rPr>
      </w:pPr>
      <w:r>
        <w:rPr>
          <w:b/>
          <w:bCs/>
          <w:u w:val="single"/>
        </w:rPr>
        <w:t xml:space="preserve">Atteintes parenchymateuses pulmonaires </w:t>
      </w:r>
    </w:p>
    <w:p w14:paraId="3B1C89E1" w14:textId="77777777" w:rsidR="00FE57EC" w:rsidRDefault="00FE57EC" w:rsidP="00FE57EC">
      <w:pPr>
        <w:spacing w:line="276" w:lineRule="auto"/>
      </w:pPr>
      <w:r>
        <w:t>Elles sont représentées par les pneumopathies interstitielles diffuses avec fibrose : Fibroses pulmonaires de cause non connue (fibrose pulmonaire idiopathique) ou de cause connue (exposition professionnelle, origine iatrogène, maladies de système) (item 201).</w:t>
      </w:r>
    </w:p>
    <w:p w14:paraId="50E24FFC" w14:textId="0B50547E" w:rsidR="00FE57EC" w:rsidRDefault="009E29E0" w:rsidP="00FE57EC">
      <w:pPr>
        <w:spacing w:line="276" w:lineRule="auto"/>
      </w:pPr>
      <w:r>
        <w:rPr>
          <w:noProof/>
        </w:rPr>
        <w:lastRenderedPageBreak/>
        <w:drawing>
          <wp:anchor distT="0" distB="0" distL="114300" distR="114300" simplePos="0" relativeHeight="251873280" behindDoc="0" locked="0" layoutInCell="1" hidden="0" allowOverlap="1" wp14:anchorId="1F194414" wp14:editId="0216DA2D">
            <wp:simplePos x="0" y="0"/>
            <wp:positionH relativeFrom="column">
              <wp:posOffset>-262255</wp:posOffset>
            </wp:positionH>
            <wp:positionV relativeFrom="paragraph">
              <wp:posOffset>161925</wp:posOffset>
            </wp:positionV>
            <wp:extent cx="153670" cy="137160"/>
            <wp:effectExtent l="0" t="0" r="0" b="0"/>
            <wp:wrapSquare wrapText="bothSides" distT="0" distB="0" distL="114300" distR="11430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t>L’altération de la membrane alvéolo-capillaire entraîne une baisse du TLCO.</w:t>
      </w:r>
    </w:p>
    <w:p w14:paraId="152348D2" w14:textId="43F78FB1" w:rsidR="00FE57EC" w:rsidRDefault="00FE57EC" w:rsidP="00FE57EC">
      <w:pPr>
        <w:spacing w:line="276" w:lineRule="auto"/>
        <w:rPr>
          <w:color w:val="0070C0"/>
        </w:rPr>
      </w:pPr>
      <w:r>
        <w:rPr>
          <w:color w:val="0070C0"/>
        </w:rPr>
        <w:t>Dans les pneumopathies interstitielles, la principale anomalie est l’atteinte de la diffusion alvéolo-capillaire des gaz, entraînant une hypoxémie à l’effort puis une hypoxémie au repos. L’hypoventilation est rare, témoignant d’une atteinte pulmonaire terminale ou de l’association à une autre atteinte qui favorise l’hypoventilation (par exemple une obésité ou une fonte musculaire associée).</w:t>
      </w:r>
    </w:p>
    <w:p w14:paraId="05AD64B4" w14:textId="77777777" w:rsidR="00FE57EC" w:rsidRDefault="00FE57EC" w:rsidP="00FE57EC">
      <w:pPr>
        <w:spacing w:line="276" w:lineRule="auto"/>
      </w:pPr>
    </w:p>
    <w:p w14:paraId="67FCFAA5" w14:textId="77777777" w:rsidR="00FE57EC" w:rsidRDefault="00FE57EC" w:rsidP="00FE57EC">
      <w:pPr>
        <w:spacing w:line="276" w:lineRule="auto"/>
        <w:rPr>
          <w:b/>
          <w:bCs/>
          <w:u w:val="single"/>
        </w:rPr>
      </w:pPr>
      <w:r>
        <w:rPr>
          <w:b/>
          <w:bCs/>
          <w:u w:val="single"/>
        </w:rPr>
        <w:t>SOH : le syndrome obésité hypoventilation</w:t>
      </w:r>
    </w:p>
    <w:p w14:paraId="6F28810D" w14:textId="77777777" w:rsidR="00FE57EC" w:rsidRDefault="00FE57EC" w:rsidP="00FE57EC">
      <w:pPr>
        <w:spacing w:line="276" w:lineRule="auto"/>
        <w:rPr>
          <w:u w:val="single"/>
        </w:rPr>
      </w:pPr>
      <w:r>
        <w:t>Il s’agit d’une des causes les plus fréquentes d’IRC. C’est l’IRC de l’obésité.</w:t>
      </w:r>
    </w:p>
    <w:p w14:paraId="1FD8D52C" w14:textId="77777777" w:rsidR="009E29E0" w:rsidRDefault="00FE57EC" w:rsidP="00FE57EC">
      <w:pPr>
        <w:spacing w:line="276" w:lineRule="auto"/>
      </w:pPr>
      <w:r>
        <w:t>Le SOH est défini par</w:t>
      </w:r>
      <w:r w:rsidR="009E29E0">
        <w:t> :</w:t>
      </w:r>
    </w:p>
    <w:p w14:paraId="46D04C6E" w14:textId="03F01E69" w:rsidR="009E29E0" w:rsidRDefault="009E29E0">
      <w:pPr>
        <w:pStyle w:val="Paragraphedeliste"/>
        <w:numPr>
          <w:ilvl w:val="0"/>
          <w:numId w:val="25"/>
        </w:numPr>
        <w:spacing w:line="276" w:lineRule="auto"/>
        <w:ind w:left="426" w:hanging="284"/>
      </w:pPr>
      <w:r>
        <w:t>L</w:t>
      </w:r>
      <w:r w:rsidRPr="009E29E0">
        <w:t xml:space="preserve">a présence d’une hypercapnie diurne (PaCO2 ≥ 45 </w:t>
      </w:r>
      <w:proofErr w:type="spellStart"/>
      <w:r w:rsidRPr="009E29E0">
        <w:t>mmHg</w:t>
      </w:r>
      <w:proofErr w:type="spellEnd"/>
      <w:r w:rsidRPr="009E29E0">
        <w:t xml:space="preserve"> soit 6,0 kPa)</w:t>
      </w:r>
      <w:r>
        <w:t>.</w:t>
      </w:r>
    </w:p>
    <w:p w14:paraId="30E8226D" w14:textId="6B199805" w:rsidR="009E29E0" w:rsidRDefault="009E29E0">
      <w:pPr>
        <w:pStyle w:val="Paragraphedeliste"/>
        <w:numPr>
          <w:ilvl w:val="0"/>
          <w:numId w:val="25"/>
        </w:numPr>
        <w:spacing w:line="276" w:lineRule="auto"/>
        <w:ind w:left="426" w:hanging="284"/>
      </w:pPr>
      <w:r w:rsidRPr="009E29E0">
        <w:t>Chez un individu avec un index de masse corporelle ≥ 30 kg/m</w:t>
      </w:r>
      <w:r w:rsidRPr="009E29E0">
        <w:rPr>
          <w:vertAlign w:val="superscript"/>
        </w:rPr>
        <w:t>2</w:t>
      </w:r>
      <w:r>
        <w:t>.</w:t>
      </w:r>
    </w:p>
    <w:p w14:paraId="7FEBCC40" w14:textId="63AA977E" w:rsidR="00FE57EC" w:rsidRDefault="009E29E0">
      <w:pPr>
        <w:pStyle w:val="Paragraphedeliste"/>
        <w:numPr>
          <w:ilvl w:val="0"/>
          <w:numId w:val="25"/>
        </w:numPr>
        <w:spacing w:line="276" w:lineRule="auto"/>
        <w:ind w:left="426" w:hanging="284"/>
      </w:pPr>
      <w:r w:rsidRPr="009E29E0">
        <w:t xml:space="preserve">En l’absence d’autre cause d’hypercapnie.  </w:t>
      </w:r>
      <w:r w:rsidR="00FE57EC">
        <w:t xml:space="preserve"> </w:t>
      </w:r>
    </w:p>
    <w:p w14:paraId="0464A90F" w14:textId="77777777" w:rsidR="009E29E0" w:rsidRDefault="009E29E0" w:rsidP="00FE57EC">
      <w:pPr>
        <w:spacing w:line="276" w:lineRule="auto"/>
      </w:pPr>
    </w:p>
    <w:p w14:paraId="1407AF42" w14:textId="0D6204F3" w:rsidR="00FE57EC" w:rsidRDefault="00FE57EC" w:rsidP="00FE57EC">
      <w:pPr>
        <w:spacing w:line="276" w:lineRule="auto"/>
      </w:pPr>
      <w:r>
        <w:t>Malgré une charge mécanique excessive sur le thorax, on ne retrouve un syndrome restrictif que chez 20 % des malades. On retrouvera donc cette cause aussi dans la partie à EFR normales (figure 2 et tableau 1).</w:t>
      </w:r>
    </w:p>
    <w:p w14:paraId="05DB4222" w14:textId="77777777" w:rsidR="00FE57EC" w:rsidRDefault="00FE57EC" w:rsidP="00FE57EC">
      <w:pPr>
        <w:spacing w:line="276" w:lineRule="auto"/>
      </w:pPr>
    </w:p>
    <w:tbl>
      <w:tblPr>
        <w:tblW w:w="9067"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ayout w:type="fixed"/>
        <w:tblLook w:val="0400" w:firstRow="0" w:lastRow="0" w:firstColumn="0" w:lastColumn="0" w:noHBand="0" w:noVBand="1"/>
      </w:tblPr>
      <w:tblGrid>
        <w:gridCol w:w="9067"/>
      </w:tblGrid>
      <w:tr w:rsidR="00FE57EC" w14:paraId="69B1FF7D" w14:textId="77777777" w:rsidTr="009E29E0">
        <w:trPr>
          <w:trHeight w:val="54"/>
        </w:trPr>
        <w:tc>
          <w:tcPr>
            <w:tcW w:w="9067" w:type="dxa"/>
            <w:vAlign w:val="center"/>
          </w:tcPr>
          <w:p w14:paraId="4784CCF2" w14:textId="77777777" w:rsidR="00FE57EC" w:rsidRDefault="00FE57EC" w:rsidP="00FE57EC">
            <w:pPr>
              <w:spacing w:line="276" w:lineRule="auto"/>
              <w:rPr>
                <w:color w:val="0070C0"/>
              </w:rPr>
            </w:pPr>
            <w:r>
              <w:rPr>
                <w:color w:val="0070C0"/>
              </w:rPr>
              <w:t xml:space="preserve">L’IRC du SOH est multifactorielle et d’un niveau d’expertise qui nécessite la prise en charge par un pneumologue. </w:t>
            </w:r>
            <w:r>
              <w:rPr>
                <w:noProof/>
              </w:rPr>
              <w:drawing>
                <wp:anchor distT="0" distB="0" distL="114300" distR="114300" simplePos="0" relativeHeight="251874304" behindDoc="0" locked="0" layoutInCell="1" hidden="0" allowOverlap="1" wp14:anchorId="16E0DD41" wp14:editId="4B94C06C">
                  <wp:simplePos x="0" y="0"/>
                  <wp:positionH relativeFrom="column">
                    <wp:posOffset>-586739</wp:posOffset>
                  </wp:positionH>
                  <wp:positionV relativeFrom="paragraph">
                    <wp:posOffset>50165</wp:posOffset>
                  </wp:positionV>
                  <wp:extent cx="499110" cy="601345"/>
                  <wp:effectExtent l="0" t="0" r="0" b="0"/>
                  <wp:wrapSquare wrapText="bothSides" distT="0" distB="0" distL="114300" distR="11430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99110" cy="601345"/>
                          </a:xfrm>
                          <a:prstGeom prst="rect">
                            <a:avLst/>
                          </a:prstGeom>
                          <a:ln/>
                        </pic:spPr>
                      </pic:pic>
                    </a:graphicData>
                  </a:graphic>
                </wp:anchor>
              </w:drawing>
            </w:r>
            <w:r>
              <w:rPr>
                <w:noProof/>
              </w:rPr>
              <w:drawing>
                <wp:anchor distT="0" distB="0" distL="114300" distR="114300" simplePos="0" relativeHeight="251875328" behindDoc="0" locked="0" layoutInCell="1" hidden="0" allowOverlap="1" wp14:anchorId="24A6BB1A" wp14:editId="2B6497BC">
                  <wp:simplePos x="0" y="0"/>
                  <wp:positionH relativeFrom="column">
                    <wp:posOffset>610234</wp:posOffset>
                  </wp:positionH>
                  <wp:positionV relativeFrom="paragraph">
                    <wp:posOffset>14604</wp:posOffset>
                  </wp:positionV>
                  <wp:extent cx="153670" cy="137160"/>
                  <wp:effectExtent l="0" t="0" r="0" b="0"/>
                  <wp:wrapSquare wrapText="bothSides" distT="0" distB="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4CB73B67" w14:textId="77777777" w:rsidR="00FE57EC" w:rsidRDefault="00FE57EC" w:rsidP="00FE57EC">
            <w:pPr>
              <w:spacing w:line="276" w:lineRule="auto"/>
            </w:pPr>
            <w:r>
              <w:rPr>
                <w:color w:val="00B050"/>
              </w:rPr>
              <w:t xml:space="preserve">Les causes physiopathologiques sont : </w:t>
            </w:r>
            <w:r>
              <w:rPr>
                <w:noProof/>
              </w:rPr>
              <w:drawing>
                <wp:anchor distT="0" distB="0" distL="114300" distR="114300" simplePos="0" relativeHeight="251876352" behindDoc="0" locked="0" layoutInCell="1" hidden="0" allowOverlap="1" wp14:anchorId="4D1DBF1E" wp14:editId="0939C81B">
                  <wp:simplePos x="0" y="0"/>
                  <wp:positionH relativeFrom="column">
                    <wp:posOffset>524096</wp:posOffset>
                  </wp:positionH>
                  <wp:positionV relativeFrom="paragraph">
                    <wp:posOffset>2954</wp:posOffset>
                  </wp:positionV>
                  <wp:extent cx="136444" cy="138458"/>
                  <wp:effectExtent l="0" t="0" r="0" b="0"/>
                  <wp:wrapSquare wrapText="bothSides" distT="0" distB="0" distL="114300" distR="11430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136444" cy="138458"/>
                          </a:xfrm>
                          <a:prstGeom prst="rect">
                            <a:avLst/>
                          </a:prstGeom>
                          <a:ln/>
                        </pic:spPr>
                      </pic:pic>
                    </a:graphicData>
                  </a:graphic>
                </wp:anchor>
              </w:drawing>
            </w:r>
          </w:p>
          <w:p w14:paraId="0CF10A2C" w14:textId="77777777" w:rsidR="009E29E0" w:rsidRDefault="00FE57EC">
            <w:pPr>
              <w:pStyle w:val="Paragraphedeliste"/>
              <w:numPr>
                <w:ilvl w:val="1"/>
                <w:numId w:val="18"/>
              </w:numPr>
              <w:pBdr>
                <w:top w:val="nil"/>
                <w:left w:val="nil"/>
                <w:bottom w:val="nil"/>
                <w:right w:val="nil"/>
                <w:between w:val="nil"/>
              </w:pBdr>
              <w:spacing w:line="276" w:lineRule="auto"/>
              <w:rPr>
                <w:color w:val="00B050"/>
              </w:rPr>
            </w:pPr>
            <w:r w:rsidRPr="009E29E0">
              <w:rPr>
                <w:color w:val="00B050"/>
              </w:rPr>
              <w:t>Un dysfonctionnement des centres respiratoires caractérisé par un effondrement de la réponse ventilatoire au CO</w:t>
            </w:r>
            <w:r w:rsidRPr="009E29E0">
              <w:rPr>
                <w:color w:val="00B050"/>
                <w:vertAlign w:val="subscript"/>
              </w:rPr>
              <w:t>2</w:t>
            </w:r>
            <w:r w:rsidRPr="009E29E0">
              <w:rPr>
                <w:color w:val="00B050"/>
              </w:rPr>
              <w:t xml:space="preserve"> avec un rôle possible de la leptine, hormone sécrétée par les adipocytes.</w:t>
            </w:r>
          </w:p>
          <w:p w14:paraId="789A6F30" w14:textId="77777777" w:rsidR="009E29E0" w:rsidRDefault="00FE57EC">
            <w:pPr>
              <w:pStyle w:val="Paragraphedeliste"/>
              <w:numPr>
                <w:ilvl w:val="1"/>
                <w:numId w:val="18"/>
              </w:numPr>
              <w:pBdr>
                <w:top w:val="nil"/>
                <w:left w:val="nil"/>
                <w:bottom w:val="nil"/>
                <w:right w:val="nil"/>
                <w:between w:val="nil"/>
              </w:pBdr>
              <w:spacing w:line="276" w:lineRule="auto"/>
              <w:ind w:left="313" w:hanging="284"/>
              <w:rPr>
                <w:color w:val="00B050"/>
              </w:rPr>
            </w:pPr>
            <w:r w:rsidRPr="009E29E0">
              <w:rPr>
                <w:color w:val="00B050"/>
              </w:rPr>
              <w:t>Les conséquences mécaniques de l’obésité sur le système respiratoire, notamment le coût excessif du travail respiratoire dû à une réduction de la compliance du système respiratoire et une possible fatigabilité des muscles respiratoires. On ne retrouve un syndrome restrictif que dans 20 % des cas.</w:t>
            </w:r>
          </w:p>
          <w:p w14:paraId="3FEA287E" w14:textId="77777777" w:rsidR="009E29E0" w:rsidRDefault="00FE57EC">
            <w:pPr>
              <w:pStyle w:val="Paragraphedeliste"/>
              <w:numPr>
                <w:ilvl w:val="1"/>
                <w:numId w:val="18"/>
              </w:numPr>
              <w:pBdr>
                <w:top w:val="nil"/>
                <w:left w:val="nil"/>
                <w:bottom w:val="nil"/>
                <w:right w:val="nil"/>
                <w:between w:val="nil"/>
              </w:pBdr>
              <w:spacing w:line="276" w:lineRule="auto"/>
              <w:ind w:left="313" w:hanging="284"/>
              <w:rPr>
                <w:color w:val="00B050"/>
              </w:rPr>
            </w:pPr>
            <w:r w:rsidRPr="009E29E0">
              <w:rPr>
                <w:color w:val="00B050"/>
              </w:rPr>
              <w:t>Des anomalies des rapports ventilation/perfusion avec des atélectasies des bases.</w:t>
            </w:r>
          </w:p>
          <w:p w14:paraId="7C420527" w14:textId="343326B9" w:rsidR="009E29E0" w:rsidRDefault="00FE57EC">
            <w:pPr>
              <w:pStyle w:val="Paragraphedeliste"/>
              <w:numPr>
                <w:ilvl w:val="1"/>
                <w:numId w:val="18"/>
              </w:numPr>
              <w:pBdr>
                <w:top w:val="nil"/>
                <w:left w:val="nil"/>
                <w:bottom w:val="nil"/>
                <w:right w:val="nil"/>
                <w:between w:val="nil"/>
              </w:pBdr>
              <w:spacing w:line="276" w:lineRule="auto"/>
              <w:ind w:left="313" w:hanging="284"/>
              <w:rPr>
                <w:color w:val="00B050"/>
              </w:rPr>
            </w:pPr>
            <w:r w:rsidRPr="009E29E0">
              <w:rPr>
                <w:color w:val="00B050"/>
              </w:rPr>
              <w:t>Une obstruction des petites bronches.</w:t>
            </w:r>
          </w:p>
          <w:p w14:paraId="6C5DE89F" w14:textId="29614CAB" w:rsidR="00FE57EC" w:rsidRPr="009E29E0" w:rsidRDefault="009E29E0">
            <w:pPr>
              <w:pStyle w:val="Paragraphedeliste"/>
              <w:numPr>
                <w:ilvl w:val="1"/>
                <w:numId w:val="18"/>
              </w:numPr>
              <w:pBdr>
                <w:top w:val="nil"/>
                <w:left w:val="nil"/>
                <w:bottom w:val="nil"/>
                <w:right w:val="nil"/>
                <w:between w:val="nil"/>
              </w:pBdr>
              <w:spacing w:line="276" w:lineRule="auto"/>
              <w:ind w:left="313" w:hanging="284"/>
              <w:rPr>
                <w:color w:val="00B050"/>
              </w:rPr>
            </w:pPr>
            <w:r w:rsidRPr="009E29E0">
              <w:rPr>
                <w:noProof/>
                <w:color w:val="0070C0"/>
              </w:rPr>
              <w:drawing>
                <wp:anchor distT="0" distB="0" distL="114300" distR="114300" simplePos="0" relativeHeight="251887616" behindDoc="0" locked="0" layoutInCell="1" hidden="0" allowOverlap="1" wp14:anchorId="4681A823" wp14:editId="0586AADE">
                  <wp:simplePos x="0" y="0"/>
                  <wp:positionH relativeFrom="column">
                    <wp:posOffset>-15240</wp:posOffset>
                  </wp:positionH>
                  <wp:positionV relativeFrom="paragraph">
                    <wp:posOffset>22860</wp:posOffset>
                  </wp:positionV>
                  <wp:extent cx="153670" cy="137160"/>
                  <wp:effectExtent l="0" t="0" r="0" b="0"/>
                  <wp:wrapSquare wrapText="bothSides" distT="0" distB="0" distL="114300" distR="11430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14:sizeRelH relativeFrom="margin">
                    <wp14:pctWidth>0</wp14:pctWidth>
                  </wp14:sizeRelH>
                  <wp14:sizeRelV relativeFrom="margin">
                    <wp14:pctHeight>0</wp14:pctHeight>
                  </wp14:sizeRelV>
                </wp:anchor>
              </w:drawing>
            </w:r>
            <w:r w:rsidR="00FE57EC" w:rsidRPr="009E29E0">
              <w:rPr>
                <w:color w:val="0070C0"/>
              </w:rPr>
              <w:t xml:space="preserve">Et la répétition d’apnées obstructives au cours du sommeil qu’on retrouve chez 80 % des malades (cf. item 110). </w:t>
            </w:r>
          </w:p>
        </w:tc>
      </w:tr>
    </w:tbl>
    <w:p w14:paraId="6CA3559E" w14:textId="77777777" w:rsidR="00FE57EC" w:rsidRDefault="00FE57EC" w:rsidP="00FE57EC">
      <w:pPr>
        <w:spacing w:line="276" w:lineRule="auto"/>
        <w:rPr>
          <w:i/>
          <w:iCs/>
        </w:rPr>
      </w:pPr>
    </w:p>
    <w:p w14:paraId="51188E3A" w14:textId="43F2D79D" w:rsidR="00FE57EC" w:rsidRDefault="00FE57EC" w:rsidP="009E29E0">
      <w:pPr>
        <w:pStyle w:val="Titre2"/>
      </w:pPr>
      <w:r>
        <w:t>Insuffisance respiratoire chronique mixte (restrictive et obstructive)</w:t>
      </w:r>
    </w:p>
    <w:p w14:paraId="36151C6A" w14:textId="56468AB5" w:rsidR="00FE57EC" w:rsidRDefault="009E29E0" w:rsidP="00FE57EC">
      <w:pPr>
        <w:spacing w:line="276" w:lineRule="auto"/>
        <w:rPr>
          <w:b/>
          <w:bCs/>
          <w:color w:val="0070C0"/>
        </w:rPr>
      </w:pPr>
      <w:r>
        <w:rPr>
          <w:noProof/>
        </w:rPr>
        <w:drawing>
          <wp:anchor distT="0" distB="0" distL="114300" distR="114300" simplePos="0" relativeHeight="251889664" behindDoc="0" locked="0" layoutInCell="1" hidden="0" allowOverlap="1" wp14:anchorId="6B443870" wp14:editId="0F2933E7">
            <wp:simplePos x="0" y="0"/>
            <wp:positionH relativeFrom="column">
              <wp:posOffset>-273050</wp:posOffset>
            </wp:positionH>
            <wp:positionV relativeFrom="paragraph">
              <wp:posOffset>8255</wp:posOffset>
            </wp:positionV>
            <wp:extent cx="153670" cy="1371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rPr>
          <w:color w:val="0070C0"/>
        </w:rPr>
        <w:t>Les critères spirométriques d’un TVO et d’un TVR coexistent. Les étiologies sont dominées par les dilatations des bronches étendues, la mucoviscidose et certaines pneumoconioses.</w:t>
      </w:r>
    </w:p>
    <w:p w14:paraId="62EFE413" w14:textId="77777777" w:rsidR="00FE57EC" w:rsidRDefault="00FE57EC" w:rsidP="00FE57EC">
      <w:pPr>
        <w:spacing w:line="276" w:lineRule="auto"/>
        <w:rPr>
          <w:b/>
          <w:bCs/>
        </w:rPr>
      </w:pPr>
    </w:p>
    <w:p w14:paraId="280D9761" w14:textId="77777777" w:rsidR="00FE57EC" w:rsidRDefault="00FE57EC" w:rsidP="009E29E0">
      <w:pPr>
        <w:pStyle w:val="Titre2"/>
      </w:pPr>
      <w:r>
        <w:t xml:space="preserve">Insuffisance respiratoire chronique sans trouble ventilatoire obstructif ou restrictif </w:t>
      </w:r>
    </w:p>
    <w:p w14:paraId="2C751BFD" w14:textId="77777777" w:rsidR="00FE57EC" w:rsidRDefault="00FE57EC" w:rsidP="00FE57EC">
      <w:pPr>
        <w:spacing w:line="276" w:lineRule="auto"/>
        <w:rPr>
          <w:b/>
          <w:bCs/>
        </w:rPr>
      </w:pPr>
      <w:r>
        <w:rPr>
          <w:b/>
          <w:bCs/>
          <w:u w:val="single"/>
        </w:rPr>
        <w:t>Le Syndrome obésité-hypoventilation</w:t>
      </w:r>
    </w:p>
    <w:p w14:paraId="23BF71C8" w14:textId="77777777" w:rsidR="00FE57EC" w:rsidRDefault="00FE57EC" w:rsidP="00FE57EC">
      <w:pPr>
        <w:spacing w:line="276" w:lineRule="auto"/>
        <w:rPr>
          <w:color w:val="0070C0"/>
        </w:rPr>
      </w:pPr>
      <w:r>
        <w:rPr>
          <w:color w:val="0070C0"/>
        </w:rPr>
        <w:t>Des anomalies de la diffusion peuvent être associées, mais la TLCO est généralement normale.</w:t>
      </w:r>
    </w:p>
    <w:p w14:paraId="027CDA54" w14:textId="77777777" w:rsidR="00FE57EC" w:rsidRDefault="00FE57EC" w:rsidP="00FE57EC">
      <w:pPr>
        <w:spacing w:line="276" w:lineRule="auto"/>
      </w:pPr>
    </w:p>
    <w:p w14:paraId="0AD085BC" w14:textId="77777777" w:rsidR="00FE57EC" w:rsidRDefault="00FE57EC" w:rsidP="00FE57EC">
      <w:pPr>
        <w:spacing w:line="276" w:lineRule="auto"/>
        <w:rPr>
          <w:b/>
          <w:bCs/>
          <w:u w:val="single"/>
        </w:rPr>
      </w:pPr>
      <w:r>
        <w:rPr>
          <w:b/>
          <w:bCs/>
          <w:u w:val="single"/>
        </w:rPr>
        <w:t>Les maladies vasculaires pulmonaires</w:t>
      </w:r>
    </w:p>
    <w:p w14:paraId="7CA74022" w14:textId="77777777" w:rsidR="00FE57EC" w:rsidRDefault="00FE57EC" w:rsidP="00FE57EC">
      <w:pPr>
        <w:spacing w:line="276" w:lineRule="auto"/>
        <w:rPr>
          <w:b/>
          <w:bCs/>
        </w:rPr>
      </w:pPr>
      <w:r>
        <w:t xml:space="preserve">Les EFR mettent en évidence aussi une anomalie de la diffusion. Elles sont liées à une maladie vasculaire pulmonaire chronique à l’origine d’une hypertension pulmonaire (HTP). </w:t>
      </w:r>
    </w:p>
    <w:p w14:paraId="37544A16" w14:textId="77777777" w:rsidR="00FE57EC" w:rsidRDefault="00FE57EC" w:rsidP="00FE57EC">
      <w:pPr>
        <w:spacing w:line="276" w:lineRule="auto"/>
        <w:rPr>
          <w:b/>
          <w:bCs/>
        </w:rPr>
      </w:pPr>
    </w:p>
    <w:p w14:paraId="37AAEE5B" w14:textId="77777777" w:rsidR="00FE57EC" w:rsidRDefault="00FE57EC" w:rsidP="009E29E0">
      <w:pPr>
        <w:pStyle w:val="titredepartie"/>
      </w:pPr>
      <w:r>
        <w:t>TRAITEMENTS ET PRISE EN CHARGE</w:t>
      </w:r>
    </w:p>
    <w:p w14:paraId="3386F406" w14:textId="19540493" w:rsidR="00FE57EC" w:rsidRDefault="00FE57EC">
      <w:pPr>
        <w:pStyle w:val="titredesous-partie"/>
        <w:numPr>
          <w:ilvl w:val="0"/>
          <w:numId w:val="17"/>
        </w:numPr>
      </w:pPr>
      <w:r>
        <w:rPr>
          <w:shd w:val="clear" w:color="auto" w:fill="auto"/>
        </w:rPr>
        <w:t>Appareillage respiratoire à domicile</w:t>
      </w:r>
    </w:p>
    <w:p w14:paraId="5B4C5149" w14:textId="6B88E8FC" w:rsidR="00FE57EC" w:rsidRDefault="009E29E0">
      <w:pPr>
        <w:pStyle w:val="Titre3"/>
        <w:numPr>
          <w:ilvl w:val="1"/>
          <w:numId w:val="26"/>
        </w:numPr>
      </w:pPr>
      <w:r>
        <w:rPr>
          <w:noProof/>
        </w:rPr>
        <w:drawing>
          <wp:anchor distT="0" distB="0" distL="114300" distR="114300" simplePos="0" relativeHeight="251879424" behindDoc="0" locked="0" layoutInCell="1" hidden="0" allowOverlap="1" wp14:anchorId="0F0CAE8B" wp14:editId="53BFD1EE">
            <wp:simplePos x="0" y="0"/>
            <wp:positionH relativeFrom="column">
              <wp:posOffset>-259877</wp:posOffset>
            </wp:positionH>
            <wp:positionV relativeFrom="paragraph">
              <wp:posOffset>304800</wp:posOffset>
            </wp:positionV>
            <wp:extent cx="153670" cy="137160"/>
            <wp:effectExtent l="0" t="0" r="0" b="0"/>
            <wp:wrapSquare wrapText="bothSides" distT="0" distB="0" distL="114300" distR="114300"/>
            <wp:docPr id="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FE57EC">
        <w:t>Oxygénothérapie de longue durée (OLD)</w:t>
      </w:r>
    </w:p>
    <w:p w14:paraId="19D745D3" w14:textId="77777777" w:rsidR="00FE57EC" w:rsidRDefault="00FE57EC" w:rsidP="00FE57EC">
      <w:pPr>
        <w:spacing w:line="276" w:lineRule="auto"/>
        <w:rPr>
          <w:color w:val="0070C0"/>
        </w:rPr>
      </w:pPr>
      <w:r>
        <w:rPr>
          <w:color w:val="0070C0"/>
        </w:rPr>
        <w:t xml:space="preserve">L’OLD corrige l’hypoxémie chronique, prévient les complications (notamment l’hypertension pulmonaire) et diminue la mortalité des patients atteints de BPCO. </w:t>
      </w:r>
    </w:p>
    <w:p w14:paraId="729E5D22" w14:textId="77777777" w:rsidR="00FE57EC" w:rsidRDefault="00FE57EC" w:rsidP="00FE57EC">
      <w:pPr>
        <w:spacing w:line="276" w:lineRule="auto"/>
        <w:rPr>
          <w:color w:val="0070C0"/>
        </w:rPr>
      </w:pPr>
    </w:p>
    <w:p w14:paraId="4067C502" w14:textId="77777777" w:rsidR="00FE57EC" w:rsidRDefault="00FE57EC" w:rsidP="00FE57EC">
      <w:pPr>
        <w:spacing w:line="276" w:lineRule="auto"/>
        <w:rPr>
          <w:color w:val="0070C0"/>
        </w:rPr>
      </w:pPr>
      <w:r>
        <w:rPr>
          <w:color w:val="0070C0"/>
        </w:rPr>
        <w:t xml:space="preserve">Dans l’IRC obstructive, l’OLD est prise en charge par la Sécurité sociale si : </w:t>
      </w:r>
    </w:p>
    <w:p w14:paraId="67FDA7AE" w14:textId="77777777" w:rsidR="00FE57EC" w:rsidRDefault="00FE57EC" w:rsidP="00FE57EC">
      <w:pPr>
        <w:spacing w:line="276" w:lineRule="auto"/>
        <w:rPr>
          <w:color w:val="0070C0"/>
        </w:rPr>
      </w:pPr>
      <w:r>
        <w:rPr>
          <w:color w:val="0070C0"/>
        </w:rPr>
        <w:t>- PaO</w:t>
      </w:r>
      <w:r>
        <w:rPr>
          <w:color w:val="0070C0"/>
          <w:vertAlign w:val="subscript"/>
        </w:rPr>
        <w:t>2</w:t>
      </w:r>
      <w:r>
        <w:rPr>
          <w:color w:val="0070C0"/>
        </w:rPr>
        <w:t xml:space="preserve"> &lt; 55 </w:t>
      </w:r>
      <w:proofErr w:type="spellStart"/>
      <w:r>
        <w:rPr>
          <w:color w:val="0070C0"/>
        </w:rPr>
        <w:t>mmHg</w:t>
      </w:r>
      <w:proofErr w:type="spellEnd"/>
      <w:r>
        <w:rPr>
          <w:color w:val="0070C0"/>
        </w:rPr>
        <w:t xml:space="preserve"> (7,3 kPa).</w:t>
      </w:r>
    </w:p>
    <w:p w14:paraId="0916A2C5" w14:textId="77777777" w:rsidR="00FE57EC" w:rsidRDefault="00FE57EC" w:rsidP="00FE57EC">
      <w:pPr>
        <w:spacing w:line="276" w:lineRule="auto"/>
        <w:rPr>
          <w:color w:val="0070C0"/>
        </w:rPr>
      </w:pPr>
      <w:r>
        <w:rPr>
          <w:color w:val="0070C0"/>
        </w:rPr>
        <w:t>- Ou PaO</w:t>
      </w:r>
      <w:r>
        <w:rPr>
          <w:color w:val="0070C0"/>
          <w:vertAlign w:val="subscript"/>
        </w:rPr>
        <w:t>2</w:t>
      </w:r>
      <w:r>
        <w:rPr>
          <w:color w:val="0070C0"/>
        </w:rPr>
        <w:t xml:space="preserve"> comprise entre 55 </w:t>
      </w:r>
      <w:proofErr w:type="spellStart"/>
      <w:r>
        <w:rPr>
          <w:color w:val="0070C0"/>
        </w:rPr>
        <w:t>mmHg</w:t>
      </w:r>
      <w:proofErr w:type="spellEnd"/>
      <w:r>
        <w:rPr>
          <w:color w:val="0070C0"/>
        </w:rPr>
        <w:t xml:space="preserve"> (7,3 kPa) et 60 </w:t>
      </w:r>
      <w:proofErr w:type="spellStart"/>
      <w:r>
        <w:rPr>
          <w:color w:val="0070C0"/>
        </w:rPr>
        <w:t>mmHg</w:t>
      </w:r>
      <w:proofErr w:type="spellEnd"/>
      <w:r>
        <w:rPr>
          <w:color w:val="0070C0"/>
        </w:rPr>
        <w:t xml:space="preserve"> (8 kPa) avec présence de signes d’hypoxie tissulaire :</w:t>
      </w:r>
    </w:p>
    <w:p w14:paraId="446F09E7" w14:textId="77777777" w:rsidR="00FE57EC" w:rsidRDefault="00FE57EC">
      <w:pPr>
        <w:numPr>
          <w:ilvl w:val="0"/>
          <w:numId w:val="15"/>
        </w:numPr>
        <w:spacing w:line="276" w:lineRule="auto"/>
        <w:ind w:left="284" w:hanging="142"/>
        <w:rPr>
          <w:color w:val="0070C0"/>
        </w:rPr>
      </w:pPr>
      <w:r>
        <w:rPr>
          <w:color w:val="0070C0"/>
        </w:rPr>
        <w:t>Polyglobulie (hématocrite &gt; 55 %).</w:t>
      </w:r>
    </w:p>
    <w:p w14:paraId="72DBAE71" w14:textId="77777777" w:rsidR="00FE57EC" w:rsidRDefault="00FE57EC">
      <w:pPr>
        <w:numPr>
          <w:ilvl w:val="0"/>
          <w:numId w:val="15"/>
        </w:numPr>
        <w:spacing w:line="276" w:lineRule="auto"/>
        <w:ind w:left="284" w:hanging="142"/>
        <w:rPr>
          <w:color w:val="0070C0"/>
        </w:rPr>
      </w:pPr>
      <w:r>
        <w:rPr>
          <w:color w:val="0070C0"/>
        </w:rPr>
        <w:t>Insuffisance ventriculaire droite (clinique ou échocardiographie ou via un cathétérisme cardiaque droit).</w:t>
      </w:r>
    </w:p>
    <w:p w14:paraId="70C028D9" w14:textId="77777777" w:rsidR="00FE57EC" w:rsidRDefault="00FE57EC">
      <w:pPr>
        <w:numPr>
          <w:ilvl w:val="0"/>
          <w:numId w:val="15"/>
        </w:numPr>
        <w:spacing w:line="276" w:lineRule="auto"/>
        <w:ind w:left="284" w:hanging="142"/>
        <w:rPr>
          <w:color w:val="0070C0"/>
        </w:rPr>
      </w:pPr>
      <w:r>
        <w:rPr>
          <w:color w:val="0070C0"/>
        </w:rPr>
        <w:t>Désaturations nocturnes non apnéiques (SpO</w:t>
      </w:r>
      <w:r>
        <w:rPr>
          <w:color w:val="0070C0"/>
          <w:vertAlign w:val="subscript"/>
        </w:rPr>
        <w:t>2</w:t>
      </w:r>
      <w:sdt>
        <w:sdtPr>
          <w:tag w:val="goog_rdk_8"/>
          <w:id w:val="639603516"/>
        </w:sdtPr>
        <w:sdtContent>
          <w:r>
            <w:rPr>
              <w:rFonts w:ascii="Arial Unicode MS" w:eastAsia="Arial Unicode MS" w:hAnsi="Arial Unicode MS" w:cs="Arial Unicode MS"/>
              <w:color w:val="0070C0"/>
            </w:rPr>
            <w:t xml:space="preserve"> nocturne moyenne ≤ 88 %).</w:t>
          </w:r>
        </w:sdtContent>
      </w:sdt>
    </w:p>
    <w:p w14:paraId="16EBFA28" w14:textId="77777777" w:rsidR="00FE57EC" w:rsidRDefault="00FE57EC" w:rsidP="00FE57EC">
      <w:pPr>
        <w:spacing w:line="276" w:lineRule="auto"/>
        <w:rPr>
          <w:color w:val="0070C0"/>
        </w:rPr>
      </w:pPr>
    </w:p>
    <w:p w14:paraId="75E8849A" w14:textId="77777777" w:rsidR="00FE57EC" w:rsidRDefault="00FE57EC" w:rsidP="00FE57EC">
      <w:pPr>
        <w:spacing w:line="276" w:lineRule="auto"/>
        <w:rPr>
          <w:color w:val="0070C0"/>
        </w:rPr>
      </w:pPr>
      <w:r>
        <w:rPr>
          <w:color w:val="0070C0"/>
        </w:rPr>
        <w:t>Dans l’IRC restrictive, l’OLD est prise en charge par la Sécurité sociale si la PaO</w:t>
      </w:r>
      <w:r>
        <w:rPr>
          <w:color w:val="0070C0"/>
          <w:vertAlign w:val="subscript"/>
        </w:rPr>
        <w:t>2</w:t>
      </w:r>
      <w:r>
        <w:rPr>
          <w:color w:val="0070C0"/>
        </w:rPr>
        <w:t xml:space="preserve"> est &lt; 60 </w:t>
      </w:r>
      <w:proofErr w:type="spellStart"/>
      <w:r>
        <w:rPr>
          <w:color w:val="0070C0"/>
        </w:rPr>
        <w:t>mmHg</w:t>
      </w:r>
      <w:proofErr w:type="spellEnd"/>
      <w:r>
        <w:rPr>
          <w:color w:val="0070C0"/>
        </w:rPr>
        <w:t>.</w:t>
      </w:r>
    </w:p>
    <w:p w14:paraId="7434115C" w14:textId="77777777" w:rsidR="00FE57EC" w:rsidRDefault="00FE57EC" w:rsidP="00FE57EC">
      <w:pPr>
        <w:spacing w:line="276" w:lineRule="auto"/>
        <w:rPr>
          <w:color w:val="0070C0"/>
        </w:rPr>
      </w:pPr>
    </w:p>
    <w:p w14:paraId="0C8AFBB9" w14:textId="77777777" w:rsidR="00FE57EC" w:rsidRDefault="00FE57EC" w:rsidP="00FE57EC">
      <w:pPr>
        <w:spacing w:line="276" w:lineRule="auto"/>
      </w:pPr>
      <w:r>
        <w:rPr>
          <w:color w:val="0070C0"/>
        </w:rPr>
        <w:t>La PaO</w:t>
      </w:r>
      <w:r>
        <w:rPr>
          <w:color w:val="0070C0"/>
          <w:vertAlign w:val="subscript"/>
        </w:rPr>
        <w:t>2</w:t>
      </w:r>
      <w:r>
        <w:rPr>
          <w:color w:val="0070C0"/>
        </w:rPr>
        <w:t xml:space="preserve"> doit être mesurée en air ambiant, </w:t>
      </w:r>
      <w:r>
        <w:t>à deux reprises ET à plusieurs semaines d’intervalle de façon à confirmer l’état stable (au moins 2 semaines et jusqu’à 3 mois).</w:t>
      </w:r>
    </w:p>
    <w:p w14:paraId="4AE7A114" w14:textId="77777777" w:rsidR="00FE57EC" w:rsidRDefault="00FE57EC" w:rsidP="00FE57EC">
      <w:pPr>
        <w:spacing w:line="276" w:lineRule="auto"/>
        <w:rPr>
          <w:color w:val="0070C0"/>
        </w:rPr>
      </w:pPr>
    </w:p>
    <w:p w14:paraId="331B50F0" w14:textId="77777777" w:rsidR="00FE57EC" w:rsidRDefault="00FE57EC" w:rsidP="00FE57EC">
      <w:pPr>
        <w:spacing w:line="276" w:lineRule="auto"/>
        <w:rPr>
          <w:color w:val="0070C0"/>
        </w:rPr>
      </w:pPr>
      <w:r>
        <w:rPr>
          <w:color w:val="0070C0"/>
        </w:rPr>
        <w:t>La poursuite d’un tabagisme actif doit remettre en cause ce traitement en raison du risque de brûlures graves du visage, voire d’incendie au domicile et d’une efficacité diminuée (fixation du CO sur l’hémoglobine).</w:t>
      </w:r>
    </w:p>
    <w:p w14:paraId="39FCC468" w14:textId="77777777" w:rsidR="00FE57EC" w:rsidRDefault="00FE57EC" w:rsidP="00FE57EC">
      <w:pPr>
        <w:spacing w:line="276" w:lineRule="auto"/>
        <w:rPr>
          <w:color w:val="0070C0"/>
        </w:rPr>
      </w:pPr>
    </w:p>
    <w:p w14:paraId="31078C9E" w14:textId="77777777" w:rsidR="00FE57EC" w:rsidRDefault="00FE57EC" w:rsidP="00FE57EC">
      <w:pPr>
        <w:spacing w:line="276" w:lineRule="auto"/>
        <w:rPr>
          <w:color w:val="0070C0"/>
        </w:rPr>
      </w:pPr>
      <w:r>
        <w:rPr>
          <w:color w:val="0070C0"/>
        </w:rPr>
        <w:t>L’hypercapnie, même sévère, n’est pas une contre-indication à l’oxygénothérapie à condition de surveiller son évolution sous OLD et d’ajouter, si nécessaire, une ventilation à domicile pour corriger la PaCO</w:t>
      </w:r>
      <w:r>
        <w:rPr>
          <w:color w:val="0070C0"/>
          <w:vertAlign w:val="subscript"/>
        </w:rPr>
        <w:t>2</w:t>
      </w:r>
      <w:r>
        <w:rPr>
          <w:color w:val="0070C0"/>
        </w:rPr>
        <w:t xml:space="preserve">. </w:t>
      </w:r>
    </w:p>
    <w:p w14:paraId="09AA6424" w14:textId="77777777" w:rsidR="00FE57EC" w:rsidRDefault="00FE57EC" w:rsidP="00FE57EC">
      <w:pPr>
        <w:spacing w:line="276" w:lineRule="auto"/>
        <w:rPr>
          <w:color w:val="0070C0"/>
        </w:rPr>
      </w:pPr>
    </w:p>
    <w:p w14:paraId="68D06B47" w14:textId="77777777" w:rsidR="00FE57EC" w:rsidRDefault="00FE57EC" w:rsidP="00FE57EC">
      <w:pPr>
        <w:spacing w:line="276" w:lineRule="auto"/>
        <w:rPr>
          <w:color w:val="0070C0"/>
        </w:rPr>
      </w:pPr>
      <w:r>
        <w:rPr>
          <w:color w:val="0070C0"/>
        </w:rPr>
        <w:t>L’oxygénothérapie est administrée :</w:t>
      </w:r>
    </w:p>
    <w:p w14:paraId="1EB07775" w14:textId="77777777" w:rsidR="00FE57EC" w:rsidRDefault="00FE57EC" w:rsidP="00FE57EC">
      <w:pPr>
        <w:spacing w:line="276" w:lineRule="auto"/>
        <w:rPr>
          <w:color w:val="0070C0"/>
        </w:rPr>
      </w:pPr>
      <w:r>
        <w:rPr>
          <w:color w:val="0070C0"/>
        </w:rPr>
        <w:t>- À domicile, au moyen de lunettes nasales (les masques permettent de délivrer des quantités d’O</w:t>
      </w:r>
      <w:r>
        <w:rPr>
          <w:color w:val="0070C0"/>
          <w:vertAlign w:val="subscript"/>
        </w:rPr>
        <w:t>2</w:t>
      </w:r>
      <w:r>
        <w:rPr>
          <w:color w:val="0070C0"/>
        </w:rPr>
        <w:t xml:space="preserve"> plus importantes).</w:t>
      </w:r>
    </w:p>
    <w:p w14:paraId="72E39639" w14:textId="77777777" w:rsidR="00FE57EC" w:rsidRDefault="00FE57EC" w:rsidP="00FE57EC">
      <w:pPr>
        <w:spacing w:line="276" w:lineRule="auto"/>
        <w:rPr>
          <w:color w:val="0070C0"/>
        </w:rPr>
      </w:pPr>
      <w:r>
        <w:rPr>
          <w:color w:val="0070C0"/>
        </w:rPr>
        <w:t>- Idéalement 24 h/24, au minimum 15 h/j en couvrant la nuit et l’activité physique.</w:t>
      </w:r>
    </w:p>
    <w:p w14:paraId="2006F6EE" w14:textId="77777777" w:rsidR="00FE57EC" w:rsidRDefault="00FE57EC" w:rsidP="00FE57EC">
      <w:pPr>
        <w:spacing w:line="276" w:lineRule="auto"/>
        <w:rPr>
          <w:color w:val="0070C0"/>
        </w:rPr>
      </w:pPr>
      <w:r>
        <w:rPr>
          <w:color w:val="0070C0"/>
        </w:rPr>
        <w:t>- Avec un débit nécessaire pour obtenir une PaO</w:t>
      </w:r>
      <w:r>
        <w:rPr>
          <w:color w:val="0070C0"/>
          <w:vertAlign w:val="subscript"/>
        </w:rPr>
        <w:t>2</w:t>
      </w:r>
      <w:r>
        <w:rPr>
          <w:color w:val="0070C0"/>
        </w:rPr>
        <w:t xml:space="preserve"> &gt; 60 mm Hg ou une SpO</w:t>
      </w:r>
      <w:r>
        <w:rPr>
          <w:color w:val="0070C0"/>
          <w:vertAlign w:val="subscript"/>
        </w:rPr>
        <w:t>2</w:t>
      </w:r>
      <w:r>
        <w:rPr>
          <w:color w:val="0070C0"/>
        </w:rPr>
        <w:t xml:space="preserve"> &gt; 90 % au repos et à l’effort.</w:t>
      </w:r>
    </w:p>
    <w:p w14:paraId="463BC36E" w14:textId="77777777" w:rsidR="00FE57EC" w:rsidRDefault="00FE57EC" w:rsidP="00FE57EC">
      <w:pPr>
        <w:spacing w:line="276" w:lineRule="auto"/>
        <w:rPr>
          <w:color w:val="0070C0"/>
        </w:rPr>
      </w:pPr>
      <w:r>
        <w:rPr>
          <w:color w:val="0070C0"/>
        </w:rPr>
        <w:t>- Contrôler dans 60 à 90 jours pour déterminer si l’O2 est toujours indiqué et si efficace.</w:t>
      </w:r>
    </w:p>
    <w:p w14:paraId="7DC52AEC" w14:textId="77777777" w:rsidR="00FE57EC" w:rsidRDefault="00FE57EC" w:rsidP="00FE57EC">
      <w:pPr>
        <w:spacing w:line="276" w:lineRule="auto"/>
        <w:ind w:left="720"/>
        <w:rPr>
          <w:color w:val="0070C0"/>
        </w:rPr>
      </w:pPr>
    </w:p>
    <w:p w14:paraId="100CA962" w14:textId="77777777" w:rsidR="00FE57EC" w:rsidRDefault="00FE57EC" w:rsidP="00FE57EC">
      <w:pPr>
        <w:spacing w:line="276" w:lineRule="auto"/>
        <w:rPr>
          <w:color w:val="0070C0"/>
        </w:rPr>
      </w:pPr>
      <w:r>
        <w:rPr>
          <w:color w:val="0070C0"/>
        </w:rPr>
        <w:t>Une utilisation inférieure à 12 h doit faire rediscuter l’indication de l’OLD.</w:t>
      </w:r>
    </w:p>
    <w:p w14:paraId="50CABBA3" w14:textId="77777777" w:rsidR="00FE57EC" w:rsidRDefault="00FE57EC" w:rsidP="00FE57EC">
      <w:pPr>
        <w:spacing w:line="276" w:lineRule="auto"/>
        <w:rPr>
          <w:color w:val="0070C0"/>
        </w:rPr>
      </w:pPr>
      <w:r>
        <w:rPr>
          <w:color w:val="0070C0"/>
        </w:rPr>
        <w:t>Les mesures ponctuelles de la SpO2 avec un oxymètre de pouls ne sont pas adéquates pour titrer les débits d’oxygène d’une OLD chez un patient stable.</w:t>
      </w:r>
    </w:p>
    <w:p w14:paraId="0C8D4E69" w14:textId="77777777" w:rsidR="00FE57EC" w:rsidRDefault="00FE57EC" w:rsidP="00FE57EC">
      <w:pPr>
        <w:spacing w:line="276" w:lineRule="auto"/>
        <w:rPr>
          <w:color w:val="0070C0"/>
        </w:rPr>
      </w:pPr>
      <w:r>
        <w:rPr>
          <w:color w:val="0070C0"/>
        </w:rPr>
        <w:t>L’oxygène est un gaz à usage médical qui a le statut de médicament. Plusieurs sources d’oxygène sont disponibles au domicile (Figure 3).</w:t>
      </w:r>
    </w:p>
    <w:p w14:paraId="2405BEBB" w14:textId="77777777" w:rsidR="00FE57EC" w:rsidRDefault="00FE57EC" w:rsidP="00FE57EC">
      <w:pPr>
        <w:spacing w:line="276" w:lineRule="auto"/>
        <w:rPr>
          <w:color w:val="0070C0"/>
        </w:rPr>
      </w:pPr>
      <w:r>
        <w:rPr>
          <w:color w:val="0070C0"/>
        </w:rPr>
        <w:t xml:space="preserve"> </w:t>
      </w:r>
    </w:p>
    <w:p w14:paraId="0B72C256" w14:textId="77777777" w:rsidR="00FE57EC" w:rsidRDefault="00FE57EC" w:rsidP="00FE57EC">
      <w:pPr>
        <w:spacing w:line="276" w:lineRule="auto"/>
        <w:rPr>
          <w:b/>
          <w:bCs/>
          <w:color w:val="0070C0"/>
          <w:u w:val="single"/>
        </w:rPr>
      </w:pPr>
      <w:r>
        <w:rPr>
          <w:b/>
          <w:bCs/>
          <w:color w:val="0070C0"/>
          <w:u w:val="single"/>
        </w:rPr>
        <w:lastRenderedPageBreak/>
        <w:t>Oxygène gazeux</w:t>
      </w:r>
    </w:p>
    <w:p w14:paraId="4C960BC6" w14:textId="77777777" w:rsidR="00FE57EC" w:rsidRDefault="00FE57EC" w:rsidP="00FE57EC">
      <w:pPr>
        <w:spacing w:line="276" w:lineRule="auto"/>
        <w:rPr>
          <w:b/>
          <w:bCs/>
          <w:color w:val="0070C0"/>
          <w:u w:val="single"/>
        </w:rPr>
      </w:pPr>
      <w:r>
        <w:rPr>
          <w:color w:val="0070C0"/>
        </w:rPr>
        <w:t xml:space="preserve">- L’oxygène gazeux est délivré par un concentrateur (appelé aussi extracteur) d’oxygène. Il existe des appareils fixes ou transportables sur roulettes ou portables à l’épaule qui filtrent l’air ambiant pour séparer l’oxygène délivré au patient de l’azote qui est expulsé dans la pièce. </w:t>
      </w:r>
    </w:p>
    <w:p w14:paraId="334E7D0D" w14:textId="77777777" w:rsidR="00FE57EC" w:rsidRDefault="00FE57EC" w:rsidP="00FE57EC">
      <w:pPr>
        <w:spacing w:line="276" w:lineRule="auto"/>
        <w:rPr>
          <w:color w:val="0070C0"/>
        </w:rPr>
      </w:pPr>
      <w:r>
        <w:rPr>
          <w:color w:val="0070C0"/>
        </w:rPr>
        <w:t>- Les dispositifs fixes sont utilisés pour la délivrance de l’oxygène au domicile.</w:t>
      </w:r>
    </w:p>
    <w:p w14:paraId="6520388F" w14:textId="77777777" w:rsidR="00FE57EC" w:rsidRDefault="00FE57EC" w:rsidP="00FE57EC">
      <w:pPr>
        <w:spacing w:line="276" w:lineRule="auto"/>
        <w:rPr>
          <w:color w:val="0070C0"/>
        </w:rPr>
      </w:pPr>
      <w:r>
        <w:rPr>
          <w:color w:val="0070C0"/>
        </w:rPr>
        <w:t xml:space="preserve">- Les dispositifs transportables (5-8 kg) ou portables (2-4 kg) sont utilisés à la déambulation pour les activités physiques en dehors du domicile et permettent d’augmenter l’endurance physique et l’autonomie du patient en général. </w:t>
      </w:r>
    </w:p>
    <w:p w14:paraId="2026A1D0" w14:textId="77777777" w:rsidR="00FE57EC" w:rsidRDefault="00FE57EC" w:rsidP="00FE57EC">
      <w:pPr>
        <w:spacing w:line="276" w:lineRule="auto"/>
        <w:rPr>
          <w:color w:val="0070C0"/>
        </w:rPr>
      </w:pPr>
      <w:r>
        <w:rPr>
          <w:color w:val="0070C0"/>
        </w:rPr>
        <w:t>- Les bouteilles en acier d’oxygène gazeux comprimé (une bouteille de 0,4 m</w:t>
      </w:r>
      <w:r>
        <w:rPr>
          <w:color w:val="0070C0"/>
          <w:vertAlign w:val="superscript"/>
        </w:rPr>
        <w:t>3</w:t>
      </w:r>
      <w:r>
        <w:rPr>
          <w:color w:val="0070C0"/>
        </w:rPr>
        <w:t xml:space="preserve"> pèse 3 kg et assure une autonomie de 2 heures environ pour un débit de 3 L/min) ne sont utilisées qu’en appoint ou par sécurité. </w:t>
      </w:r>
    </w:p>
    <w:p w14:paraId="051A7691" w14:textId="77777777" w:rsidR="00FE57EC" w:rsidRDefault="00FE57EC" w:rsidP="00FE57EC">
      <w:pPr>
        <w:spacing w:line="276" w:lineRule="auto"/>
        <w:rPr>
          <w:color w:val="0070C0"/>
        </w:rPr>
      </w:pPr>
    </w:p>
    <w:p w14:paraId="63434F85" w14:textId="77777777" w:rsidR="00FE57EC" w:rsidRDefault="00FE57EC" w:rsidP="00FE57EC">
      <w:pPr>
        <w:spacing w:line="276" w:lineRule="auto"/>
        <w:rPr>
          <w:b/>
          <w:bCs/>
          <w:color w:val="0070C0"/>
          <w:u w:val="single"/>
        </w:rPr>
      </w:pPr>
      <w:r>
        <w:rPr>
          <w:b/>
          <w:bCs/>
          <w:color w:val="0070C0"/>
          <w:u w:val="single"/>
        </w:rPr>
        <w:t>Oxygène liquide</w:t>
      </w:r>
    </w:p>
    <w:p w14:paraId="284EA006" w14:textId="77777777" w:rsidR="00FE57EC" w:rsidRDefault="00FE57EC" w:rsidP="00FE57EC">
      <w:pPr>
        <w:spacing w:line="276" w:lineRule="auto"/>
        <w:rPr>
          <w:color w:val="0070C0"/>
        </w:rPr>
      </w:pPr>
      <w:r>
        <w:rPr>
          <w:color w:val="0070C0"/>
        </w:rPr>
        <w:t>- L’oxygène liquide est stocké à -183 °C dans un réservoir de 30 ou 40 litres, régulièrement rempli par le prestataire (tous les 7 à 14 jours).</w:t>
      </w:r>
    </w:p>
    <w:p w14:paraId="6B5DBF93" w14:textId="77777777" w:rsidR="00FE57EC" w:rsidRDefault="00FE57EC" w:rsidP="00FE57EC">
      <w:pPr>
        <w:spacing w:line="276" w:lineRule="auto"/>
        <w:rPr>
          <w:color w:val="0070C0"/>
        </w:rPr>
      </w:pPr>
      <w:r>
        <w:rPr>
          <w:color w:val="0070C0"/>
        </w:rPr>
        <w:t>- Ces dispositifs permettent de stocker une très grande quantité d’oxygène sous un faible volume (1 litre de liquide libère 860 litres de gaz).</w:t>
      </w:r>
    </w:p>
    <w:p w14:paraId="068B497D" w14:textId="77777777" w:rsidR="00FE57EC" w:rsidRDefault="00FE57EC" w:rsidP="00FE57EC">
      <w:pPr>
        <w:spacing w:line="276" w:lineRule="auto"/>
        <w:rPr>
          <w:color w:val="0070C0"/>
        </w:rPr>
      </w:pPr>
      <w:r>
        <w:rPr>
          <w:color w:val="0070C0"/>
        </w:rPr>
        <w:t>- Un réservoir portable de 0,4 à 0,9 litre peut être rempli à partir du réservoir principal pour permettre au patient de se déplacer en dehors de son domicile.</w:t>
      </w:r>
    </w:p>
    <w:p w14:paraId="288F0738" w14:textId="77777777" w:rsidR="00FE57EC" w:rsidRDefault="00FE57EC" w:rsidP="00FE57EC">
      <w:pPr>
        <w:spacing w:line="276" w:lineRule="auto"/>
        <w:rPr>
          <w:color w:val="0070C0"/>
        </w:rPr>
      </w:pPr>
      <w:r>
        <w:rPr>
          <w:color w:val="0070C0"/>
        </w:rPr>
        <w:t>- L’efficacité des différentes sources d’oxygène est équivalente. Le choix se fait en fonction de la mobilité du patient, du débit d’oxygène nécessaire et d’autres caractéristiques techniques (facilité d’emploi, bruit…). L’oxygène liquide est contre-indiqué en cas de tabagisme actif.</w:t>
      </w:r>
    </w:p>
    <w:p w14:paraId="1214BBC6" w14:textId="77777777" w:rsidR="00FE57EC" w:rsidRDefault="00FE57EC" w:rsidP="00FE57EC">
      <w:pPr>
        <w:spacing w:line="276" w:lineRule="auto"/>
        <w:rPr>
          <w:color w:val="0070C0"/>
        </w:rPr>
      </w:pPr>
      <w:r>
        <w:rPr>
          <w:color w:val="0070C0"/>
        </w:rPr>
        <w:t>- La fourniture de l’oxygène au domicile du patient est assurée à domicile par des prestataires de soins à domicile.</w:t>
      </w:r>
    </w:p>
    <w:p w14:paraId="407458E5" w14:textId="77777777" w:rsidR="00FE57EC" w:rsidRDefault="00FE57EC" w:rsidP="00FE57EC">
      <w:pPr>
        <w:spacing w:line="276" w:lineRule="auto"/>
        <w:rPr>
          <w:b/>
          <w:bCs/>
          <w:color w:val="0070C0"/>
        </w:rPr>
      </w:pPr>
    </w:p>
    <w:p w14:paraId="4A832B59" w14:textId="77777777" w:rsidR="00FE57EC" w:rsidRPr="009E29E0" w:rsidRDefault="00FE57EC" w:rsidP="009E29E0">
      <w:pPr>
        <w:pStyle w:val="lgende"/>
        <w:rPr>
          <w:color w:val="0070C0"/>
        </w:rPr>
      </w:pPr>
      <w:r w:rsidRPr="009E29E0">
        <w:rPr>
          <w:color w:val="0070C0"/>
        </w:rPr>
        <w:t xml:space="preserve">Figure 3 : Modalités d’oxygénothérapie disponibles au domicile. À droite, oxygénothérapie gazeuse par concentrateur fixe au domicile avec, pour la déambulation, bouteille (gauche) ou concentrateur transportable sur roulettes (milieu) ou concentrateur portable en bandoulière ou en sac à dos (droite). À gauche, oxygénothérapie liquide par cuve au domicile avec, pour la déambulation, dispositif portable en bandoulière qui se remplit directement à partir d’une cuve. </w:t>
      </w:r>
    </w:p>
    <w:p w14:paraId="2522CD3A" w14:textId="77777777" w:rsidR="00FE57EC" w:rsidRDefault="00FE57EC" w:rsidP="00FE57EC">
      <w:pPr>
        <w:spacing w:line="276" w:lineRule="auto"/>
        <w:ind w:left="1134" w:hanging="1134"/>
        <w:rPr>
          <w:color w:val="0070C0"/>
          <w:u w:val="single"/>
        </w:rPr>
      </w:pPr>
      <w:r>
        <w:rPr>
          <w:noProof/>
          <w:color w:val="0070C0"/>
          <w:u w:val="single"/>
        </w:rPr>
        <w:lastRenderedPageBreak/>
        <w:drawing>
          <wp:inline distT="0" distB="0" distL="0" distR="0" wp14:anchorId="71365B38" wp14:editId="4D566B01">
            <wp:extent cx="5761355" cy="4742815"/>
            <wp:effectExtent l="0" t="0" r="0" b="0"/>
            <wp:docPr id="2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a:stretch>
                      <a:fillRect/>
                    </a:stretch>
                  </pic:blipFill>
                  <pic:spPr>
                    <a:xfrm>
                      <a:off x="0" y="0"/>
                      <a:ext cx="5761355" cy="4742815"/>
                    </a:xfrm>
                    <a:prstGeom prst="rect">
                      <a:avLst/>
                    </a:prstGeom>
                    <a:ln/>
                  </pic:spPr>
                </pic:pic>
              </a:graphicData>
            </a:graphic>
          </wp:inline>
        </w:drawing>
      </w:r>
    </w:p>
    <w:p w14:paraId="4327E005" w14:textId="77777777" w:rsidR="00FE57EC" w:rsidRDefault="00FE57EC" w:rsidP="00FE57EC">
      <w:pPr>
        <w:spacing w:line="276" w:lineRule="auto"/>
        <w:ind w:left="1134" w:hanging="1134"/>
        <w:rPr>
          <w:color w:val="0070C0"/>
          <w:u w:val="single"/>
        </w:rPr>
      </w:pPr>
    </w:p>
    <w:p w14:paraId="6BC9F143" w14:textId="0E9BE864" w:rsidR="00FE57EC" w:rsidRDefault="00FE57EC">
      <w:pPr>
        <w:pStyle w:val="Titre3"/>
        <w:numPr>
          <w:ilvl w:val="1"/>
          <w:numId w:val="26"/>
        </w:numPr>
      </w:pPr>
      <w:r>
        <w:t>Ventilation mécanique à domicile</w:t>
      </w:r>
    </w:p>
    <w:p w14:paraId="3D398230" w14:textId="77777777" w:rsidR="00FE57EC" w:rsidRDefault="00FE57EC" w:rsidP="00FE57EC">
      <w:pPr>
        <w:spacing w:line="276" w:lineRule="auto"/>
        <w:rPr>
          <w:color w:val="0070C0"/>
        </w:rPr>
      </w:pPr>
      <w:r>
        <w:rPr>
          <w:color w:val="0070C0"/>
        </w:rPr>
        <w:t>La ventilation mécanique à domicile, non invasive ou invasive, permet entre autres de diminuer le travail respiratoire en assistant le fonctionnement des muscles inspiratoires. Le principe est de délivrer une pression positive dans les voies aériennes qui permet d’augmenter le volume courant et la ventilation alvéolaire.</w:t>
      </w:r>
    </w:p>
    <w:p w14:paraId="6244462D" w14:textId="77777777" w:rsidR="00FE57EC" w:rsidRDefault="00FE57EC" w:rsidP="00FE57EC">
      <w:pPr>
        <w:spacing w:line="276" w:lineRule="auto"/>
        <w:rPr>
          <w:color w:val="0070C0"/>
        </w:rPr>
      </w:pPr>
    </w:p>
    <w:p w14:paraId="704504E9" w14:textId="77777777" w:rsidR="00FE57EC" w:rsidRDefault="00FE57EC" w:rsidP="00FE57EC">
      <w:pPr>
        <w:spacing w:line="276" w:lineRule="auto"/>
        <w:rPr>
          <w:color w:val="0070C0"/>
        </w:rPr>
      </w:pPr>
      <w:r>
        <w:rPr>
          <w:color w:val="0070C0"/>
        </w:rPr>
        <w:t>En assurant partiellement la fonction pompe ventilatoire de l’appareil respiratoire, la ventilation à domicile a pour objectif de corriger les échanges gazeux, les symptômes d’hypoventilation alvéolaire diurne et nocturne (dyspnée, altérations du sommeil) et d’améliorer la survie et la qualité de vie.</w:t>
      </w:r>
    </w:p>
    <w:p w14:paraId="22DA534F" w14:textId="7A119FEE" w:rsidR="00FE57EC" w:rsidRDefault="00FE57EC" w:rsidP="00FE57EC">
      <w:pPr>
        <w:spacing w:line="276" w:lineRule="auto"/>
        <w:rPr>
          <w:color w:val="0070C0"/>
        </w:rPr>
      </w:pPr>
      <w:r>
        <w:rPr>
          <w:color w:val="0070C0"/>
        </w:rPr>
        <w:t xml:space="preserve">- Chez les patients ayant une IRC restrictive, la ventilation à domicile est indiquée dès que les premiers signes d’hypoventilation alvéolaire diurne </w:t>
      </w:r>
      <w:r w:rsidRPr="009E29E0">
        <w:rPr>
          <w:color w:val="0070C0"/>
        </w:rPr>
        <w:t>(PaCO</w:t>
      </w:r>
      <w:r w:rsidRPr="009E29E0">
        <w:rPr>
          <w:color w:val="0070C0"/>
          <w:vertAlign w:val="subscript"/>
        </w:rPr>
        <w:t>2</w:t>
      </w:r>
      <w:r w:rsidR="009E29E0" w:rsidRPr="009E29E0">
        <w:rPr>
          <w:rFonts w:eastAsia="Arial Unicode MS" w:cs="Arial Unicode MS"/>
          <w:color w:val="0070C0"/>
        </w:rPr>
        <w:t xml:space="preserve"> ≥ 45 </w:t>
      </w:r>
      <w:proofErr w:type="spellStart"/>
      <w:r w:rsidR="009E29E0" w:rsidRPr="009E29E0">
        <w:rPr>
          <w:rFonts w:eastAsia="Arial Unicode MS" w:cs="Arial Unicode MS"/>
          <w:color w:val="0070C0"/>
        </w:rPr>
        <w:t>mmHg</w:t>
      </w:r>
      <w:proofErr w:type="spellEnd"/>
      <w:r w:rsidR="009E29E0" w:rsidRPr="009E29E0">
        <w:rPr>
          <w:rFonts w:eastAsia="Arial Unicode MS" w:cs="Arial Unicode MS"/>
          <w:color w:val="0070C0"/>
        </w:rPr>
        <w:t xml:space="preserve"> (6 kPa) au repos en air ambiant) apparaissent.</w:t>
      </w:r>
    </w:p>
    <w:p w14:paraId="2CBAD07F" w14:textId="77777777" w:rsidR="00FE57EC" w:rsidRDefault="00FE57EC" w:rsidP="00FE57EC">
      <w:pPr>
        <w:spacing w:line="276" w:lineRule="auto"/>
        <w:rPr>
          <w:color w:val="0070C0"/>
        </w:rPr>
      </w:pPr>
      <w:r>
        <w:rPr>
          <w:color w:val="0070C0"/>
        </w:rPr>
        <w:t xml:space="preserve">- Chez les patients présentant une IRC obstructive (BPCO essentiellement), la ventilation à domicile est réservée aux patients les plus sévères, en échec de l’OLD seule, et ayant des exacerbations fréquentes. </w:t>
      </w:r>
    </w:p>
    <w:p w14:paraId="15DD66F7" w14:textId="77777777" w:rsidR="00FE57EC" w:rsidRDefault="00FE57EC" w:rsidP="00FE57EC">
      <w:pPr>
        <w:spacing w:line="276" w:lineRule="auto"/>
        <w:rPr>
          <w:color w:val="0070C0"/>
        </w:rPr>
      </w:pPr>
    </w:p>
    <w:p w14:paraId="69C3C880" w14:textId="77777777" w:rsidR="00FE57EC" w:rsidRDefault="00FE57EC" w:rsidP="00FE57EC">
      <w:pPr>
        <w:spacing w:line="276" w:lineRule="auto"/>
        <w:rPr>
          <w:color w:val="0070C0"/>
        </w:rPr>
      </w:pPr>
      <w:r>
        <w:rPr>
          <w:color w:val="0070C0"/>
        </w:rPr>
        <w:t xml:space="preserve">La ventilation à domicile est délivrée par un ventilateur via un masque nasal ou </w:t>
      </w:r>
      <w:proofErr w:type="spellStart"/>
      <w:r>
        <w:rPr>
          <w:color w:val="0070C0"/>
        </w:rPr>
        <w:t>naso</w:t>
      </w:r>
      <w:proofErr w:type="spellEnd"/>
      <w:r>
        <w:rPr>
          <w:color w:val="0070C0"/>
        </w:rPr>
        <w:t>-buccal (Figure 3). On parle alors de ventilation non invasive (VNI).</w:t>
      </w:r>
    </w:p>
    <w:p w14:paraId="16EFCE3D" w14:textId="77777777" w:rsidR="00FE57EC" w:rsidRDefault="00FE57EC" w:rsidP="00FE57EC">
      <w:pPr>
        <w:spacing w:line="276" w:lineRule="auto"/>
        <w:rPr>
          <w:color w:val="0070C0"/>
        </w:rPr>
      </w:pPr>
      <w:r>
        <w:rPr>
          <w:color w:val="0070C0"/>
        </w:rPr>
        <w:t>La ventilation à domicile est utilisée la nuit, mais parfois aussi de façon prolongée la journée, chez les patients neuromusculaires notamment.</w:t>
      </w:r>
    </w:p>
    <w:p w14:paraId="08C7B7AE" w14:textId="77777777" w:rsidR="00FE57EC" w:rsidRDefault="00FE57EC" w:rsidP="00FE57EC">
      <w:pPr>
        <w:spacing w:line="276" w:lineRule="auto"/>
        <w:rPr>
          <w:color w:val="0070C0"/>
        </w:rPr>
      </w:pPr>
    </w:p>
    <w:p w14:paraId="70DE468E" w14:textId="100B9EBA" w:rsidR="00FE57EC" w:rsidRPr="009E29E0" w:rsidRDefault="00FE57EC" w:rsidP="009E29E0">
      <w:pPr>
        <w:pStyle w:val="lgende"/>
        <w:rPr>
          <w:color w:val="0070C0"/>
        </w:rPr>
      </w:pPr>
      <w:r w:rsidRPr="009E29E0">
        <w:rPr>
          <w:color w:val="0070C0"/>
        </w:rPr>
        <w:t xml:space="preserve">Figure </w:t>
      </w:r>
      <w:r w:rsidR="00D7068A">
        <w:rPr>
          <w:color w:val="0070C0"/>
        </w:rPr>
        <w:t>4</w:t>
      </w:r>
      <w:r w:rsidRPr="009E29E0">
        <w:rPr>
          <w:color w:val="0070C0"/>
        </w:rPr>
        <w:t> : Ventilation non invasive utilisant un masque nasal et un circuit reliant la patiente à un ventilateur de domicile.</w:t>
      </w:r>
    </w:p>
    <w:p w14:paraId="1A45A635" w14:textId="77777777" w:rsidR="00FE57EC" w:rsidRDefault="00FE57EC" w:rsidP="00FE57EC">
      <w:pPr>
        <w:spacing w:line="276" w:lineRule="auto"/>
        <w:jc w:val="center"/>
        <w:rPr>
          <w:color w:val="0070C0"/>
        </w:rPr>
      </w:pPr>
      <w:r>
        <w:rPr>
          <w:noProof/>
          <w:color w:val="0070C0"/>
        </w:rPr>
        <w:drawing>
          <wp:inline distT="0" distB="0" distL="0" distR="0" wp14:anchorId="0753E25A" wp14:editId="381F5A22">
            <wp:extent cx="3554971" cy="2286741"/>
            <wp:effectExtent l="0" t="0" r="0" b="0"/>
            <wp:docPr id="2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r="1518"/>
                    <a:stretch>
                      <a:fillRect/>
                    </a:stretch>
                  </pic:blipFill>
                  <pic:spPr>
                    <a:xfrm>
                      <a:off x="0" y="0"/>
                      <a:ext cx="3554971" cy="2286741"/>
                    </a:xfrm>
                    <a:prstGeom prst="rect">
                      <a:avLst/>
                    </a:prstGeom>
                    <a:ln/>
                  </pic:spPr>
                </pic:pic>
              </a:graphicData>
            </a:graphic>
          </wp:inline>
        </w:drawing>
      </w:r>
    </w:p>
    <w:p w14:paraId="7D05F307" w14:textId="77777777" w:rsidR="00FE57EC" w:rsidRDefault="00FE57EC" w:rsidP="00FE57EC">
      <w:pPr>
        <w:spacing w:line="276" w:lineRule="auto"/>
        <w:ind w:left="1077" w:hanging="1077"/>
        <w:rPr>
          <w:color w:val="0070C0"/>
        </w:rPr>
      </w:pPr>
    </w:p>
    <w:p w14:paraId="68494116" w14:textId="426806DF" w:rsidR="00FE57EC" w:rsidRDefault="009E29E0" w:rsidP="009E29E0">
      <w:pPr>
        <w:pStyle w:val="titredesous-partie"/>
        <w:rPr>
          <w:color w:val="0070C0"/>
        </w:rPr>
      </w:pPr>
      <w:r>
        <w:rPr>
          <w:shd w:val="clear" w:color="auto" w:fill="auto"/>
        </w:rPr>
        <w:t xml:space="preserve">2. </w:t>
      </w:r>
      <w:r w:rsidR="00FE57EC">
        <w:rPr>
          <w:shd w:val="clear" w:color="auto" w:fill="auto"/>
        </w:rPr>
        <w:t>Traitement de la maladie causale</w:t>
      </w:r>
    </w:p>
    <w:p w14:paraId="5D52D869" w14:textId="2210E00F" w:rsidR="00FE57EC" w:rsidRDefault="00FE57EC">
      <w:pPr>
        <w:pStyle w:val="Titre3"/>
        <w:numPr>
          <w:ilvl w:val="1"/>
          <w:numId w:val="27"/>
        </w:numPr>
      </w:pPr>
      <w:r>
        <w:t xml:space="preserve">Traitements spécifiques </w:t>
      </w:r>
    </w:p>
    <w:p w14:paraId="4E4511CE" w14:textId="77777777" w:rsidR="00FE57EC" w:rsidRDefault="00FE57EC" w:rsidP="00FE57EC">
      <w:pPr>
        <w:spacing w:line="276" w:lineRule="auto"/>
      </w:pPr>
      <w:r>
        <w:t>La prise en charge spécifique de l’IRC ne doit pas faire oublier l’évaluation et le traitement de la maladie respiratoire causale. Celui-ci varie selon la maladie (cf. items correspondants). Si des traitements curateurs peuvent être envisagés, ils peuvent faire disparaître l’IRC.</w:t>
      </w:r>
    </w:p>
    <w:p w14:paraId="4AC8E79F" w14:textId="77777777" w:rsidR="00FE57EC" w:rsidRDefault="00FE57EC" w:rsidP="00FE57EC">
      <w:pPr>
        <w:spacing w:line="276" w:lineRule="auto"/>
      </w:pPr>
      <w:r>
        <w:t>Sinon, une prise en charge globale et préventive doit être systématiquement mise en œuvre, comme dans toute maladie chronique non guérissable. Cette prise en charge est appelée holistique.</w:t>
      </w:r>
    </w:p>
    <w:p w14:paraId="186AAC29" w14:textId="77777777" w:rsidR="00FE57EC" w:rsidRDefault="00FE57EC" w:rsidP="00FE57EC">
      <w:pPr>
        <w:spacing w:line="276" w:lineRule="auto"/>
        <w:ind w:left="360"/>
      </w:pPr>
    </w:p>
    <w:p w14:paraId="4F5B5BDD" w14:textId="176F1082" w:rsidR="00FE57EC" w:rsidRDefault="00FE57EC" w:rsidP="009E29E0">
      <w:pPr>
        <w:pStyle w:val="Titre3"/>
      </w:pPr>
      <w:r>
        <w:t>Prise en charge holistique</w:t>
      </w:r>
    </w:p>
    <w:p w14:paraId="6E0FFE8B" w14:textId="77777777" w:rsidR="009E29E0" w:rsidRPr="009E29E0" w:rsidRDefault="009E29E0" w:rsidP="009E29E0">
      <w:pPr>
        <w:pStyle w:val="Paragraphedeliste"/>
        <w:numPr>
          <w:ilvl w:val="0"/>
          <w:numId w:val="4"/>
        </w:numPr>
        <w:pBdr>
          <w:top w:val="nil"/>
          <w:left w:val="nil"/>
          <w:bottom w:val="nil"/>
          <w:right w:val="nil"/>
          <w:between w:val="nil"/>
        </w:pBdr>
        <w:spacing w:after="240"/>
        <w:outlineLvl w:val="3"/>
        <w:rPr>
          <w:b/>
          <w:bCs/>
          <w:vanish/>
        </w:rPr>
      </w:pPr>
    </w:p>
    <w:p w14:paraId="35156CC3" w14:textId="77777777" w:rsidR="009E29E0" w:rsidRPr="009E29E0" w:rsidRDefault="009E29E0" w:rsidP="009E29E0">
      <w:pPr>
        <w:pStyle w:val="Paragraphedeliste"/>
        <w:numPr>
          <w:ilvl w:val="0"/>
          <w:numId w:val="4"/>
        </w:numPr>
        <w:pBdr>
          <w:top w:val="nil"/>
          <w:left w:val="nil"/>
          <w:bottom w:val="nil"/>
          <w:right w:val="nil"/>
          <w:between w:val="nil"/>
        </w:pBdr>
        <w:spacing w:after="240"/>
        <w:outlineLvl w:val="3"/>
        <w:rPr>
          <w:b/>
          <w:bCs/>
          <w:vanish/>
        </w:rPr>
      </w:pPr>
    </w:p>
    <w:p w14:paraId="4767A063" w14:textId="77777777" w:rsidR="009E29E0" w:rsidRPr="009E29E0" w:rsidRDefault="009E29E0" w:rsidP="009E29E0">
      <w:pPr>
        <w:pStyle w:val="Paragraphedeliste"/>
        <w:numPr>
          <w:ilvl w:val="1"/>
          <w:numId w:val="4"/>
        </w:numPr>
        <w:pBdr>
          <w:top w:val="nil"/>
          <w:left w:val="nil"/>
          <w:bottom w:val="nil"/>
          <w:right w:val="nil"/>
          <w:between w:val="nil"/>
        </w:pBdr>
        <w:spacing w:after="240"/>
        <w:outlineLvl w:val="3"/>
        <w:rPr>
          <w:b/>
          <w:bCs/>
          <w:vanish/>
        </w:rPr>
      </w:pPr>
    </w:p>
    <w:p w14:paraId="027FDA33" w14:textId="77777777" w:rsidR="009E29E0" w:rsidRPr="009E29E0" w:rsidRDefault="009E29E0" w:rsidP="009E29E0">
      <w:pPr>
        <w:pStyle w:val="Paragraphedeliste"/>
        <w:numPr>
          <w:ilvl w:val="1"/>
          <w:numId w:val="4"/>
        </w:numPr>
        <w:pBdr>
          <w:top w:val="nil"/>
          <w:left w:val="nil"/>
          <w:bottom w:val="nil"/>
          <w:right w:val="nil"/>
          <w:between w:val="nil"/>
        </w:pBdr>
        <w:spacing w:after="240"/>
        <w:outlineLvl w:val="3"/>
        <w:rPr>
          <w:b/>
          <w:bCs/>
          <w:vanish/>
        </w:rPr>
      </w:pPr>
    </w:p>
    <w:p w14:paraId="7EE0053F" w14:textId="6D80D532" w:rsidR="00FE57EC" w:rsidRDefault="00FE57EC" w:rsidP="009E29E0">
      <w:pPr>
        <w:pStyle w:val="Titre4"/>
      </w:pPr>
      <w:r>
        <w:t>Arrêt du tabagisme</w:t>
      </w:r>
    </w:p>
    <w:p w14:paraId="73364B87" w14:textId="77777777" w:rsidR="00FE57EC" w:rsidRDefault="00FE57EC" w:rsidP="00FE57EC">
      <w:pPr>
        <w:spacing w:line="276" w:lineRule="auto"/>
      </w:pPr>
      <w:r>
        <w:t xml:space="preserve">L’arrêt du tabagisme est impératif, et ce, quelle que soit la cause de l’IRC. L’efficacité et le choix de la technique de sevrage sont similaires à ceux des patients sans IRC (cf. item 75). </w:t>
      </w:r>
    </w:p>
    <w:p w14:paraId="04FC6DD0" w14:textId="77777777" w:rsidR="00FE57EC" w:rsidRDefault="00FE57EC" w:rsidP="00FE57EC">
      <w:pPr>
        <w:spacing w:line="276" w:lineRule="auto"/>
      </w:pPr>
    </w:p>
    <w:p w14:paraId="630D6A1A" w14:textId="77777777" w:rsidR="00FE57EC" w:rsidRDefault="00FE57EC" w:rsidP="009E29E0">
      <w:pPr>
        <w:pStyle w:val="Titre4"/>
      </w:pPr>
      <w:r>
        <w:t>Vaccinations</w:t>
      </w:r>
    </w:p>
    <w:p w14:paraId="14AC415D" w14:textId="3761677D" w:rsidR="00FE57EC" w:rsidRDefault="00FE57EC" w:rsidP="00FE57EC">
      <w:pPr>
        <w:spacing w:line="276" w:lineRule="auto"/>
      </w:pPr>
      <w:r>
        <w:t>Sont recommandées dans la quasi-totalité des maladies responsables d’IRC, (sauf contre-indications spécifiques à la maladie sous-jacente), la vaccination contre</w:t>
      </w:r>
      <w:r w:rsidR="009E29E0">
        <w:t xml:space="preserve"> </w:t>
      </w:r>
      <w:r>
        <w:t>1) la grippe, 2) le SARS COV2, 3) le pneumocoque, en plus des vaccinations recommandées selon l’âge du malade.</w:t>
      </w:r>
    </w:p>
    <w:p w14:paraId="2F543F10" w14:textId="77777777" w:rsidR="00FE57EC" w:rsidRDefault="00FE57EC" w:rsidP="00FE57EC">
      <w:pPr>
        <w:spacing w:line="276" w:lineRule="auto"/>
      </w:pPr>
    </w:p>
    <w:p w14:paraId="4E041E15" w14:textId="77777777" w:rsidR="00FE57EC" w:rsidRDefault="00FE57EC" w:rsidP="009E29E0">
      <w:pPr>
        <w:pStyle w:val="Titre4"/>
      </w:pPr>
      <w:r>
        <w:t>Kinésithérapie respiratoire</w:t>
      </w:r>
    </w:p>
    <w:p w14:paraId="0F02DA3B" w14:textId="77777777" w:rsidR="00FE57EC" w:rsidRDefault="00FE57EC" w:rsidP="00FE57EC">
      <w:pPr>
        <w:spacing w:line="276" w:lineRule="auto"/>
      </w:pPr>
      <w:r>
        <w:lastRenderedPageBreak/>
        <w:t>La kinésithérapie respiratoire est avant tout la mise en place de techniques de désencombrement très différentes selon les pathologies.</w:t>
      </w:r>
    </w:p>
    <w:p w14:paraId="7B7AD1A9" w14:textId="77777777" w:rsidR="00FE57EC" w:rsidRDefault="00FE57EC" w:rsidP="00FE57EC">
      <w:pPr>
        <w:spacing w:line="276" w:lineRule="auto"/>
      </w:pPr>
      <w:r>
        <w:rPr>
          <w:b/>
          <w:bCs/>
        </w:rPr>
        <w:t>Kinésithérapie d’aide à la toux</w:t>
      </w:r>
      <w:r>
        <w:t> : elle est indispensable au cours des maladies neuromusculaires à un stade avancé. Une aide au désencombrement bronchique doit être prescrite précocement, dès l’apparition des premiers symptômes de surinfection. Les kinésithérapeutes peuvent utiliser des appareils d’aide à la toux</w:t>
      </w:r>
    </w:p>
    <w:p w14:paraId="31CA447F" w14:textId="77777777" w:rsidR="00FE57EC" w:rsidRDefault="00FE57EC" w:rsidP="00FE57EC">
      <w:pPr>
        <w:spacing w:line="276" w:lineRule="auto"/>
      </w:pPr>
      <w:r>
        <w:rPr>
          <w:b/>
          <w:bCs/>
        </w:rPr>
        <w:t>Kinésithérapie de drainage bronchiques</w:t>
      </w:r>
      <w:r>
        <w:t> : techniques utilisées en cas d’encombrement bronchique chronique.</w:t>
      </w:r>
    </w:p>
    <w:p w14:paraId="37B2789B" w14:textId="77777777" w:rsidR="00FE57EC" w:rsidRDefault="00FE57EC" w:rsidP="00FE57EC">
      <w:pPr>
        <w:spacing w:line="276" w:lineRule="auto"/>
      </w:pP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9067"/>
      </w:tblGrid>
      <w:tr w:rsidR="00FE57EC" w14:paraId="3A08AA00" w14:textId="77777777" w:rsidTr="009E29E0">
        <w:trPr>
          <w:trHeight w:val="54"/>
        </w:trPr>
        <w:tc>
          <w:tcPr>
            <w:tcW w:w="9067" w:type="dxa"/>
            <w:vAlign w:val="center"/>
          </w:tcPr>
          <w:p w14:paraId="54C99C30" w14:textId="77777777" w:rsidR="00FE57EC" w:rsidRDefault="00FE57EC" w:rsidP="00FE57EC">
            <w:pPr>
              <w:spacing w:line="276" w:lineRule="auto"/>
              <w:rPr>
                <w:sz w:val="4"/>
                <w:szCs w:val="4"/>
              </w:rPr>
            </w:pPr>
            <w:r>
              <w:rPr>
                <w:noProof/>
              </w:rPr>
              <w:drawing>
                <wp:anchor distT="0" distB="0" distL="114300" distR="71755" simplePos="0" relativeHeight="251880448" behindDoc="0" locked="0" layoutInCell="1" hidden="0" allowOverlap="1" wp14:anchorId="25D1901D" wp14:editId="73926021">
                  <wp:simplePos x="0" y="0"/>
                  <wp:positionH relativeFrom="column">
                    <wp:posOffset>-36194</wp:posOffset>
                  </wp:positionH>
                  <wp:positionV relativeFrom="paragraph">
                    <wp:posOffset>14604</wp:posOffset>
                  </wp:positionV>
                  <wp:extent cx="615600" cy="590400"/>
                  <wp:effectExtent l="0" t="0" r="0" b="0"/>
                  <wp:wrapSquare wrapText="bothSides" distT="0" distB="0" distL="114300" distR="71755"/>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615600" cy="590400"/>
                          </a:xfrm>
                          <a:prstGeom prst="rect">
                            <a:avLst/>
                          </a:prstGeom>
                          <a:ln/>
                        </pic:spPr>
                      </pic:pic>
                    </a:graphicData>
                  </a:graphic>
                </wp:anchor>
              </w:drawing>
            </w:r>
          </w:p>
          <w:p w14:paraId="5579BB06" w14:textId="77777777" w:rsidR="00FE57EC" w:rsidRDefault="00FE57EC" w:rsidP="00FE57EC">
            <w:pPr>
              <w:spacing w:line="276" w:lineRule="auto"/>
              <w:rPr>
                <w:color w:val="0070C0"/>
              </w:rPr>
            </w:pPr>
            <w:r>
              <w:t>On ne doit pas prescrire «</w:t>
            </w:r>
            <w:r>
              <w:rPr>
                <w:rFonts w:ascii="Arial" w:eastAsia="Arial" w:hAnsi="Arial" w:cs="Arial"/>
              </w:rPr>
              <w:t> </w:t>
            </w:r>
            <w:r>
              <w:t>kinésithérapie respiratoire</w:t>
            </w:r>
            <w:r>
              <w:rPr>
                <w:rFonts w:ascii="Arial" w:eastAsia="Arial" w:hAnsi="Arial" w:cs="Arial"/>
              </w:rPr>
              <w:t> </w:t>
            </w:r>
            <w:r>
              <w:t>» qui est trop vague, mais bien préciser «</w:t>
            </w:r>
            <w:r>
              <w:rPr>
                <w:rFonts w:ascii="Arial" w:eastAsia="Arial" w:hAnsi="Arial" w:cs="Arial"/>
              </w:rPr>
              <w:t> </w:t>
            </w:r>
            <w:r>
              <w:t>kinésithérapie respiratoire d’aide à la toux</w:t>
            </w:r>
            <w:r>
              <w:rPr>
                <w:rFonts w:ascii="Arial" w:eastAsia="Arial" w:hAnsi="Arial" w:cs="Arial"/>
              </w:rPr>
              <w:t> </w:t>
            </w:r>
            <w:r>
              <w:t>» ou «</w:t>
            </w:r>
            <w:r>
              <w:rPr>
                <w:rFonts w:ascii="Arial" w:eastAsia="Arial" w:hAnsi="Arial" w:cs="Arial"/>
              </w:rPr>
              <w:t> </w:t>
            </w:r>
            <w:r>
              <w:t>kinésithérapie respiratoire de drainage bronchique</w:t>
            </w:r>
            <w:r>
              <w:rPr>
                <w:rFonts w:ascii="Arial" w:eastAsia="Arial" w:hAnsi="Arial" w:cs="Arial"/>
              </w:rPr>
              <w:t> </w:t>
            </w:r>
            <w:r>
              <w:t>».</w:t>
            </w:r>
          </w:p>
        </w:tc>
      </w:tr>
    </w:tbl>
    <w:p w14:paraId="796E8D26" w14:textId="77777777" w:rsidR="00FE57EC" w:rsidRDefault="00FE57EC" w:rsidP="00FE57EC">
      <w:pPr>
        <w:spacing w:line="276" w:lineRule="auto"/>
      </w:pPr>
    </w:p>
    <w:tbl>
      <w:tblPr>
        <w:tblW w:w="9067"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ayout w:type="fixed"/>
        <w:tblLook w:val="0400" w:firstRow="0" w:lastRow="0" w:firstColumn="0" w:lastColumn="0" w:noHBand="0" w:noVBand="1"/>
      </w:tblPr>
      <w:tblGrid>
        <w:gridCol w:w="9067"/>
      </w:tblGrid>
      <w:tr w:rsidR="00FE57EC" w14:paraId="1EA385CB" w14:textId="77777777" w:rsidTr="009E29E0">
        <w:trPr>
          <w:trHeight w:val="854"/>
        </w:trPr>
        <w:tc>
          <w:tcPr>
            <w:tcW w:w="9067" w:type="dxa"/>
            <w:vAlign w:val="center"/>
          </w:tcPr>
          <w:p w14:paraId="2129F221" w14:textId="77777777" w:rsidR="00FE57EC" w:rsidRDefault="00FE57EC" w:rsidP="00FE57EC">
            <w:pPr>
              <w:spacing w:line="276" w:lineRule="auto"/>
              <w:rPr>
                <w:sz w:val="4"/>
                <w:szCs w:val="4"/>
              </w:rPr>
            </w:pPr>
            <w:r>
              <w:rPr>
                <w:noProof/>
              </w:rPr>
              <w:drawing>
                <wp:anchor distT="0" distB="0" distL="114300" distR="114300" simplePos="0" relativeHeight="251881472" behindDoc="0" locked="0" layoutInCell="1" hidden="0" allowOverlap="1" wp14:anchorId="517EC9A6" wp14:editId="080AC24B">
                  <wp:simplePos x="0" y="0"/>
                  <wp:positionH relativeFrom="column">
                    <wp:posOffset>-548639</wp:posOffset>
                  </wp:positionH>
                  <wp:positionV relativeFrom="paragraph">
                    <wp:posOffset>4445</wp:posOffset>
                  </wp:positionV>
                  <wp:extent cx="457200" cy="525780"/>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b="4413"/>
                          <a:stretch>
                            <a:fillRect/>
                          </a:stretch>
                        </pic:blipFill>
                        <pic:spPr>
                          <a:xfrm>
                            <a:off x="0" y="0"/>
                            <a:ext cx="457200" cy="525780"/>
                          </a:xfrm>
                          <a:prstGeom prst="rect">
                            <a:avLst/>
                          </a:prstGeom>
                          <a:ln/>
                        </pic:spPr>
                      </pic:pic>
                    </a:graphicData>
                  </a:graphic>
                </wp:anchor>
              </w:drawing>
            </w:r>
          </w:p>
          <w:p w14:paraId="613A9143" w14:textId="77777777" w:rsidR="00FE57EC" w:rsidRDefault="00FE57EC" w:rsidP="00FE57EC">
            <w:pPr>
              <w:spacing w:line="276" w:lineRule="auto"/>
              <w:rPr>
                <w:color w:val="0070C0"/>
                <w:sz w:val="10"/>
                <w:szCs w:val="10"/>
              </w:rPr>
            </w:pPr>
          </w:p>
          <w:p w14:paraId="1EE396CD" w14:textId="77777777" w:rsidR="00FE57EC" w:rsidRDefault="00FE57EC" w:rsidP="00FE57EC">
            <w:pPr>
              <w:spacing w:line="276" w:lineRule="auto"/>
              <w:rPr>
                <w:color w:val="0070C0"/>
              </w:rPr>
            </w:pPr>
            <w:r>
              <w:rPr>
                <w:color w:val="0070C0"/>
              </w:rPr>
              <w:t>La kinésithérapie respiratoire de rééducation des muscles respiratoires (ou diaphragmatiques) n’a pas démontré son efficacité et les techniques ne sont pas clairement déterminées.</w:t>
            </w:r>
            <w:r>
              <w:rPr>
                <w:noProof/>
              </w:rPr>
              <w:drawing>
                <wp:anchor distT="0" distB="0" distL="114300" distR="114300" simplePos="0" relativeHeight="251882496" behindDoc="0" locked="0" layoutInCell="1" hidden="0" allowOverlap="1" wp14:anchorId="1FCC7AAF" wp14:editId="028B5156">
                  <wp:simplePos x="0" y="0"/>
                  <wp:positionH relativeFrom="column">
                    <wp:posOffset>551815</wp:posOffset>
                  </wp:positionH>
                  <wp:positionV relativeFrom="paragraph">
                    <wp:posOffset>3810</wp:posOffset>
                  </wp:positionV>
                  <wp:extent cx="153670" cy="137160"/>
                  <wp:effectExtent l="0" t="0" r="0" b="0"/>
                  <wp:wrapSquare wrapText="bothSides" distT="0" distB="0" distL="114300" distR="11430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1C1CF9B0" w14:textId="77777777" w:rsidR="00FE57EC" w:rsidRDefault="00FE57EC" w:rsidP="00FE57EC">
            <w:pPr>
              <w:spacing w:line="276" w:lineRule="auto"/>
              <w:rPr>
                <w:sz w:val="6"/>
                <w:szCs w:val="6"/>
              </w:rPr>
            </w:pPr>
          </w:p>
        </w:tc>
      </w:tr>
    </w:tbl>
    <w:p w14:paraId="025080B6" w14:textId="77777777" w:rsidR="00FE57EC" w:rsidRDefault="00FE57EC" w:rsidP="00FE57EC">
      <w:pPr>
        <w:spacing w:line="276" w:lineRule="auto"/>
        <w:rPr>
          <w:b/>
          <w:bCs/>
        </w:rPr>
      </w:pPr>
    </w:p>
    <w:p w14:paraId="65666FED" w14:textId="77777777" w:rsidR="00FE57EC" w:rsidRDefault="00FE57EC" w:rsidP="00FE57EC">
      <w:pPr>
        <w:spacing w:line="276" w:lineRule="auto"/>
      </w:pPr>
      <w:r>
        <w:t>Les kinésithérapeutes sont par ailleurs des acteurs-clés de la réadaptation respiratoire dans leurs soins de rééducation/entraînement des muscles locomoteurs.</w:t>
      </w:r>
    </w:p>
    <w:p w14:paraId="25E0BE94" w14:textId="77777777" w:rsidR="00FE57EC" w:rsidRDefault="00FE57EC" w:rsidP="00FE57EC">
      <w:pPr>
        <w:spacing w:line="276" w:lineRule="auto"/>
        <w:rPr>
          <w:b/>
          <w:bCs/>
        </w:rPr>
      </w:pPr>
    </w:p>
    <w:p w14:paraId="39FBF853" w14:textId="77777777" w:rsidR="00FE57EC" w:rsidRDefault="00FE57EC" w:rsidP="009E29E0">
      <w:pPr>
        <w:pStyle w:val="Titre4"/>
      </w:pPr>
      <w:r>
        <w:t xml:space="preserve">Activité physique </w:t>
      </w:r>
    </w:p>
    <w:p w14:paraId="127269B6" w14:textId="77777777" w:rsidR="00FE57EC" w:rsidRDefault="00FE57EC" w:rsidP="00FE57EC">
      <w:pPr>
        <w:spacing w:line="276" w:lineRule="auto"/>
      </w:pPr>
      <w:r>
        <w:t>Une activité physique minimale quotidienne, lorsqu’elle est possible, est recommandée à tous les patients, dans le cadre de leur maladie respiratoire chronique. Dans la BPCO, une marche quotidienne d’au moins 30 min par jour ou au moins 2 heures par semaine a montré un impact sur l’amélioration de la survie.</w:t>
      </w:r>
    </w:p>
    <w:p w14:paraId="4A4E31A0" w14:textId="77777777" w:rsidR="00FE57EC" w:rsidRDefault="00FE57EC" w:rsidP="00FE57EC">
      <w:pPr>
        <w:spacing w:line="276" w:lineRule="auto"/>
      </w:pPr>
    </w:p>
    <w:p w14:paraId="34D29E0B" w14:textId="77777777" w:rsidR="00FE57EC" w:rsidRDefault="00FE57EC" w:rsidP="009E29E0">
      <w:pPr>
        <w:pStyle w:val="Titre4"/>
      </w:pPr>
      <w:r>
        <w:t>Réadaptation respiratoire</w:t>
      </w:r>
    </w:p>
    <w:p w14:paraId="0F05DA73" w14:textId="77777777" w:rsidR="00FE57EC" w:rsidRDefault="00FE57EC" w:rsidP="00FE57EC">
      <w:pPr>
        <w:spacing w:line="276" w:lineRule="auto"/>
      </w:pPr>
      <w:r>
        <w:t xml:space="preserve">La réadaptation respiratoire est une prise en charge globale et pluriprofessionnelle de l’IRC. </w:t>
      </w:r>
    </w:p>
    <w:p w14:paraId="6E9A2812" w14:textId="77777777" w:rsidR="00FE57EC" w:rsidRDefault="00FE57EC" w:rsidP="00FE57EC">
      <w:pPr>
        <w:spacing w:line="276" w:lineRule="auto"/>
      </w:pPr>
    </w:p>
    <w:p w14:paraId="2B002085" w14:textId="77777777" w:rsidR="00FE57EC" w:rsidRDefault="00FE57EC" w:rsidP="00FE57EC">
      <w:pPr>
        <w:spacing w:line="276" w:lineRule="auto"/>
      </w:pPr>
      <w:r>
        <w:t xml:space="preserve">Elle sera mise en place, quel que soit le stade de la maladie responsable de l’IRC, à partir du moment où il existe un handicap persistant malgré le traitement de la cause ou un appareillage (OLD ou ventilation). </w:t>
      </w:r>
    </w:p>
    <w:p w14:paraId="3EEC4A09" w14:textId="77777777" w:rsidR="00FE57EC" w:rsidRDefault="00FE57EC" w:rsidP="00FE57EC">
      <w:pPr>
        <w:spacing w:line="276" w:lineRule="auto"/>
        <w:rPr>
          <w:i/>
          <w:iCs/>
        </w:rPr>
      </w:pPr>
    </w:p>
    <w:p w14:paraId="09E10C32" w14:textId="77777777" w:rsidR="00FE57EC" w:rsidRDefault="00FE57EC" w:rsidP="00FE57EC">
      <w:pPr>
        <w:spacing w:line="276" w:lineRule="auto"/>
      </w:pPr>
      <w:r>
        <w:t>La réadaptation respiratoire est une prise en charge holistique, concentrée sur un temps donné (appelé «</w:t>
      </w:r>
      <w:r>
        <w:rPr>
          <w:rFonts w:ascii="Arial" w:eastAsia="Arial" w:hAnsi="Arial" w:cs="Arial"/>
        </w:rPr>
        <w:t> </w:t>
      </w:r>
      <w:r>
        <w:t>stage</w:t>
      </w:r>
      <w:r>
        <w:rPr>
          <w:rFonts w:ascii="Arial" w:eastAsia="Arial" w:hAnsi="Arial" w:cs="Arial"/>
        </w:rPr>
        <w:t> </w:t>
      </w:r>
      <w:r>
        <w:t xml:space="preserve">») et sur un lieu donné, autour d’une équipe multidisciplinaire. Elle comprend : </w:t>
      </w:r>
    </w:p>
    <w:p w14:paraId="199D943C" w14:textId="77777777" w:rsidR="00FE57EC" w:rsidRDefault="00FE57EC" w:rsidP="00FE57EC">
      <w:pPr>
        <w:spacing w:line="276" w:lineRule="auto"/>
      </w:pPr>
      <w:r>
        <w:t>- Le réentraînement à l’exercice suivi d’une reprise d’une activité physique adaptée.</w:t>
      </w:r>
    </w:p>
    <w:p w14:paraId="4D4C92DE" w14:textId="77777777" w:rsidR="00FE57EC" w:rsidRDefault="00FE57EC" w:rsidP="00FE57EC">
      <w:pPr>
        <w:spacing w:line="276" w:lineRule="auto"/>
      </w:pPr>
      <w:r>
        <w:t>- L’éducation thérapeutique (ETP).</w:t>
      </w:r>
    </w:p>
    <w:p w14:paraId="0DAB3D05" w14:textId="77777777" w:rsidR="00FE57EC" w:rsidRDefault="00FE57EC" w:rsidP="00FE57EC">
      <w:pPr>
        <w:spacing w:line="276" w:lineRule="auto"/>
      </w:pPr>
      <w:r>
        <w:t>- Le sevrage tabagique.</w:t>
      </w:r>
    </w:p>
    <w:p w14:paraId="7D50B1A5" w14:textId="77777777" w:rsidR="00FE57EC" w:rsidRDefault="00FE57EC" w:rsidP="00FE57EC">
      <w:pPr>
        <w:spacing w:line="276" w:lineRule="auto"/>
      </w:pPr>
      <w:r>
        <w:t>- La prise en charge nutritionnelle.</w:t>
      </w:r>
    </w:p>
    <w:p w14:paraId="1BBBF610" w14:textId="77777777" w:rsidR="00FE57EC" w:rsidRDefault="00FE57EC" w:rsidP="00FE57EC">
      <w:pPr>
        <w:spacing w:line="276" w:lineRule="auto"/>
      </w:pPr>
      <w:r>
        <w:t>- La prise en charge psychologique.</w:t>
      </w:r>
    </w:p>
    <w:p w14:paraId="14DB85AD" w14:textId="77777777" w:rsidR="00FE57EC" w:rsidRDefault="00FE57EC" w:rsidP="00FE57EC">
      <w:pPr>
        <w:spacing w:line="276" w:lineRule="auto"/>
      </w:pPr>
      <w:r>
        <w:t>- La prise en charge sociale.</w:t>
      </w:r>
    </w:p>
    <w:p w14:paraId="44A40AB9" w14:textId="77777777" w:rsidR="00FE57EC" w:rsidRDefault="00FE57EC" w:rsidP="00FE57EC">
      <w:pPr>
        <w:spacing w:line="276" w:lineRule="auto"/>
      </w:pPr>
      <w:r>
        <w:t>- L’adaptation de l’appareillage (respiratoire et/ou locomoteur).</w:t>
      </w:r>
    </w:p>
    <w:p w14:paraId="643C42FB" w14:textId="77777777" w:rsidR="00FE57EC" w:rsidRDefault="00FE57EC" w:rsidP="00FE57EC">
      <w:pPr>
        <w:spacing w:line="276" w:lineRule="auto"/>
      </w:pPr>
      <w:r>
        <w:lastRenderedPageBreak/>
        <w:t>- La mise en place d’un plan d’action en cas d’épisode d’exacerbation.</w:t>
      </w:r>
    </w:p>
    <w:p w14:paraId="76E286F9" w14:textId="77777777" w:rsidR="00FE57EC" w:rsidRDefault="00FE57EC" w:rsidP="00FE57EC">
      <w:pPr>
        <w:spacing w:line="276" w:lineRule="auto"/>
      </w:pPr>
    </w:p>
    <w:p w14:paraId="6B60FEF5" w14:textId="77777777" w:rsidR="00FE57EC" w:rsidRDefault="00FE57EC" w:rsidP="00FE57EC">
      <w:pPr>
        <w:spacing w:line="276" w:lineRule="auto"/>
      </w:pPr>
      <w:r>
        <w:t>Ses objectifs sont :</w:t>
      </w:r>
    </w:p>
    <w:p w14:paraId="0321EAA1" w14:textId="77777777" w:rsidR="00FE57EC" w:rsidRDefault="00FE57EC" w:rsidP="00FE57EC">
      <w:pPr>
        <w:spacing w:line="276" w:lineRule="auto"/>
      </w:pPr>
      <w:r>
        <w:t>- L’augmentation de la capacité fonctionnelle d’effort du patient.</w:t>
      </w:r>
    </w:p>
    <w:p w14:paraId="4732CC13" w14:textId="77777777" w:rsidR="00FE57EC" w:rsidRDefault="00FE57EC" w:rsidP="00FE57EC">
      <w:pPr>
        <w:spacing w:line="276" w:lineRule="auto"/>
      </w:pPr>
      <w:r>
        <w:t>- Le développement de changements de comportement nécessaires à une amélioration de sa santé et de sa qualité de vie.</w:t>
      </w:r>
    </w:p>
    <w:p w14:paraId="02CBC77B" w14:textId="77777777" w:rsidR="00FE57EC" w:rsidRDefault="00FE57EC" w:rsidP="00FE57EC">
      <w:pPr>
        <w:spacing w:line="276" w:lineRule="auto"/>
      </w:pPr>
      <w:r>
        <w:t>- L’adhésion à long terme à ces comportements.</w:t>
      </w:r>
    </w:p>
    <w:p w14:paraId="5EB0643E" w14:textId="77777777" w:rsidR="00FE57EC" w:rsidRDefault="00FE57EC" w:rsidP="00FE57EC">
      <w:pPr>
        <w:spacing w:line="276" w:lineRule="auto"/>
      </w:pP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9067"/>
      </w:tblGrid>
      <w:tr w:rsidR="00FE57EC" w14:paraId="6ACD6514" w14:textId="77777777" w:rsidTr="009E29E0">
        <w:trPr>
          <w:trHeight w:val="54"/>
        </w:trPr>
        <w:tc>
          <w:tcPr>
            <w:tcW w:w="9067" w:type="dxa"/>
            <w:vAlign w:val="center"/>
          </w:tcPr>
          <w:p w14:paraId="30027EF6" w14:textId="77777777" w:rsidR="00FE57EC" w:rsidRDefault="00FE57EC" w:rsidP="00FE57EC">
            <w:pPr>
              <w:spacing w:line="276" w:lineRule="auto"/>
            </w:pPr>
            <w:r>
              <w:t>Dans toute maladie chronique, la réadaptation et la prise en charge holistique sont recommandées. Le contenu est toujours le même. Retenez tous les éléments ci-dessus, et citez-les pour TOUTE maladie chronique si on vous demande une prise en charge thérapeutique.</w:t>
            </w:r>
            <w:r>
              <w:rPr>
                <w:noProof/>
              </w:rPr>
              <w:drawing>
                <wp:anchor distT="0" distB="0" distL="114300" distR="114300" simplePos="0" relativeHeight="251883520" behindDoc="0" locked="0" layoutInCell="1" hidden="0" allowOverlap="1" wp14:anchorId="35BC07D7" wp14:editId="09859469">
                  <wp:simplePos x="0" y="0"/>
                  <wp:positionH relativeFrom="column">
                    <wp:posOffset>-658494</wp:posOffset>
                  </wp:positionH>
                  <wp:positionV relativeFrom="paragraph">
                    <wp:posOffset>-90804</wp:posOffset>
                  </wp:positionV>
                  <wp:extent cx="656590" cy="665480"/>
                  <wp:effectExtent l="0" t="0" r="0" b="0"/>
                  <wp:wrapSquare wrapText="bothSides" distT="0" distB="0" distL="114300" distR="114300"/>
                  <wp:docPr id="40431426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656590" cy="665480"/>
                          </a:xfrm>
                          <a:prstGeom prst="rect">
                            <a:avLst/>
                          </a:prstGeom>
                          <a:ln/>
                        </pic:spPr>
                      </pic:pic>
                    </a:graphicData>
                  </a:graphic>
                </wp:anchor>
              </w:drawing>
            </w:r>
          </w:p>
        </w:tc>
      </w:tr>
    </w:tbl>
    <w:p w14:paraId="64AB9591" w14:textId="77777777" w:rsidR="00FE57EC" w:rsidRDefault="00FE57EC" w:rsidP="00FE57EC">
      <w:pPr>
        <w:spacing w:line="276" w:lineRule="auto"/>
      </w:pPr>
    </w:p>
    <w:p w14:paraId="2595CBB2" w14:textId="77777777" w:rsidR="00FE57EC" w:rsidRDefault="00FE57EC" w:rsidP="009E29E0">
      <w:pPr>
        <w:pStyle w:val="Titre4"/>
      </w:pPr>
      <w:r>
        <w:t>Transplantation pulmonaire (item 201)</w:t>
      </w:r>
    </w:p>
    <w:p w14:paraId="7EB43457" w14:textId="77777777" w:rsidR="00FE57EC" w:rsidRDefault="00FE57EC" w:rsidP="00FE57EC">
      <w:pPr>
        <w:spacing w:line="276" w:lineRule="auto"/>
      </w:pPr>
      <w:r>
        <w:t xml:space="preserve">La transplantation pulmonaire peut être proposée à des patients dans les cas les plus sévères (300 à 400 patients en France par an), rigoureusement sélectionnés (âge, comorbidités…). </w:t>
      </w:r>
    </w:p>
    <w:p w14:paraId="6248F526" w14:textId="77777777" w:rsidR="00FE57EC" w:rsidRDefault="00FE57EC" w:rsidP="00FE57EC">
      <w:pPr>
        <w:spacing w:line="276" w:lineRule="auto"/>
      </w:pPr>
    </w:p>
    <w:p w14:paraId="23F1A346" w14:textId="77777777" w:rsidR="00FE57EC" w:rsidRDefault="00FE57EC" w:rsidP="009E29E0">
      <w:pPr>
        <w:pStyle w:val="titredesous-partie"/>
      </w:pPr>
      <w:r>
        <w:rPr>
          <w:shd w:val="clear" w:color="auto" w:fill="auto"/>
        </w:rPr>
        <w:t>SURVEILLANCE DE L’Insuffisance Respiratoire Chronique</w:t>
      </w:r>
    </w:p>
    <w:p w14:paraId="08118090" w14:textId="77777777" w:rsidR="00FE57EC" w:rsidRDefault="00FE57EC" w:rsidP="00FE57EC">
      <w:pPr>
        <w:spacing w:line="276" w:lineRule="auto"/>
      </w:pPr>
      <w:r>
        <w:t>Dans la majorité des cas, l’IRC est un processus irréversible et lentement évolutif.</w:t>
      </w:r>
    </w:p>
    <w:p w14:paraId="227DB668" w14:textId="77777777" w:rsidR="00FE57EC" w:rsidRDefault="00FE57EC" w:rsidP="00FE57EC">
      <w:pPr>
        <w:spacing w:line="276" w:lineRule="auto"/>
      </w:pPr>
      <w:r>
        <w:t>L’insuffisance respiratoire aiguë est le principal risque évolutif de l’insuffisance respiratoire chronique (cf. item 359).</w:t>
      </w:r>
    </w:p>
    <w:p w14:paraId="4BCB800F" w14:textId="77777777" w:rsidR="00FE57EC" w:rsidRDefault="00FE57EC" w:rsidP="00FE57EC">
      <w:pPr>
        <w:spacing w:line="276" w:lineRule="auto"/>
      </w:pPr>
      <w:r>
        <w:t>Il faut systématiquement rechercher un facteur déclenchant :</w:t>
      </w:r>
    </w:p>
    <w:p w14:paraId="58FC95D7" w14:textId="77777777" w:rsidR="00FE57EC" w:rsidRDefault="00FE57EC" w:rsidP="00FE57EC">
      <w:pPr>
        <w:spacing w:line="276" w:lineRule="auto"/>
      </w:pPr>
      <w:r>
        <w:t>- Les trois principales causes à rechercher devant une décompensation aiguë d’IRC sont :</w:t>
      </w:r>
    </w:p>
    <w:p w14:paraId="6D0D4380" w14:textId="77777777" w:rsidR="00FE57EC" w:rsidRDefault="00FE57EC">
      <w:pPr>
        <w:numPr>
          <w:ilvl w:val="0"/>
          <w:numId w:val="16"/>
        </w:numPr>
        <w:spacing w:line="276" w:lineRule="auto"/>
        <w:ind w:left="284" w:hanging="142"/>
      </w:pPr>
      <w:r>
        <w:t>Infection respiratoire basse : bronchite ou pneumonie.</w:t>
      </w:r>
    </w:p>
    <w:p w14:paraId="30E38302" w14:textId="77777777" w:rsidR="00FE57EC" w:rsidRDefault="00FE57EC">
      <w:pPr>
        <w:numPr>
          <w:ilvl w:val="0"/>
          <w:numId w:val="16"/>
        </w:numPr>
        <w:spacing w:line="276" w:lineRule="auto"/>
        <w:ind w:left="284" w:hanging="142"/>
      </w:pPr>
      <w:r>
        <w:t>Dysfonction cardiaque gauche (œdème pulmonaire) et troubles du rythme.</w:t>
      </w:r>
    </w:p>
    <w:p w14:paraId="2325A0CC" w14:textId="77777777" w:rsidR="00FE57EC" w:rsidRDefault="00FE57EC">
      <w:pPr>
        <w:numPr>
          <w:ilvl w:val="0"/>
          <w:numId w:val="16"/>
        </w:numPr>
        <w:spacing w:line="276" w:lineRule="auto"/>
        <w:ind w:left="284" w:hanging="142"/>
      </w:pPr>
      <w:r>
        <w:t>Embolie pulmonaire.</w:t>
      </w:r>
    </w:p>
    <w:p w14:paraId="75966701" w14:textId="77777777" w:rsidR="00FE57EC" w:rsidRDefault="00FE57EC" w:rsidP="00FE57EC">
      <w:pPr>
        <w:spacing w:line="276" w:lineRule="auto"/>
      </w:pPr>
      <w:r>
        <w:t>- Viennent ensuite :</w:t>
      </w:r>
    </w:p>
    <w:p w14:paraId="25FA9AB5" w14:textId="77777777" w:rsidR="00FE57EC" w:rsidRDefault="00FE57EC">
      <w:pPr>
        <w:numPr>
          <w:ilvl w:val="0"/>
          <w:numId w:val="16"/>
        </w:numPr>
        <w:spacing w:line="276" w:lineRule="auto"/>
        <w:ind w:left="284" w:hanging="142"/>
      </w:pPr>
      <w:r>
        <w:t>Prise de traitements à visée sédative (benzodiazépines) ou d’opiacés.</w:t>
      </w:r>
    </w:p>
    <w:p w14:paraId="1A0DE9A6" w14:textId="77777777" w:rsidR="00FE57EC" w:rsidRDefault="00FE57EC">
      <w:pPr>
        <w:numPr>
          <w:ilvl w:val="0"/>
          <w:numId w:val="16"/>
        </w:numPr>
        <w:spacing w:line="276" w:lineRule="auto"/>
        <w:ind w:left="284" w:hanging="142"/>
      </w:pPr>
      <w:r>
        <w:t>Chirurgie abdominale sus-mésocolique.</w:t>
      </w:r>
    </w:p>
    <w:p w14:paraId="22C93B41" w14:textId="77777777" w:rsidR="00FE57EC" w:rsidRDefault="00FE57EC">
      <w:pPr>
        <w:numPr>
          <w:ilvl w:val="0"/>
          <w:numId w:val="16"/>
        </w:numPr>
        <w:spacing w:line="276" w:lineRule="auto"/>
        <w:ind w:left="284" w:hanging="142"/>
      </w:pPr>
      <w:r>
        <w:t>Traumatisme thoracique ou fracture-tassement vertébral ou chirurgie thoracique.</w:t>
      </w:r>
    </w:p>
    <w:p w14:paraId="1CF2FE10" w14:textId="77777777" w:rsidR="00FE57EC" w:rsidRDefault="00FE57EC">
      <w:pPr>
        <w:numPr>
          <w:ilvl w:val="0"/>
          <w:numId w:val="16"/>
        </w:numPr>
        <w:spacing w:line="276" w:lineRule="auto"/>
        <w:ind w:left="284" w:hanging="142"/>
      </w:pPr>
      <w:r>
        <w:t>Pneumothorax.</w:t>
      </w:r>
    </w:p>
    <w:p w14:paraId="3109704C" w14:textId="77777777" w:rsidR="00FE57EC" w:rsidRDefault="00FE57EC" w:rsidP="00FE57EC">
      <w:pPr>
        <w:spacing w:line="276" w:lineRule="auto"/>
      </w:pPr>
      <w:r>
        <w:t>- Dans près d’un tiers des cas, aucune cause évidente n’est retrouvée.</w:t>
      </w:r>
    </w:p>
    <w:p w14:paraId="5225EE32" w14:textId="77777777" w:rsidR="00FE57EC" w:rsidRDefault="00FE57EC" w:rsidP="00FE57EC">
      <w:pPr>
        <w:spacing w:line="276" w:lineRule="auto"/>
      </w:pPr>
    </w:p>
    <w:p w14:paraId="142FE529" w14:textId="77777777" w:rsidR="00FE57EC" w:rsidRDefault="00FE57EC" w:rsidP="00FE57EC">
      <w:pPr>
        <w:spacing w:line="276" w:lineRule="auto"/>
      </w:pPr>
      <w:r>
        <w:t>Ces épisodes d’insuffisance respiratoire aiguë imposent en général une escalade thérapeutique allant de l’augmentation des débits d’oxygène administrés (oxygénothérapie à haut débit), jusqu’à la ventilation mécanique en secteur de soins intensifs ou de réanimation.</w:t>
      </w:r>
    </w:p>
    <w:p w14:paraId="0C770614" w14:textId="77777777" w:rsidR="00FE57EC" w:rsidRDefault="00FE57EC" w:rsidP="00FE57EC">
      <w:pPr>
        <w:spacing w:line="276" w:lineRule="auto"/>
      </w:pPr>
      <w:r>
        <w:br w:type="page"/>
      </w:r>
    </w:p>
    <w:p w14:paraId="4D30D8E0" w14:textId="77777777" w:rsidR="00FE57EC" w:rsidRDefault="00FE57EC" w:rsidP="00FE57EC">
      <w:pPr>
        <w:spacing w:line="276" w:lineRule="auto"/>
        <w:rPr>
          <w:b/>
          <w:bCs/>
          <w:color w:val="0070C0"/>
          <w:sz w:val="24"/>
          <w:szCs w:val="24"/>
        </w:rPr>
      </w:pPr>
      <w:r>
        <w:rPr>
          <w:b/>
          <w:bCs/>
          <w:color w:val="0070C0"/>
          <w:sz w:val="24"/>
          <w:szCs w:val="24"/>
        </w:rPr>
        <w:lastRenderedPageBreak/>
        <w:t>QUESTIONS TOMBABLES</w:t>
      </w:r>
    </w:p>
    <w:p w14:paraId="65FCD846" w14:textId="77777777" w:rsidR="00FE57EC" w:rsidRDefault="00FE57EC" w:rsidP="00FE57EC">
      <w:pPr>
        <w:pBdr>
          <w:top w:val="nil"/>
          <w:left w:val="nil"/>
          <w:bottom w:val="nil"/>
          <w:right w:val="nil"/>
          <w:between w:val="nil"/>
        </w:pBdr>
        <w:spacing w:line="276" w:lineRule="auto"/>
        <w:rPr>
          <w:b/>
          <w:bCs/>
          <w:smallCaps/>
          <w:color w:val="2E74B5"/>
        </w:rPr>
      </w:pPr>
    </w:p>
    <w:p w14:paraId="3001D989" w14:textId="77777777" w:rsidR="00FE57EC" w:rsidRDefault="00FE57EC" w:rsidP="00FE57EC">
      <w:pPr>
        <w:spacing w:line="276" w:lineRule="auto"/>
        <w:rPr>
          <w:b/>
          <w:bCs/>
          <w:color w:val="0070C0"/>
        </w:rPr>
      </w:pPr>
      <w:r>
        <w:rPr>
          <w:b/>
          <w:bCs/>
          <w:color w:val="0070C0"/>
        </w:rPr>
        <w:t>KFP</w:t>
      </w:r>
    </w:p>
    <w:p w14:paraId="52032A05" w14:textId="77777777" w:rsidR="00FE57EC" w:rsidRDefault="00FE57EC" w:rsidP="00FE57EC">
      <w:pPr>
        <w:spacing w:line="276" w:lineRule="auto"/>
        <w:rPr>
          <w:b/>
          <w:bCs/>
          <w:color w:val="0070C0"/>
        </w:rPr>
      </w:pPr>
    </w:p>
    <w:p w14:paraId="5E6FE612" w14:textId="77777777" w:rsidR="00FE57EC" w:rsidRDefault="00FE57EC">
      <w:pPr>
        <w:numPr>
          <w:ilvl w:val="0"/>
          <w:numId w:val="11"/>
        </w:numPr>
        <w:pBdr>
          <w:top w:val="nil"/>
          <w:left w:val="nil"/>
          <w:bottom w:val="nil"/>
          <w:right w:val="nil"/>
          <w:between w:val="nil"/>
        </w:pBdr>
        <w:spacing w:before="80" w:line="276" w:lineRule="auto"/>
        <w:jc w:val="left"/>
      </w:pPr>
      <w:r>
        <w:rPr>
          <w:b/>
          <w:bCs/>
        </w:rPr>
        <w:t>QRP – 2 réponses</w:t>
      </w:r>
    </w:p>
    <w:p w14:paraId="05DA1BBB" w14:textId="7E4B7470" w:rsidR="00FE57EC" w:rsidRDefault="009E29E0" w:rsidP="00FE57EC">
      <w:pPr>
        <w:spacing w:line="276" w:lineRule="auto"/>
      </w:pPr>
      <w:r>
        <w:rPr>
          <w:noProof/>
        </w:rPr>
        <w:drawing>
          <wp:anchor distT="0" distB="0" distL="114300" distR="114300" simplePos="0" relativeHeight="251884544" behindDoc="0" locked="0" layoutInCell="1" hidden="0" allowOverlap="1" wp14:anchorId="649B2755" wp14:editId="2FBEDFC7">
            <wp:simplePos x="0" y="0"/>
            <wp:positionH relativeFrom="margin">
              <wp:align>right</wp:align>
            </wp:positionH>
            <wp:positionV relativeFrom="paragraph">
              <wp:posOffset>1163320</wp:posOffset>
            </wp:positionV>
            <wp:extent cx="2915920" cy="2573020"/>
            <wp:effectExtent l="0" t="0" r="0" b="0"/>
            <wp:wrapSquare wrapText="bothSides" distT="0" distB="0" distL="114300" distR="114300"/>
            <wp:docPr id="28" name="image9.jpg" descr="G:\NICE ENSEIGNEMENT jan 2023\COLLEGE NATIONAL DES PU-PH\ECN - REFERENTIEL\EDITION 2030\NOUVELLE VERSION\ITEM 208 -  IRC\DOCIMOLOGIE\radio.tif"/>
            <wp:cNvGraphicFramePr/>
            <a:graphic xmlns:a="http://schemas.openxmlformats.org/drawingml/2006/main">
              <a:graphicData uri="http://schemas.openxmlformats.org/drawingml/2006/picture">
                <pic:pic xmlns:pic="http://schemas.openxmlformats.org/drawingml/2006/picture">
                  <pic:nvPicPr>
                    <pic:cNvPr id="0" name="image9.jpg" descr="G:\NICE ENSEIGNEMENT jan 2023\COLLEGE NATIONAL DES PU-PH\ECN - REFERENTIEL\EDITION 2030\NOUVELLE VERSION\ITEM 208 -  IRC\DOCIMOLOGIE\radio.tif"/>
                    <pic:cNvPicPr preferRelativeResize="0"/>
                  </pic:nvPicPr>
                  <pic:blipFill>
                    <a:blip r:embed="rId21"/>
                    <a:srcRect/>
                    <a:stretch>
                      <a:fillRect/>
                    </a:stretch>
                  </pic:blipFill>
                  <pic:spPr>
                    <a:xfrm>
                      <a:off x="0" y="0"/>
                      <a:ext cx="2915920" cy="2573020"/>
                    </a:xfrm>
                    <a:prstGeom prst="rect">
                      <a:avLst/>
                    </a:prstGeom>
                    <a:ln/>
                  </pic:spPr>
                </pic:pic>
              </a:graphicData>
            </a:graphic>
          </wp:anchor>
        </w:drawing>
      </w:r>
      <w:r w:rsidR="00FE57EC">
        <w:t>Une dame de 76 ans consulte, car elle est essoufflée dès qu’elle marche quelques minutes sur terrain plat (&lt; 100 m). Elle s’est rendu compte qu’elle était essoufflée à la marche en côte il y a déjà 4 ans et les choses sont allées en s’aggravant très progressivement. Associée à cette dyspnée, elle note une toux sèche apparue il y a plus de 8 mois. Elle n’a aucun antécédent hormis une HTA traitée par diurétiques. À l’examen vous notez un hippocratisme digital et une polypnée superficielle à 23/minutes. Vous avez prescrit un cliché de thorax de face en inspiration et la patiente a correctement fait la manœuvre d’inspiration.</w:t>
      </w:r>
    </w:p>
    <w:p w14:paraId="1B668A96" w14:textId="77777777" w:rsidR="00FE57EC" w:rsidRDefault="00FE57EC" w:rsidP="00FE57EC">
      <w:pPr>
        <w:spacing w:line="276" w:lineRule="auto"/>
      </w:pPr>
      <w:r>
        <w:t>Parmi les affirmations suivantes lesquelles sont justes</w:t>
      </w:r>
      <w:r>
        <w:rPr>
          <w:rFonts w:ascii="Arial" w:eastAsia="Arial" w:hAnsi="Arial" w:cs="Arial"/>
        </w:rPr>
        <w:t> </w:t>
      </w:r>
      <w:r>
        <w:t>?</w:t>
      </w:r>
    </w:p>
    <w:p w14:paraId="47DF5211" w14:textId="44EAC9C5" w:rsidR="00FE57EC" w:rsidRDefault="00FE57EC">
      <w:pPr>
        <w:numPr>
          <w:ilvl w:val="0"/>
          <w:numId w:val="20"/>
        </w:numPr>
        <w:pBdr>
          <w:top w:val="nil"/>
          <w:left w:val="nil"/>
          <w:bottom w:val="nil"/>
          <w:right w:val="nil"/>
          <w:between w:val="nil"/>
        </w:pBdr>
        <w:spacing w:line="276" w:lineRule="auto"/>
      </w:pPr>
      <w:r>
        <w:t>Vous vous attendez à trouver des râles en velcro aux deux bases à l’auscultation</w:t>
      </w:r>
    </w:p>
    <w:p w14:paraId="5D5C2B25" w14:textId="77777777" w:rsidR="00FE57EC" w:rsidRDefault="00FE57EC">
      <w:pPr>
        <w:numPr>
          <w:ilvl w:val="0"/>
          <w:numId w:val="20"/>
        </w:numPr>
        <w:pBdr>
          <w:top w:val="nil"/>
          <w:left w:val="nil"/>
          <w:bottom w:val="nil"/>
          <w:right w:val="nil"/>
          <w:between w:val="nil"/>
        </w:pBdr>
        <w:spacing w:line="276" w:lineRule="auto"/>
        <w:jc w:val="left"/>
      </w:pPr>
      <w:r>
        <w:t>Vous vous attendez à trouver une diminution globale du murmure vésiculaire à l’auscultation</w:t>
      </w:r>
    </w:p>
    <w:p w14:paraId="33F00388" w14:textId="77777777" w:rsidR="00FE57EC" w:rsidRDefault="00FE57EC">
      <w:pPr>
        <w:numPr>
          <w:ilvl w:val="0"/>
          <w:numId w:val="20"/>
        </w:numPr>
        <w:pBdr>
          <w:top w:val="nil"/>
          <w:left w:val="nil"/>
          <w:bottom w:val="nil"/>
          <w:right w:val="nil"/>
          <w:between w:val="nil"/>
        </w:pBdr>
        <w:spacing w:line="276" w:lineRule="auto"/>
      </w:pPr>
      <w:r>
        <w:t>Vous vous attendez à trouver des sifflements expiratoires à l’auscultation</w:t>
      </w:r>
    </w:p>
    <w:p w14:paraId="19C45120" w14:textId="77777777" w:rsidR="00FE57EC" w:rsidRDefault="00FE57EC">
      <w:pPr>
        <w:numPr>
          <w:ilvl w:val="0"/>
          <w:numId w:val="20"/>
        </w:numPr>
        <w:pBdr>
          <w:top w:val="nil"/>
          <w:left w:val="nil"/>
          <w:bottom w:val="nil"/>
          <w:right w:val="nil"/>
          <w:between w:val="nil"/>
        </w:pBdr>
        <w:spacing w:line="276" w:lineRule="auto"/>
      </w:pPr>
      <w:r>
        <w:t>Il existe un syndrome interstitiel sur le cliché de thorax</w:t>
      </w:r>
    </w:p>
    <w:p w14:paraId="1B68EE80" w14:textId="77777777" w:rsidR="00FE57EC" w:rsidRDefault="00FE57EC">
      <w:pPr>
        <w:numPr>
          <w:ilvl w:val="0"/>
          <w:numId w:val="20"/>
        </w:numPr>
        <w:pBdr>
          <w:top w:val="nil"/>
          <w:left w:val="nil"/>
          <w:bottom w:val="nil"/>
          <w:right w:val="nil"/>
          <w:between w:val="nil"/>
        </w:pBdr>
        <w:spacing w:line="276" w:lineRule="auto"/>
      </w:pPr>
      <w:r>
        <w:t>Il existe des signes de distension thoracique sur le cliché de thorax</w:t>
      </w:r>
    </w:p>
    <w:p w14:paraId="23926EFB" w14:textId="77777777" w:rsidR="00FE57EC" w:rsidRDefault="00FE57EC">
      <w:pPr>
        <w:numPr>
          <w:ilvl w:val="0"/>
          <w:numId w:val="20"/>
        </w:numPr>
        <w:pBdr>
          <w:top w:val="nil"/>
          <w:left w:val="nil"/>
          <w:bottom w:val="nil"/>
          <w:right w:val="nil"/>
          <w:between w:val="nil"/>
        </w:pBdr>
        <w:spacing w:line="276" w:lineRule="auto"/>
      </w:pPr>
      <w:r>
        <w:t>La maladie dont souffre cette patiente est très certainement un asthme</w:t>
      </w:r>
    </w:p>
    <w:p w14:paraId="43B85BCA" w14:textId="77777777" w:rsidR="00FE57EC" w:rsidRDefault="00FE57EC">
      <w:pPr>
        <w:numPr>
          <w:ilvl w:val="0"/>
          <w:numId w:val="20"/>
        </w:numPr>
        <w:pBdr>
          <w:top w:val="nil"/>
          <w:left w:val="nil"/>
          <w:bottom w:val="nil"/>
          <w:right w:val="nil"/>
          <w:between w:val="nil"/>
        </w:pBdr>
        <w:spacing w:line="276" w:lineRule="auto"/>
      </w:pPr>
      <w:r>
        <w:t>Existe un épanchement pleural gauche sur le cliché de thorax</w:t>
      </w:r>
    </w:p>
    <w:p w14:paraId="12A62E99" w14:textId="77777777" w:rsidR="00FE57EC" w:rsidRDefault="00FE57EC">
      <w:pPr>
        <w:numPr>
          <w:ilvl w:val="0"/>
          <w:numId w:val="20"/>
        </w:numPr>
        <w:pBdr>
          <w:top w:val="nil"/>
          <w:left w:val="nil"/>
          <w:bottom w:val="nil"/>
          <w:right w:val="nil"/>
          <w:between w:val="nil"/>
        </w:pBdr>
        <w:spacing w:line="276" w:lineRule="auto"/>
      </w:pPr>
      <w:r>
        <w:t>La patiente adopte une expiration à lèvres pincées</w:t>
      </w:r>
    </w:p>
    <w:p w14:paraId="0C5671BC" w14:textId="77777777" w:rsidR="00FE57EC" w:rsidRDefault="00FE57EC">
      <w:pPr>
        <w:numPr>
          <w:ilvl w:val="0"/>
          <w:numId w:val="20"/>
        </w:numPr>
        <w:pBdr>
          <w:top w:val="nil"/>
          <w:left w:val="nil"/>
          <w:bottom w:val="nil"/>
          <w:right w:val="nil"/>
          <w:between w:val="nil"/>
        </w:pBdr>
        <w:spacing w:line="276" w:lineRule="auto"/>
      </w:pPr>
      <w:r>
        <w:t>La dyspnée de la patiente est cotée mMRC1</w:t>
      </w:r>
    </w:p>
    <w:p w14:paraId="2CEFD592" w14:textId="47378108" w:rsidR="00FE57EC" w:rsidRDefault="009E29E0" w:rsidP="009E29E0">
      <w:pPr>
        <w:spacing w:after="160"/>
        <w:jc w:val="left"/>
        <w:rPr>
          <w:b/>
          <w:bCs/>
        </w:rPr>
      </w:pPr>
      <w:r>
        <w:rPr>
          <w:b/>
          <w:bCs/>
        </w:rPr>
        <w:br w:type="page"/>
      </w:r>
    </w:p>
    <w:p w14:paraId="5D013BBA" w14:textId="77777777" w:rsidR="00FE57EC" w:rsidRDefault="00FE57EC">
      <w:pPr>
        <w:numPr>
          <w:ilvl w:val="0"/>
          <w:numId w:val="11"/>
        </w:numPr>
        <w:pBdr>
          <w:top w:val="nil"/>
          <w:left w:val="nil"/>
          <w:bottom w:val="nil"/>
          <w:right w:val="nil"/>
          <w:between w:val="nil"/>
        </w:pBdr>
        <w:spacing w:before="80" w:line="276" w:lineRule="auto"/>
        <w:jc w:val="left"/>
      </w:pPr>
      <w:r>
        <w:rPr>
          <w:b/>
          <w:bCs/>
        </w:rPr>
        <w:lastRenderedPageBreak/>
        <w:t>QROC</w:t>
      </w:r>
    </w:p>
    <w:p w14:paraId="135D2F28" w14:textId="43327709" w:rsidR="00FE57EC" w:rsidRDefault="009E29E0" w:rsidP="00FE57EC">
      <w:pPr>
        <w:spacing w:line="276" w:lineRule="auto"/>
      </w:pPr>
      <w:r>
        <w:rPr>
          <w:noProof/>
        </w:rPr>
        <w:drawing>
          <wp:anchor distT="0" distB="0" distL="114300" distR="114300" simplePos="0" relativeHeight="251885568" behindDoc="0" locked="0" layoutInCell="1" hidden="0" allowOverlap="1" wp14:anchorId="6251A1A5" wp14:editId="020D747B">
            <wp:simplePos x="0" y="0"/>
            <wp:positionH relativeFrom="margin">
              <wp:align>right</wp:align>
            </wp:positionH>
            <wp:positionV relativeFrom="paragraph">
              <wp:posOffset>10795</wp:posOffset>
            </wp:positionV>
            <wp:extent cx="2592000" cy="2392932"/>
            <wp:effectExtent l="0" t="0" r="0" b="7620"/>
            <wp:wrapSquare wrapText="bothSides" distT="0" distB="0" distL="114300" distR="114300"/>
            <wp:docPr id="3" name="image8.png" descr="G:\NICE ENSEIGNEMENT jan 2023\COLLEGE NATIONAL DES PU-PH\ECN - REFERENTIEL\EDITION 2030\S-EDITION\DOCIMOLOGIE ITEM PAR ITEM\ITEM 208-Q2.tif"/>
            <wp:cNvGraphicFramePr/>
            <a:graphic xmlns:a="http://schemas.openxmlformats.org/drawingml/2006/main">
              <a:graphicData uri="http://schemas.openxmlformats.org/drawingml/2006/picture">
                <pic:pic xmlns:pic="http://schemas.openxmlformats.org/drawingml/2006/picture">
                  <pic:nvPicPr>
                    <pic:cNvPr id="0" name="image8.png" descr="G:\NICE ENSEIGNEMENT jan 2023\COLLEGE NATIONAL DES PU-PH\ECN - REFERENTIEL\EDITION 2030\S-EDITION\DOCIMOLOGIE ITEM PAR ITEM\ITEM 208-Q2.tif"/>
                    <pic:cNvPicPr preferRelativeResize="0"/>
                  </pic:nvPicPr>
                  <pic:blipFill>
                    <a:blip r:embed="rId22"/>
                    <a:srcRect/>
                    <a:stretch>
                      <a:fillRect/>
                    </a:stretch>
                  </pic:blipFill>
                  <pic:spPr>
                    <a:xfrm>
                      <a:off x="0" y="0"/>
                      <a:ext cx="2592000" cy="2392932"/>
                    </a:xfrm>
                    <a:prstGeom prst="rect">
                      <a:avLst/>
                    </a:prstGeom>
                    <a:ln/>
                  </pic:spPr>
                </pic:pic>
              </a:graphicData>
            </a:graphic>
          </wp:anchor>
        </w:drawing>
      </w:r>
      <w:r w:rsidR="00FE57EC">
        <w:t>Des explorations fonctionnelles respiratoires (EFR) sont réalisées et montrent les résultats suivants.</w:t>
      </w:r>
    </w:p>
    <w:p w14:paraId="78E6CA2D" w14:textId="77777777" w:rsidR="00FE57EC" w:rsidRDefault="00FE57EC" w:rsidP="00FE57EC">
      <w:pPr>
        <w:spacing w:line="276" w:lineRule="auto"/>
      </w:pPr>
      <w:r>
        <w:t>Que concluez-vous de cet examen</w:t>
      </w:r>
      <w:r>
        <w:rPr>
          <w:rFonts w:ascii="Arial" w:eastAsia="Arial" w:hAnsi="Arial" w:cs="Arial"/>
        </w:rPr>
        <w:t> </w:t>
      </w:r>
      <w:r>
        <w:t>?</w:t>
      </w:r>
    </w:p>
    <w:p w14:paraId="48E7067A" w14:textId="77777777" w:rsidR="00FE57EC" w:rsidRDefault="00FE57EC" w:rsidP="00FE57EC">
      <w:pPr>
        <w:spacing w:line="276" w:lineRule="auto"/>
      </w:pPr>
    </w:p>
    <w:p w14:paraId="61F03FF9" w14:textId="77777777" w:rsidR="00FE57EC" w:rsidRDefault="00FE57EC" w:rsidP="00FE57EC">
      <w:pPr>
        <w:spacing w:line="276" w:lineRule="auto"/>
      </w:pPr>
    </w:p>
    <w:p w14:paraId="58D32280" w14:textId="77777777" w:rsidR="00FE57EC" w:rsidRDefault="00FE57EC" w:rsidP="00FE57EC">
      <w:pPr>
        <w:spacing w:line="276" w:lineRule="auto"/>
      </w:pPr>
    </w:p>
    <w:p w14:paraId="36DF69AF" w14:textId="77777777" w:rsidR="00FE57EC" w:rsidRDefault="00FE57EC" w:rsidP="00FE57EC">
      <w:pPr>
        <w:spacing w:line="276" w:lineRule="auto"/>
      </w:pPr>
    </w:p>
    <w:p w14:paraId="27E8C10E" w14:textId="77777777" w:rsidR="009E29E0" w:rsidRDefault="009E29E0" w:rsidP="00FE57EC">
      <w:pPr>
        <w:spacing w:line="276" w:lineRule="auto"/>
      </w:pPr>
    </w:p>
    <w:p w14:paraId="4DB66318" w14:textId="77777777" w:rsidR="009E29E0" w:rsidRDefault="009E29E0" w:rsidP="00FE57EC">
      <w:pPr>
        <w:spacing w:line="276" w:lineRule="auto"/>
      </w:pPr>
    </w:p>
    <w:p w14:paraId="6BD367C7" w14:textId="77777777" w:rsidR="009E29E0" w:rsidRDefault="009E29E0" w:rsidP="00FE57EC">
      <w:pPr>
        <w:spacing w:line="276" w:lineRule="auto"/>
      </w:pPr>
    </w:p>
    <w:p w14:paraId="6A11E09C" w14:textId="77777777" w:rsidR="009E29E0" w:rsidRDefault="009E29E0" w:rsidP="00FE57EC">
      <w:pPr>
        <w:spacing w:line="276" w:lineRule="auto"/>
      </w:pPr>
    </w:p>
    <w:p w14:paraId="33E6289B" w14:textId="77777777" w:rsidR="00FE57EC" w:rsidRDefault="00FE57EC" w:rsidP="00FE57EC">
      <w:pPr>
        <w:spacing w:line="276" w:lineRule="auto"/>
      </w:pPr>
    </w:p>
    <w:p w14:paraId="1FB08778" w14:textId="77777777" w:rsidR="00FE57EC" w:rsidRDefault="00FE57EC" w:rsidP="00FE57EC">
      <w:pPr>
        <w:spacing w:line="276" w:lineRule="auto"/>
      </w:pPr>
    </w:p>
    <w:p w14:paraId="5249D32B" w14:textId="77777777" w:rsidR="00FE57EC" w:rsidRDefault="00FE57EC" w:rsidP="00FE57EC">
      <w:pPr>
        <w:spacing w:line="276" w:lineRule="auto"/>
      </w:pPr>
    </w:p>
    <w:p w14:paraId="75370AE2" w14:textId="77777777" w:rsidR="00FE57EC" w:rsidRDefault="00FE57EC" w:rsidP="00FE57EC">
      <w:pPr>
        <w:spacing w:line="276" w:lineRule="auto"/>
      </w:pPr>
    </w:p>
    <w:p w14:paraId="5BA98061" w14:textId="77777777" w:rsidR="00FE57EC" w:rsidRDefault="00FE57EC">
      <w:pPr>
        <w:numPr>
          <w:ilvl w:val="0"/>
          <w:numId w:val="11"/>
        </w:numPr>
        <w:pBdr>
          <w:top w:val="nil"/>
          <w:left w:val="nil"/>
          <w:bottom w:val="nil"/>
          <w:right w:val="nil"/>
          <w:between w:val="nil"/>
        </w:pBdr>
        <w:spacing w:line="276" w:lineRule="auto"/>
        <w:ind w:left="357" w:hanging="357"/>
        <w:jc w:val="left"/>
      </w:pPr>
      <w:r>
        <w:rPr>
          <w:b/>
          <w:bCs/>
        </w:rPr>
        <w:t>QRU</w:t>
      </w:r>
    </w:p>
    <w:p w14:paraId="10AEE1E2" w14:textId="77777777" w:rsidR="00FE57EC" w:rsidRDefault="00FE57EC" w:rsidP="00FE57EC">
      <w:pPr>
        <w:spacing w:line="276" w:lineRule="auto"/>
      </w:pPr>
      <w:r>
        <w:t xml:space="preserve">À l’auscultation vous avez bien noté la présence de râles crépitants aux bases et l’examen a bien noté la présence d’un hippocratisme digital. </w:t>
      </w:r>
    </w:p>
    <w:p w14:paraId="201C4A02" w14:textId="77777777" w:rsidR="00FE57EC" w:rsidRDefault="00FE57EC" w:rsidP="00FE57EC">
      <w:pPr>
        <w:spacing w:line="276" w:lineRule="auto"/>
      </w:pPr>
      <w:bookmarkStart w:id="3" w:name="_heading=h.etb9q7oxb18a" w:colFirst="0" w:colLast="0"/>
      <w:bookmarkEnd w:id="3"/>
      <w:r>
        <w:t>Quelle est votre hypothèse diagnostique</w:t>
      </w:r>
      <w:r>
        <w:rPr>
          <w:rFonts w:ascii="Arial" w:eastAsia="Arial" w:hAnsi="Arial" w:cs="Arial"/>
        </w:rPr>
        <w:t> </w:t>
      </w:r>
      <w:r>
        <w:t>?</w:t>
      </w:r>
    </w:p>
    <w:p w14:paraId="784FFD53" w14:textId="77777777" w:rsidR="00FE57EC" w:rsidRDefault="00FE57EC">
      <w:pPr>
        <w:numPr>
          <w:ilvl w:val="0"/>
          <w:numId w:val="21"/>
        </w:numPr>
        <w:pBdr>
          <w:top w:val="nil"/>
          <w:left w:val="nil"/>
          <w:bottom w:val="nil"/>
          <w:right w:val="nil"/>
          <w:between w:val="nil"/>
        </w:pBdr>
        <w:spacing w:line="276" w:lineRule="auto"/>
        <w:jc w:val="left"/>
      </w:pPr>
      <w:r>
        <w:t>Cancer du poumon</w:t>
      </w:r>
    </w:p>
    <w:p w14:paraId="2FB647BF" w14:textId="77777777" w:rsidR="00FE57EC" w:rsidRDefault="00FE57EC">
      <w:pPr>
        <w:numPr>
          <w:ilvl w:val="0"/>
          <w:numId w:val="21"/>
        </w:numPr>
        <w:pBdr>
          <w:top w:val="nil"/>
          <w:left w:val="nil"/>
          <w:bottom w:val="nil"/>
          <w:right w:val="nil"/>
          <w:between w:val="nil"/>
        </w:pBdr>
        <w:spacing w:line="276" w:lineRule="auto"/>
        <w:jc w:val="left"/>
      </w:pPr>
      <w:r>
        <w:t xml:space="preserve">Emphysème </w:t>
      </w:r>
    </w:p>
    <w:p w14:paraId="7EEB481E" w14:textId="77777777" w:rsidR="00FE57EC" w:rsidRDefault="00FE57EC">
      <w:pPr>
        <w:numPr>
          <w:ilvl w:val="0"/>
          <w:numId w:val="21"/>
        </w:numPr>
        <w:pBdr>
          <w:top w:val="nil"/>
          <w:left w:val="nil"/>
          <w:bottom w:val="nil"/>
          <w:right w:val="nil"/>
          <w:between w:val="nil"/>
        </w:pBdr>
        <w:spacing w:line="276" w:lineRule="auto"/>
        <w:jc w:val="left"/>
      </w:pPr>
      <w:r>
        <w:t>Fibrose pulmonaire</w:t>
      </w:r>
    </w:p>
    <w:p w14:paraId="233AB005" w14:textId="77777777" w:rsidR="00FE57EC" w:rsidRDefault="00FE57EC">
      <w:pPr>
        <w:numPr>
          <w:ilvl w:val="0"/>
          <w:numId w:val="21"/>
        </w:numPr>
        <w:pBdr>
          <w:top w:val="nil"/>
          <w:left w:val="nil"/>
          <w:bottom w:val="nil"/>
          <w:right w:val="nil"/>
          <w:between w:val="nil"/>
        </w:pBdr>
        <w:spacing w:line="276" w:lineRule="auto"/>
        <w:jc w:val="left"/>
      </w:pPr>
      <w:r>
        <w:t>BPCO</w:t>
      </w:r>
    </w:p>
    <w:p w14:paraId="1D7F72E1" w14:textId="77777777" w:rsidR="00FE57EC" w:rsidRDefault="00FE57EC">
      <w:pPr>
        <w:numPr>
          <w:ilvl w:val="0"/>
          <w:numId w:val="21"/>
        </w:numPr>
        <w:pBdr>
          <w:top w:val="nil"/>
          <w:left w:val="nil"/>
          <w:bottom w:val="nil"/>
          <w:right w:val="nil"/>
          <w:between w:val="nil"/>
        </w:pBdr>
        <w:spacing w:line="276" w:lineRule="auto"/>
        <w:jc w:val="left"/>
      </w:pPr>
      <w:r>
        <w:t>Sclérose latérale amyotrophique</w:t>
      </w:r>
    </w:p>
    <w:p w14:paraId="3D66EB05" w14:textId="77777777" w:rsidR="00FE57EC" w:rsidRDefault="00FE57EC" w:rsidP="00FE57EC">
      <w:pPr>
        <w:pBdr>
          <w:top w:val="nil"/>
          <w:left w:val="nil"/>
          <w:bottom w:val="nil"/>
          <w:right w:val="nil"/>
          <w:between w:val="nil"/>
        </w:pBdr>
        <w:spacing w:line="276" w:lineRule="auto"/>
        <w:ind w:left="720"/>
        <w:jc w:val="left"/>
      </w:pPr>
    </w:p>
    <w:p w14:paraId="3052EB05" w14:textId="77777777" w:rsidR="00FE57EC" w:rsidRDefault="00FE57EC">
      <w:pPr>
        <w:numPr>
          <w:ilvl w:val="0"/>
          <w:numId w:val="11"/>
        </w:numPr>
        <w:pBdr>
          <w:top w:val="nil"/>
          <w:left w:val="nil"/>
          <w:bottom w:val="nil"/>
          <w:right w:val="nil"/>
          <w:between w:val="nil"/>
        </w:pBdr>
        <w:spacing w:before="80" w:line="276" w:lineRule="auto"/>
        <w:jc w:val="left"/>
      </w:pPr>
      <w:r>
        <w:rPr>
          <w:b/>
          <w:bCs/>
        </w:rPr>
        <w:t>QROC</w:t>
      </w:r>
    </w:p>
    <w:p w14:paraId="780EEE3D" w14:textId="77777777" w:rsidR="00FE57EC" w:rsidRDefault="00FE57EC" w:rsidP="00FE57EC">
      <w:pPr>
        <w:spacing w:line="276" w:lineRule="auto"/>
      </w:pPr>
      <w:r>
        <w:t>Un homme de 72 ans présente une insuffisance respiratoire chronique (IRC) due à une fibrose pulmonaire idiopathique qui évolue depuis 5 ans. Ses gaz du sang artériels en état stable (vérifiés à 2 semaines d’intervalle) montrent un pH 7,41</w:t>
      </w:r>
      <w:r>
        <w:rPr>
          <w:rFonts w:ascii="Arial" w:eastAsia="Arial" w:hAnsi="Arial" w:cs="Arial"/>
        </w:rPr>
        <w:t> </w:t>
      </w:r>
      <w:r>
        <w:t>; PaCO</w:t>
      </w:r>
      <w:r>
        <w:rPr>
          <w:vertAlign w:val="subscript"/>
        </w:rPr>
        <w:t>2</w:t>
      </w:r>
      <w:r>
        <w:t xml:space="preserve"> 37 </w:t>
      </w:r>
      <w:proofErr w:type="spellStart"/>
      <w:r>
        <w:t>mmHg</w:t>
      </w:r>
      <w:proofErr w:type="spellEnd"/>
      <w:r>
        <w:t>, PaO</w:t>
      </w:r>
      <w:r>
        <w:rPr>
          <w:vertAlign w:val="subscript"/>
        </w:rPr>
        <w:t>2</w:t>
      </w:r>
      <w:r>
        <w:t xml:space="preserve"> 58 </w:t>
      </w:r>
      <w:proofErr w:type="spellStart"/>
      <w:r>
        <w:t>mmHg</w:t>
      </w:r>
      <w:proofErr w:type="spellEnd"/>
      <w:r>
        <w:t xml:space="preserve"> et une SaO</w:t>
      </w:r>
      <w:r>
        <w:rPr>
          <w:vertAlign w:val="subscript"/>
        </w:rPr>
        <w:t>2</w:t>
      </w:r>
      <w:r>
        <w:t xml:space="preserve"> à 88 %. </w:t>
      </w:r>
    </w:p>
    <w:p w14:paraId="6FD688AD" w14:textId="77777777" w:rsidR="00FE57EC" w:rsidRDefault="00FE57EC" w:rsidP="00FE57EC">
      <w:pPr>
        <w:spacing w:line="276" w:lineRule="auto"/>
      </w:pPr>
      <w:r>
        <w:t>Quel type de traitement de l’IRC allez-vous instaurer chez le patient</w:t>
      </w:r>
      <w:r>
        <w:rPr>
          <w:rFonts w:ascii="Arial" w:eastAsia="Arial" w:hAnsi="Arial" w:cs="Arial"/>
        </w:rPr>
        <w:t> </w:t>
      </w:r>
      <w:r>
        <w:t>?</w:t>
      </w:r>
    </w:p>
    <w:p w14:paraId="1446520E" w14:textId="77777777" w:rsidR="00FE57EC" w:rsidRDefault="00FE57EC" w:rsidP="00FE57EC">
      <w:pPr>
        <w:spacing w:line="276" w:lineRule="auto"/>
      </w:pPr>
    </w:p>
    <w:p w14:paraId="68C6AAA4" w14:textId="77777777" w:rsidR="00FE57EC" w:rsidRDefault="00FE57EC">
      <w:pPr>
        <w:numPr>
          <w:ilvl w:val="0"/>
          <w:numId w:val="11"/>
        </w:numPr>
        <w:pBdr>
          <w:top w:val="nil"/>
          <w:left w:val="nil"/>
          <w:bottom w:val="nil"/>
          <w:right w:val="nil"/>
          <w:between w:val="nil"/>
        </w:pBdr>
        <w:spacing w:before="80" w:line="276" w:lineRule="auto"/>
        <w:jc w:val="left"/>
      </w:pPr>
      <w:r>
        <w:rPr>
          <w:b/>
          <w:bCs/>
        </w:rPr>
        <w:t>QRM</w:t>
      </w:r>
    </w:p>
    <w:p w14:paraId="288D4154" w14:textId="77777777" w:rsidR="00FE57EC" w:rsidRDefault="00FE57EC" w:rsidP="00FE57EC">
      <w:pPr>
        <w:spacing w:line="276" w:lineRule="auto"/>
      </w:pPr>
      <w:r>
        <w:t>Parmi les affirmations suivantes, laquelle (lesquelles) est (sont) juste(s)</w:t>
      </w:r>
      <w:r>
        <w:rPr>
          <w:rFonts w:ascii="Arial" w:eastAsia="Arial" w:hAnsi="Arial" w:cs="Arial"/>
        </w:rPr>
        <w:t> </w:t>
      </w:r>
      <w:r>
        <w:t>?</w:t>
      </w:r>
    </w:p>
    <w:p w14:paraId="4E0FEEA2" w14:textId="77777777" w:rsidR="00FE57EC" w:rsidRDefault="00FE57EC">
      <w:pPr>
        <w:numPr>
          <w:ilvl w:val="0"/>
          <w:numId w:val="5"/>
        </w:numPr>
        <w:pBdr>
          <w:top w:val="nil"/>
          <w:left w:val="nil"/>
          <w:bottom w:val="nil"/>
          <w:right w:val="nil"/>
          <w:between w:val="nil"/>
        </w:pBdr>
        <w:spacing w:line="276" w:lineRule="auto"/>
      </w:pPr>
      <w:r>
        <w:t>On parle d’effet shunt lorsque certaines alvéoles sont mal ventilées, mais normalement perfusées</w:t>
      </w:r>
    </w:p>
    <w:p w14:paraId="5442A2C1" w14:textId="77777777" w:rsidR="00FE57EC" w:rsidRDefault="00FE57EC">
      <w:pPr>
        <w:numPr>
          <w:ilvl w:val="0"/>
          <w:numId w:val="5"/>
        </w:numPr>
        <w:pBdr>
          <w:top w:val="nil"/>
          <w:left w:val="nil"/>
          <w:bottom w:val="nil"/>
          <w:right w:val="nil"/>
          <w:between w:val="nil"/>
        </w:pBdr>
        <w:spacing w:line="276" w:lineRule="auto"/>
      </w:pPr>
      <w:r>
        <w:t>De faibles débits d’oxygène suffisent en général à corriger l’hypoxémie liée à l’effet shunt.</w:t>
      </w:r>
    </w:p>
    <w:p w14:paraId="1B6AA127" w14:textId="77777777" w:rsidR="00FE57EC" w:rsidRDefault="00FE57EC">
      <w:pPr>
        <w:numPr>
          <w:ilvl w:val="0"/>
          <w:numId w:val="5"/>
        </w:numPr>
        <w:pBdr>
          <w:top w:val="nil"/>
          <w:left w:val="nil"/>
          <w:bottom w:val="nil"/>
          <w:right w:val="nil"/>
          <w:between w:val="nil"/>
        </w:pBdr>
        <w:spacing w:line="276" w:lineRule="auto"/>
      </w:pPr>
      <w:r>
        <w:t>L’hypoxémie rencontrée dans une atélectasie pulmonaire complète est liée à effet espace mort</w:t>
      </w:r>
    </w:p>
    <w:p w14:paraId="64B5233E" w14:textId="77777777" w:rsidR="00FE57EC" w:rsidRDefault="00FE57EC">
      <w:pPr>
        <w:numPr>
          <w:ilvl w:val="0"/>
          <w:numId w:val="5"/>
        </w:numPr>
        <w:pBdr>
          <w:top w:val="nil"/>
          <w:left w:val="nil"/>
          <w:bottom w:val="nil"/>
          <w:right w:val="nil"/>
          <w:between w:val="nil"/>
        </w:pBdr>
        <w:spacing w:line="276" w:lineRule="auto"/>
      </w:pPr>
      <w:r>
        <w:t>La diminution de la ventilation alvéolaire entraîne une hypoxémie et une hypocapnie</w:t>
      </w:r>
    </w:p>
    <w:p w14:paraId="1415E5B5" w14:textId="77777777" w:rsidR="00FE57EC" w:rsidRDefault="00FE57EC">
      <w:pPr>
        <w:numPr>
          <w:ilvl w:val="0"/>
          <w:numId w:val="5"/>
        </w:numPr>
        <w:pBdr>
          <w:top w:val="nil"/>
          <w:left w:val="nil"/>
          <w:bottom w:val="nil"/>
          <w:right w:val="nil"/>
          <w:between w:val="nil"/>
        </w:pBdr>
        <w:spacing w:line="276" w:lineRule="auto"/>
        <w:rPr>
          <w:strike/>
        </w:rPr>
      </w:pPr>
      <w:r>
        <w:t>L’atteinte de la diffusion alvéolo-capillaire se traduit par une hypoxémie d’effort puis de repos</w:t>
      </w:r>
    </w:p>
    <w:p w14:paraId="733CFA86" w14:textId="0563E9A9" w:rsidR="00FE57EC" w:rsidRDefault="009E29E0" w:rsidP="009E29E0">
      <w:pPr>
        <w:spacing w:after="160"/>
        <w:jc w:val="left"/>
        <w:rPr>
          <w:strike/>
        </w:rPr>
      </w:pPr>
      <w:r>
        <w:rPr>
          <w:strike/>
        </w:rPr>
        <w:br w:type="page"/>
      </w:r>
    </w:p>
    <w:p w14:paraId="2B4986CE" w14:textId="77777777" w:rsidR="00FE57EC" w:rsidRDefault="00FE57EC">
      <w:pPr>
        <w:numPr>
          <w:ilvl w:val="0"/>
          <w:numId w:val="11"/>
        </w:numPr>
        <w:pBdr>
          <w:top w:val="nil"/>
          <w:left w:val="nil"/>
          <w:bottom w:val="nil"/>
          <w:right w:val="nil"/>
          <w:between w:val="nil"/>
        </w:pBdr>
        <w:spacing w:before="80" w:line="276" w:lineRule="auto"/>
        <w:jc w:val="left"/>
      </w:pPr>
      <w:r>
        <w:rPr>
          <w:b/>
          <w:bCs/>
        </w:rPr>
        <w:lastRenderedPageBreak/>
        <w:t>QRP (3 réponses)</w:t>
      </w:r>
    </w:p>
    <w:p w14:paraId="3EC56866" w14:textId="77777777" w:rsidR="00FE57EC" w:rsidRDefault="00FE57EC" w:rsidP="00FE57EC">
      <w:pPr>
        <w:spacing w:line="276" w:lineRule="auto"/>
      </w:pPr>
      <w:r>
        <w:t>Parmi les paramètres suivants, 3 interviennent dans la décision de mise en place d’une oxygénothérapie de longue durée prise en charge par l’assurance maladie dans l’insuffisance respiratoire chronique d’origine obstructive</w:t>
      </w:r>
      <w:r>
        <w:rPr>
          <w:rFonts w:ascii="Arial" w:eastAsia="Arial" w:hAnsi="Arial" w:cs="Arial"/>
        </w:rPr>
        <w:t> </w:t>
      </w:r>
      <w:r>
        <w:t>; lesquels</w:t>
      </w:r>
      <w:r>
        <w:rPr>
          <w:rFonts w:ascii="Arial" w:eastAsia="Arial" w:hAnsi="Arial" w:cs="Arial"/>
        </w:rPr>
        <w:t> </w:t>
      </w:r>
      <w:r>
        <w:t>?</w:t>
      </w:r>
    </w:p>
    <w:p w14:paraId="3642E98C" w14:textId="77777777" w:rsidR="00FE57EC" w:rsidRDefault="00FE57EC">
      <w:pPr>
        <w:numPr>
          <w:ilvl w:val="0"/>
          <w:numId w:val="6"/>
        </w:numPr>
        <w:pBdr>
          <w:top w:val="nil"/>
          <w:left w:val="nil"/>
          <w:bottom w:val="nil"/>
          <w:right w:val="nil"/>
          <w:between w:val="nil"/>
        </w:pBdr>
        <w:spacing w:line="276" w:lineRule="auto"/>
        <w:jc w:val="left"/>
      </w:pPr>
      <w:r>
        <w:t>La SpO</w:t>
      </w:r>
      <w:r>
        <w:rPr>
          <w:vertAlign w:val="subscript"/>
        </w:rPr>
        <w:t xml:space="preserve">2 </w:t>
      </w:r>
      <w:r>
        <w:t>minimale au test de marche de 6 minutes</w:t>
      </w:r>
    </w:p>
    <w:p w14:paraId="40066731" w14:textId="77777777" w:rsidR="00FE57EC" w:rsidRDefault="00FE57EC">
      <w:pPr>
        <w:numPr>
          <w:ilvl w:val="0"/>
          <w:numId w:val="6"/>
        </w:numPr>
        <w:pBdr>
          <w:top w:val="nil"/>
          <w:left w:val="nil"/>
          <w:bottom w:val="nil"/>
          <w:right w:val="nil"/>
          <w:between w:val="nil"/>
        </w:pBdr>
        <w:spacing w:line="276" w:lineRule="auto"/>
        <w:jc w:val="left"/>
      </w:pPr>
      <w:r>
        <w:t>La PaO</w:t>
      </w:r>
      <w:r>
        <w:rPr>
          <w:vertAlign w:val="subscript"/>
        </w:rPr>
        <w:t xml:space="preserve">2 </w:t>
      </w:r>
      <w:r>
        <w:t>minimale lors de la dernière exacerbation</w:t>
      </w:r>
    </w:p>
    <w:p w14:paraId="50B199A4" w14:textId="77777777" w:rsidR="00FE57EC" w:rsidRDefault="00FE57EC">
      <w:pPr>
        <w:numPr>
          <w:ilvl w:val="0"/>
          <w:numId w:val="6"/>
        </w:numPr>
        <w:pBdr>
          <w:top w:val="nil"/>
          <w:left w:val="nil"/>
          <w:bottom w:val="nil"/>
          <w:right w:val="nil"/>
          <w:between w:val="nil"/>
        </w:pBdr>
        <w:spacing w:line="276" w:lineRule="auto"/>
        <w:jc w:val="left"/>
      </w:pPr>
      <w:r>
        <w:t>Le volume expiratoire maximal par seconde (VEMS)</w:t>
      </w:r>
    </w:p>
    <w:p w14:paraId="4860166C" w14:textId="77777777" w:rsidR="00FE57EC" w:rsidRDefault="00FE57EC">
      <w:pPr>
        <w:numPr>
          <w:ilvl w:val="0"/>
          <w:numId w:val="6"/>
        </w:numPr>
        <w:pBdr>
          <w:top w:val="nil"/>
          <w:left w:val="nil"/>
          <w:bottom w:val="nil"/>
          <w:right w:val="nil"/>
          <w:between w:val="nil"/>
        </w:pBdr>
        <w:spacing w:line="276" w:lineRule="auto"/>
        <w:jc w:val="left"/>
      </w:pPr>
      <w:r>
        <w:t>La SpO</w:t>
      </w:r>
      <w:r>
        <w:rPr>
          <w:vertAlign w:val="subscript"/>
        </w:rPr>
        <w:t xml:space="preserve">2 </w:t>
      </w:r>
      <w:r>
        <w:t>moyenne lors d’une oxymétrie nocturne</w:t>
      </w:r>
    </w:p>
    <w:p w14:paraId="29491204" w14:textId="77777777" w:rsidR="00FE57EC" w:rsidRDefault="00FE57EC">
      <w:pPr>
        <w:numPr>
          <w:ilvl w:val="0"/>
          <w:numId w:val="6"/>
        </w:numPr>
        <w:pBdr>
          <w:top w:val="nil"/>
          <w:left w:val="nil"/>
          <w:bottom w:val="nil"/>
          <w:right w:val="nil"/>
          <w:between w:val="nil"/>
        </w:pBdr>
        <w:spacing w:line="276" w:lineRule="auto"/>
        <w:jc w:val="left"/>
      </w:pPr>
      <w:r>
        <w:t>L’existence d’une insuffisance ventriculaire droite</w:t>
      </w:r>
    </w:p>
    <w:p w14:paraId="7344E2B1" w14:textId="77777777" w:rsidR="00FE57EC" w:rsidRDefault="00FE57EC">
      <w:pPr>
        <w:numPr>
          <w:ilvl w:val="0"/>
          <w:numId w:val="6"/>
        </w:numPr>
        <w:pBdr>
          <w:top w:val="nil"/>
          <w:left w:val="nil"/>
          <w:bottom w:val="nil"/>
          <w:right w:val="nil"/>
          <w:between w:val="nil"/>
        </w:pBdr>
        <w:spacing w:line="276" w:lineRule="auto"/>
        <w:jc w:val="left"/>
      </w:pPr>
      <w:r>
        <w:t>La PaCO</w:t>
      </w:r>
      <w:r>
        <w:rPr>
          <w:vertAlign w:val="subscript"/>
        </w:rPr>
        <w:t xml:space="preserve">2 </w:t>
      </w:r>
      <w:r>
        <w:t>en air ambiant, à l’état stable</w:t>
      </w:r>
    </w:p>
    <w:p w14:paraId="34B985D4" w14:textId="77777777" w:rsidR="00FE57EC" w:rsidRDefault="00FE57EC">
      <w:pPr>
        <w:numPr>
          <w:ilvl w:val="0"/>
          <w:numId w:val="6"/>
        </w:numPr>
        <w:pBdr>
          <w:top w:val="nil"/>
          <w:left w:val="nil"/>
          <w:bottom w:val="nil"/>
          <w:right w:val="nil"/>
          <w:between w:val="nil"/>
        </w:pBdr>
        <w:spacing w:line="276" w:lineRule="auto"/>
        <w:jc w:val="left"/>
      </w:pPr>
      <w:r>
        <w:t xml:space="preserve">L’échelle de dyspnée modifiée du </w:t>
      </w:r>
      <w:proofErr w:type="spellStart"/>
      <w:r>
        <w:t>Medical</w:t>
      </w:r>
      <w:proofErr w:type="spellEnd"/>
      <w:r>
        <w:t xml:space="preserve"> </w:t>
      </w:r>
      <w:proofErr w:type="spellStart"/>
      <w:r>
        <w:t>Research</w:t>
      </w:r>
      <w:proofErr w:type="spellEnd"/>
      <w:r>
        <w:t xml:space="preserve"> Council (</w:t>
      </w:r>
      <w:proofErr w:type="spellStart"/>
      <w:r>
        <w:t>mMRC</w:t>
      </w:r>
      <w:proofErr w:type="spellEnd"/>
      <w:r>
        <w:t>)</w:t>
      </w:r>
    </w:p>
    <w:p w14:paraId="4C4FF4A6" w14:textId="77777777" w:rsidR="00FE57EC" w:rsidRDefault="00FE57EC">
      <w:pPr>
        <w:numPr>
          <w:ilvl w:val="0"/>
          <w:numId w:val="6"/>
        </w:numPr>
        <w:pBdr>
          <w:top w:val="nil"/>
          <w:left w:val="nil"/>
          <w:bottom w:val="nil"/>
          <w:right w:val="nil"/>
          <w:between w:val="nil"/>
        </w:pBdr>
        <w:spacing w:line="276" w:lineRule="auto"/>
        <w:jc w:val="left"/>
      </w:pPr>
      <w:r>
        <w:t>L’hématocrite</w:t>
      </w:r>
    </w:p>
    <w:p w14:paraId="32696DF4" w14:textId="77777777" w:rsidR="00FE57EC" w:rsidRDefault="00FE57EC" w:rsidP="00FE57EC">
      <w:pPr>
        <w:pBdr>
          <w:top w:val="nil"/>
          <w:left w:val="nil"/>
          <w:bottom w:val="nil"/>
          <w:right w:val="nil"/>
          <w:between w:val="nil"/>
        </w:pBdr>
        <w:spacing w:line="276" w:lineRule="auto"/>
        <w:ind w:left="720"/>
        <w:jc w:val="left"/>
      </w:pPr>
    </w:p>
    <w:p w14:paraId="11AC07D4" w14:textId="77777777" w:rsidR="00FE57EC" w:rsidRDefault="00FE57EC">
      <w:pPr>
        <w:numPr>
          <w:ilvl w:val="0"/>
          <w:numId w:val="11"/>
        </w:numPr>
        <w:pBdr>
          <w:top w:val="nil"/>
          <w:left w:val="nil"/>
          <w:bottom w:val="nil"/>
          <w:right w:val="nil"/>
          <w:between w:val="nil"/>
        </w:pBdr>
        <w:spacing w:before="80" w:line="276" w:lineRule="auto"/>
        <w:jc w:val="left"/>
      </w:pPr>
      <w:r>
        <w:rPr>
          <w:b/>
          <w:bCs/>
        </w:rPr>
        <w:t>QRM</w:t>
      </w:r>
    </w:p>
    <w:p w14:paraId="0FB50FDC" w14:textId="77777777" w:rsidR="00FE57EC" w:rsidRDefault="00FE57EC" w:rsidP="00FE57EC">
      <w:pPr>
        <w:spacing w:line="276" w:lineRule="auto"/>
      </w:pPr>
      <w:r>
        <w:t>Parmi les complications suivantes, laquelle (lesquelles) est (sont) une (des) complication(s) habituelle(s) d’une insuffisance respiratoire chronique</w:t>
      </w:r>
      <w:r>
        <w:rPr>
          <w:rFonts w:ascii="Arial" w:eastAsia="Arial" w:hAnsi="Arial" w:cs="Arial"/>
        </w:rPr>
        <w:t> </w:t>
      </w:r>
      <w:r>
        <w:t>?</w:t>
      </w:r>
    </w:p>
    <w:p w14:paraId="302E151C" w14:textId="77777777" w:rsidR="00FE57EC" w:rsidRDefault="00FE57EC">
      <w:pPr>
        <w:numPr>
          <w:ilvl w:val="0"/>
          <w:numId w:val="7"/>
        </w:numPr>
        <w:pBdr>
          <w:top w:val="nil"/>
          <w:left w:val="nil"/>
          <w:bottom w:val="nil"/>
          <w:right w:val="nil"/>
          <w:between w:val="nil"/>
        </w:pBdr>
        <w:spacing w:line="276" w:lineRule="auto"/>
        <w:jc w:val="left"/>
      </w:pPr>
      <w:r>
        <w:t>Insuffisance respiratoire aiguë</w:t>
      </w:r>
    </w:p>
    <w:p w14:paraId="72EC90C3" w14:textId="77777777" w:rsidR="00FE57EC" w:rsidRDefault="00FE57EC">
      <w:pPr>
        <w:numPr>
          <w:ilvl w:val="0"/>
          <w:numId w:val="7"/>
        </w:numPr>
        <w:pBdr>
          <w:top w:val="nil"/>
          <w:left w:val="nil"/>
          <w:bottom w:val="nil"/>
          <w:right w:val="nil"/>
          <w:between w:val="nil"/>
        </w:pBdr>
        <w:spacing w:line="276" w:lineRule="auto"/>
        <w:jc w:val="left"/>
      </w:pPr>
      <w:r>
        <w:t xml:space="preserve">Thrombocytose </w:t>
      </w:r>
    </w:p>
    <w:p w14:paraId="787A6E84" w14:textId="77777777" w:rsidR="00FE57EC" w:rsidRDefault="00FE57EC">
      <w:pPr>
        <w:numPr>
          <w:ilvl w:val="0"/>
          <w:numId w:val="7"/>
        </w:numPr>
        <w:pBdr>
          <w:top w:val="nil"/>
          <w:left w:val="nil"/>
          <w:bottom w:val="nil"/>
          <w:right w:val="nil"/>
          <w:between w:val="nil"/>
        </w:pBdr>
        <w:spacing w:line="276" w:lineRule="auto"/>
        <w:jc w:val="left"/>
      </w:pPr>
      <w:r>
        <w:t>Rétention hydrosodée</w:t>
      </w:r>
    </w:p>
    <w:p w14:paraId="0BEEAA87" w14:textId="77777777" w:rsidR="00FE57EC" w:rsidRDefault="00FE57EC">
      <w:pPr>
        <w:numPr>
          <w:ilvl w:val="0"/>
          <w:numId w:val="7"/>
        </w:numPr>
        <w:pBdr>
          <w:top w:val="nil"/>
          <w:left w:val="nil"/>
          <w:bottom w:val="nil"/>
          <w:right w:val="nil"/>
          <w:between w:val="nil"/>
        </w:pBdr>
        <w:spacing w:line="276" w:lineRule="auto"/>
        <w:jc w:val="left"/>
      </w:pPr>
      <w:r>
        <w:t>Hypertension artérielle systémique</w:t>
      </w:r>
    </w:p>
    <w:p w14:paraId="5E10B829" w14:textId="77777777" w:rsidR="00FE57EC" w:rsidRDefault="00FE57EC">
      <w:pPr>
        <w:numPr>
          <w:ilvl w:val="0"/>
          <w:numId w:val="7"/>
        </w:numPr>
        <w:pBdr>
          <w:top w:val="nil"/>
          <w:left w:val="nil"/>
          <w:bottom w:val="nil"/>
          <w:right w:val="nil"/>
          <w:between w:val="nil"/>
        </w:pBdr>
        <w:spacing w:line="276" w:lineRule="auto"/>
        <w:jc w:val="left"/>
      </w:pPr>
      <w:r>
        <w:t>Cancer</w:t>
      </w:r>
    </w:p>
    <w:p w14:paraId="4275E2CC" w14:textId="77777777" w:rsidR="00FE57EC" w:rsidRDefault="00FE57EC" w:rsidP="00FE57EC">
      <w:pPr>
        <w:pBdr>
          <w:top w:val="nil"/>
          <w:left w:val="nil"/>
          <w:bottom w:val="nil"/>
          <w:right w:val="nil"/>
          <w:between w:val="nil"/>
        </w:pBdr>
        <w:spacing w:line="276" w:lineRule="auto"/>
        <w:ind w:left="720"/>
        <w:jc w:val="left"/>
      </w:pPr>
    </w:p>
    <w:p w14:paraId="3F8A8726" w14:textId="77777777" w:rsidR="00FE57EC" w:rsidRDefault="00FE57EC">
      <w:pPr>
        <w:numPr>
          <w:ilvl w:val="0"/>
          <w:numId w:val="11"/>
        </w:numPr>
        <w:pBdr>
          <w:top w:val="nil"/>
          <w:left w:val="nil"/>
          <w:bottom w:val="nil"/>
          <w:right w:val="nil"/>
          <w:between w:val="nil"/>
        </w:pBdr>
        <w:spacing w:before="80" w:line="276" w:lineRule="auto"/>
        <w:jc w:val="left"/>
      </w:pPr>
      <w:r>
        <w:rPr>
          <w:b/>
          <w:bCs/>
        </w:rPr>
        <w:t>QRU</w:t>
      </w:r>
    </w:p>
    <w:p w14:paraId="406F8AE1" w14:textId="77777777" w:rsidR="00FE57EC" w:rsidRDefault="00FE57EC" w:rsidP="00FE57EC">
      <w:pPr>
        <w:spacing w:line="276" w:lineRule="auto"/>
      </w:pPr>
      <w:r>
        <w:t>Toutes les propositions suivantes concernant le syndrome obésité-hypoventilation sont justes sauf une, laquelle</w:t>
      </w:r>
      <w:r>
        <w:rPr>
          <w:rFonts w:ascii="Arial" w:eastAsia="Arial" w:hAnsi="Arial" w:cs="Arial"/>
        </w:rPr>
        <w:t> </w:t>
      </w:r>
      <w:r>
        <w:t>?</w:t>
      </w:r>
    </w:p>
    <w:p w14:paraId="122FBDEC" w14:textId="77777777" w:rsidR="00FE57EC" w:rsidRDefault="00000000">
      <w:pPr>
        <w:numPr>
          <w:ilvl w:val="0"/>
          <w:numId w:val="8"/>
        </w:numPr>
        <w:pBdr>
          <w:top w:val="nil"/>
          <w:left w:val="nil"/>
          <w:bottom w:val="nil"/>
          <w:right w:val="nil"/>
          <w:between w:val="nil"/>
        </w:pBdr>
        <w:spacing w:line="276" w:lineRule="auto"/>
      </w:pPr>
      <w:sdt>
        <w:sdtPr>
          <w:tag w:val="goog_rdk_11"/>
          <w:id w:val="-1574830267"/>
        </w:sdtPr>
        <w:sdtContent>
          <w:r w:rsidR="00FE57EC">
            <w:rPr>
              <w:rFonts w:ascii="Arial Unicode MS" w:eastAsia="Arial Unicode MS" w:hAnsi="Arial Unicode MS" w:cs="Arial Unicode MS"/>
            </w:rPr>
            <w:t>Il est défini par la présence d’une hypoxémie diurne chez un individu ayant un IMC ≥ 30 kg/m</w:t>
          </w:r>
        </w:sdtContent>
      </w:sdt>
      <w:r w:rsidR="00FE57EC">
        <w:rPr>
          <w:vertAlign w:val="superscript"/>
        </w:rPr>
        <w:t>2</w:t>
      </w:r>
    </w:p>
    <w:p w14:paraId="4C95B497" w14:textId="77777777" w:rsidR="00FE57EC" w:rsidRDefault="00FE57EC">
      <w:pPr>
        <w:numPr>
          <w:ilvl w:val="0"/>
          <w:numId w:val="8"/>
        </w:numPr>
        <w:pBdr>
          <w:top w:val="nil"/>
          <w:left w:val="nil"/>
          <w:bottom w:val="nil"/>
          <w:right w:val="nil"/>
          <w:between w:val="nil"/>
        </w:pBdr>
        <w:spacing w:line="276" w:lineRule="auto"/>
      </w:pPr>
      <w:r>
        <w:t>Il s’agit d’une des causes les plus fréquentes d’insuffisance respiratoire chronique restrictive</w:t>
      </w:r>
    </w:p>
    <w:p w14:paraId="263DE4FE" w14:textId="77777777" w:rsidR="00FE57EC" w:rsidRDefault="00FE57EC">
      <w:pPr>
        <w:numPr>
          <w:ilvl w:val="0"/>
          <w:numId w:val="8"/>
        </w:numPr>
        <w:pBdr>
          <w:top w:val="nil"/>
          <w:left w:val="nil"/>
          <w:bottom w:val="nil"/>
          <w:right w:val="nil"/>
          <w:between w:val="nil"/>
        </w:pBdr>
        <w:spacing w:line="276" w:lineRule="auto"/>
      </w:pPr>
      <w:r>
        <w:t>Il s’accompagne d’une diminution de la capacité vitale forcée</w:t>
      </w:r>
    </w:p>
    <w:p w14:paraId="2F869979" w14:textId="77777777" w:rsidR="00FE57EC" w:rsidRDefault="00FE57EC">
      <w:pPr>
        <w:numPr>
          <w:ilvl w:val="0"/>
          <w:numId w:val="8"/>
        </w:numPr>
        <w:pBdr>
          <w:top w:val="nil"/>
          <w:left w:val="nil"/>
          <w:bottom w:val="nil"/>
          <w:right w:val="nil"/>
          <w:between w:val="nil"/>
        </w:pBdr>
        <w:spacing w:line="276" w:lineRule="auto"/>
      </w:pPr>
      <w:r>
        <w:t>La perte de poids permet parfois de guérir l’insuffisance respiratoire</w:t>
      </w:r>
    </w:p>
    <w:p w14:paraId="59BA8F72" w14:textId="77777777" w:rsidR="00FE57EC" w:rsidRDefault="00FE57EC">
      <w:pPr>
        <w:numPr>
          <w:ilvl w:val="0"/>
          <w:numId w:val="8"/>
        </w:numPr>
        <w:pBdr>
          <w:top w:val="nil"/>
          <w:left w:val="nil"/>
          <w:bottom w:val="nil"/>
          <w:right w:val="nil"/>
          <w:between w:val="nil"/>
        </w:pBdr>
        <w:spacing w:line="276" w:lineRule="auto"/>
      </w:pPr>
      <w:r>
        <w:t>Il peut être à l’origine d’épisodes d’insuffisance respiratoire aiguë</w:t>
      </w:r>
    </w:p>
    <w:p w14:paraId="651DF61B" w14:textId="77777777" w:rsidR="00FE57EC" w:rsidRDefault="00FE57EC" w:rsidP="00FE57EC">
      <w:pPr>
        <w:pBdr>
          <w:top w:val="nil"/>
          <w:left w:val="nil"/>
          <w:bottom w:val="nil"/>
          <w:right w:val="nil"/>
          <w:between w:val="nil"/>
        </w:pBdr>
        <w:spacing w:line="276" w:lineRule="auto"/>
        <w:ind w:left="720"/>
      </w:pPr>
    </w:p>
    <w:p w14:paraId="49776703" w14:textId="77777777" w:rsidR="00FE57EC" w:rsidRDefault="00FE57EC">
      <w:pPr>
        <w:numPr>
          <w:ilvl w:val="0"/>
          <w:numId w:val="11"/>
        </w:numPr>
        <w:pBdr>
          <w:top w:val="nil"/>
          <w:left w:val="nil"/>
          <w:bottom w:val="nil"/>
          <w:right w:val="nil"/>
          <w:between w:val="nil"/>
        </w:pBdr>
        <w:spacing w:before="80" w:line="276" w:lineRule="auto"/>
        <w:jc w:val="left"/>
      </w:pPr>
      <w:r>
        <w:rPr>
          <w:b/>
          <w:bCs/>
        </w:rPr>
        <w:t>QRM</w:t>
      </w:r>
    </w:p>
    <w:p w14:paraId="04B7CBF0" w14:textId="77777777" w:rsidR="00FE57EC" w:rsidRDefault="00FE57EC" w:rsidP="00FE57EC">
      <w:pPr>
        <w:spacing w:line="276" w:lineRule="auto"/>
      </w:pPr>
      <w:r>
        <w:t>Parmi les suivantes, quelle(s) proposition(s) est (sont) exacte(s) concernant de l’oxygénothérapie de longue durée à domicile</w:t>
      </w:r>
      <w:r>
        <w:rPr>
          <w:rFonts w:ascii="Arial" w:eastAsia="Arial" w:hAnsi="Arial" w:cs="Arial"/>
        </w:rPr>
        <w:t> </w:t>
      </w:r>
      <w:r>
        <w:t>?</w:t>
      </w:r>
    </w:p>
    <w:p w14:paraId="1A17749B" w14:textId="77777777" w:rsidR="00FE57EC" w:rsidRDefault="00FE57EC">
      <w:pPr>
        <w:numPr>
          <w:ilvl w:val="0"/>
          <w:numId w:val="9"/>
        </w:numPr>
        <w:pBdr>
          <w:top w:val="nil"/>
          <w:left w:val="nil"/>
          <w:bottom w:val="nil"/>
          <w:right w:val="nil"/>
          <w:between w:val="nil"/>
        </w:pBdr>
        <w:spacing w:line="276" w:lineRule="auto"/>
      </w:pPr>
      <w:r>
        <w:t>Elle prévient la survenue d’une hypertension pulmonaire</w:t>
      </w:r>
    </w:p>
    <w:p w14:paraId="10E11D8D" w14:textId="77777777" w:rsidR="00FE57EC" w:rsidRDefault="00FE57EC">
      <w:pPr>
        <w:numPr>
          <w:ilvl w:val="0"/>
          <w:numId w:val="9"/>
        </w:numPr>
        <w:pBdr>
          <w:top w:val="nil"/>
          <w:left w:val="nil"/>
          <w:bottom w:val="nil"/>
          <w:right w:val="nil"/>
          <w:between w:val="nil"/>
        </w:pBdr>
        <w:spacing w:line="276" w:lineRule="auto"/>
      </w:pPr>
      <w:r>
        <w:t>Elle diminue la mortalité des patients atteints de BPCO au stade d’insuffisance respiratoire</w:t>
      </w:r>
    </w:p>
    <w:p w14:paraId="27376964" w14:textId="77777777" w:rsidR="00FE57EC" w:rsidRDefault="00FE57EC">
      <w:pPr>
        <w:numPr>
          <w:ilvl w:val="0"/>
          <w:numId w:val="9"/>
        </w:numPr>
        <w:pBdr>
          <w:top w:val="nil"/>
          <w:left w:val="nil"/>
          <w:bottom w:val="nil"/>
          <w:right w:val="nil"/>
          <w:between w:val="nil"/>
        </w:pBdr>
        <w:spacing w:line="276" w:lineRule="auto"/>
      </w:pPr>
      <w:r>
        <w:t>Elle peut être initiée à domicile si la SpO</w:t>
      </w:r>
      <w:r>
        <w:rPr>
          <w:vertAlign w:val="subscript"/>
        </w:rPr>
        <w:t>2</w:t>
      </w:r>
      <w:r>
        <w:t xml:space="preserve"> est inférieure à 90 %</w:t>
      </w:r>
    </w:p>
    <w:p w14:paraId="13D2D987" w14:textId="77777777" w:rsidR="00FE57EC" w:rsidRDefault="00FE57EC">
      <w:pPr>
        <w:numPr>
          <w:ilvl w:val="0"/>
          <w:numId w:val="9"/>
        </w:numPr>
        <w:pBdr>
          <w:top w:val="nil"/>
          <w:left w:val="nil"/>
          <w:bottom w:val="nil"/>
          <w:right w:val="nil"/>
          <w:between w:val="nil"/>
        </w:pBdr>
        <w:spacing w:line="276" w:lineRule="auto"/>
      </w:pPr>
      <w:r>
        <w:t>L’obus gazeux en acier est le matériel de référence pour l’oxygénothérapie de déambulation</w:t>
      </w:r>
    </w:p>
    <w:p w14:paraId="1AEFCC5D" w14:textId="77777777" w:rsidR="00FE57EC" w:rsidRDefault="00FE57EC">
      <w:pPr>
        <w:numPr>
          <w:ilvl w:val="0"/>
          <w:numId w:val="9"/>
        </w:numPr>
        <w:pBdr>
          <w:top w:val="nil"/>
          <w:left w:val="nil"/>
          <w:bottom w:val="nil"/>
          <w:right w:val="nil"/>
          <w:between w:val="nil"/>
        </w:pBdr>
        <w:spacing w:line="276" w:lineRule="auto"/>
      </w:pPr>
      <w:r>
        <w:t>Les concentrateurs sont des réservoirs d’oxygène liquide</w:t>
      </w:r>
    </w:p>
    <w:p w14:paraId="6F84FC45" w14:textId="5BCEE584" w:rsidR="00FE57EC" w:rsidRDefault="009E29E0" w:rsidP="009E29E0">
      <w:pPr>
        <w:spacing w:after="160"/>
        <w:jc w:val="left"/>
      </w:pPr>
      <w:r>
        <w:br w:type="page"/>
      </w:r>
    </w:p>
    <w:p w14:paraId="4D1E1066" w14:textId="77777777" w:rsidR="00FE57EC" w:rsidRDefault="00FE57EC">
      <w:pPr>
        <w:numPr>
          <w:ilvl w:val="0"/>
          <w:numId w:val="11"/>
        </w:numPr>
        <w:pBdr>
          <w:top w:val="nil"/>
          <w:left w:val="nil"/>
          <w:bottom w:val="nil"/>
          <w:right w:val="nil"/>
          <w:between w:val="nil"/>
        </w:pBdr>
        <w:spacing w:before="80" w:line="276" w:lineRule="auto"/>
        <w:jc w:val="left"/>
      </w:pPr>
      <w:r>
        <w:rPr>
          <w:b/>
          <w:bCs/>
        </w:rPr>
        <w:lastRenderedPageBreak/>
        <w:t>QRM</w:t>
      </w:r>
    </w:p>
    <w:p w14:paraId="1567ED34" w14:textId="26C4CF9F" w:rsidR="00FE57EC" w:rsidRDefault="009E29E0" w:rsidP="00FE57EC">
      <w:pPr>
        <w:spacing w:line="276" w:lineRule="auto"/>
      </w:pPr>
      <w:r>
        <w:rPr>
          <w:noProof/>
        </w:rPr>
        <w:drawing>
          <wp:anchor distT="0" distB="0" distL="114300" distR="114300" simplePos="0" relativeHeight="251890688" behindDoc="0" locked="0" layoutInCell="1" allowOverlap="1" wp14:anchorId="212473FE" wp14:editId="675DCC11">
            <wp:simplePos x="0" y="0"/>
            <wp:positionH relativeFrom="margin">
              <wp:align>right</wp:align>
            </wp:positionH>
            <wp:positionV relativeFrom="paragraph">
              <wp:posOffset>12774</wp:posOffset>
            </wp:positionV>
            <wp:extent cx="3511812" cy="3271811"/>
            <wp:effectExtent l="0" t="0" r="0" b="5080"/>
            <wp:wrapSquare wrapText="bothSides"/>
            <wp:docPr id="15" name="image5.png" descr="Une image contenant film radiographique, Imagerie médicale, radiologie, médical&#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5.png" descr="Une image contenant film radiographique, Imagerie médicale, radiologie, médical&#10;&#10;Description générée automatiquement"/>
                    <pic:cNvPicPr preferRelativeResize="0"/>
                  </pic:nvPicPr>
                  <pic:blipFill>
                    <a:blip r:embed="rId23">
                      <a:extLst>
                        <a:ext uri="{28A0092B-C50C-407E-A947-70E740481C1C}">
                          <a14:useLocalDpi xmlns:a14="http://schemas.microsoft.com/office/drawing/2010/main" val="0"/>
                        </a:ext>
                      </a:extLst>
                    </a:blip>
                    <a:srcRect/>
                    <a:stretch>
                      <a:fillRect/>
                    </a:stretch>
                  </pic:blipFill>
                  <pic:spPr>
                    <a:xfrm>
                      <a:off x="0" y="0"/>
                      <a:ext cx="3511812" cy="3271811"/>
                    </a:xfrm>
                    <a:prstGeom prst="rect">
                      <a:avLst/>
                    </a:prstGeom>
                    <a:ln/>
                  </pic:spPr>
                </pic:pic>
              </a:graphicData>
            </a:graphic>
          </wp:anchor>
        </w:drawing>
      </w:r>
      <w:r w:rsidR="00FE57EC">
        <w:t>Un homme âgé de 42 ans se plaint d’une dyspnée d’effort progressive depuis plusieurs années. Il n’a jamais fumé et ne rapporte pas de syndrome bronchique ni d’épisode respiratoire aigu. Voici son cliché de thorax :</w:t>
      </w:r>
    </w:p>
    <w:p w14:paraId="4F0396B1" w14:textId="0B759311" w:rsidR="00FE57EC" w:rsidRDefault="00FE57EC" w:rsidP="00FE57EC">
      <w:pPr>
        <w:spacing w:line="276" w:lineRule="auto"/>
      </w:pPr>
    </w:p>
    <w:p w14:paraId="57B8E3FC" w14:textId="38FB9661" w:rsidR="00FE57EC" w:rsidRDefault="00FE57EC" w:rsidP="00FE57EC">
      <w:pPr>
        <w:spacing w:line="276" w:lineRule="auto"/>
        <w:jc w:val="center"/>
      </w:pPr>
      <w:bookmarkStart w:id="4" w:name="_heading=h.fmhl3d627kz4" w:colFirst="0" w:colLast="0"/>
      <w:bookmarkEnd w:id="4"/>
    </w:p>
    <w:p w14:paraId="5AE441BF" w14:textId="77777777" w:rsidR="009E29E0" w:rsidRDefault="009E29E0" w:rsidP="00FE57EC">
      <w:pPr>
        <w:spacing w:line="276" w:lineRule="auto"/>
        <w:jc w:val="center"/>
      </w:pPr>
    </w:p>
    <w:p w14:paraId="4761A9DB" w14:textId="77777777" w:rsidR="009E29E0" w:rsidRDefault="009E29E0" w:rsidP="00FE57EC">
      <w:pPr>
        <w:spacing w:line="276" w:lineRule="auto"/>
        <w:jc w:val="center"/>
      </w:pPr>
    </w:p>
    <w:p w14:paraId="00B591A4" w14:textId="77777777" w:rsidR="009E29E0" w:rsidRDefault="009E29E0" w:rsidP="00FE57EC">
      <w:pPr>
        <w:spacing w:line="276" w:lineRule="auto"/>
        <w:jc w:val="center"/>
      </w:pPr>
    </w:p>
    <w:p w14:paraId="4A9A04EE" w14:textId="77777777" w:rsidR="009E29E0" w:rsidRDefault="009E29E0" w:rsidP="00FE57EC">
      <w:pPr>
        <w:spacing w:line="276" w:lineRule="auto"/>
        <w:jc w:val="center"/>
      </w:pPr>
    </w:p>
    <w:p w14:paraId="73E68B7E" w14:textId="77777777" w:rsidR="009E29E0" w:rsidRDefault="009E29E0" w:rsidP="00FE57EC">
      <w:pPr>
        <w:spacing w:line="276" w:lineRule="auto"/>
        <w:jc w:val="center"/>
      </w:pPr>
    </w:p>
    <w:p w14:paraId="1C13F9E1" w14:textId="77777777" w:rsidR="009E29E0" w:rsidRDefault="009E29E0" w:rsidP="00FE57EC">
      <w:pPr>
        <w:spacing w:line="276" w:lineRule="auto"/>
        <w:jc w:val="center"/>
      </w:pPr>
    </w:p>
    <w:p w14:paraId="753CB743" w14:textId="77777777" w:rsidR="009E29E0" w:rsidRDefault="009E29E0" w:rsidP="00FE57EC">
      <w:pPr>
        <w:spacing w:line="276" w:lineRule="auto"/>
        <w:jc w:val="center"/>
      </w:pPr>
    </w:p>
    <w:p w14:paraId="47A32D28" w14:textId="77777777" w:rsidR="009E29E0" w:rsidRDefault="009E29E0" w:rsidP="00FE57EC">
      <w:pPr>
        <w:spacing w:line="276" w:lineRule="auto"/>
        <w:jc w:val="center"/>
      </w:pPr>
    </w:p>
    <w:p w14:paraId="06274906" w14:textId="77777777" w:rsidR="009E29E0" w:rsidRDefault="009E29E0" w:rsidP="00FE57EC">
      <w:pPr>
        <w:spacing w:line="276" w:lineRule="auto"/>
        <w:jc w:val="center"/>
      </w:pPr>
    </w:p>
    <w:p w14:paraId="434FE4C2" w14:textId="77777777" w:rsidR="009E29E0" w:rsidRDefault="009E29E0" w:rsidP="00FE57EC">
      <w:pPr>
        <w:spacing w:line="276" w:lineRule="auto"/>
        <w:jc w:val="center"/>
      </w:pPr>
    </w:p>
    <w:p w14:paraId="260776F7" w14:textId="77777777" w:rsidR="009E29E0" w:rsidRDefault="009E29E0" w:rsidP="00FE57EC">
      <w:pPr>
        <w:spacing w:line="276" w:lineRule="auto"/>
        <w:jc w:val="center"/>
      </w:pPr>
    </w:p>
    <w:p w14:paraId="5531B165" w14:textId="77777777" w:rsidR="009E29E0" w:rsidRDefault="009E29E0" w:rsidP="00FE57EC">
      <w:pPr>
        <w:spacing w:line="276" w:lineRule="auto"/>
        <w:jc w:val="center"/>
      </w:pPr>
    </w:p>
    <w:p w14:paraId="6B0F12A9" w14:textId="77777777" w:rsidR="00FE57EC" w:rsidRDefault="00FE57EC" w:rsidP="00FE57EC">
      <w:pPr>
        <w:spacing w:line="276" w:lineRule="auto"/>
      </w:pPr>
      <w:r>
        <w:t>Parmi les résultats d’EFR suivantes la(s) quelle(s) ne correspond (</w:t>
      </w:r>
      <w:proofErr w:type="spellStart"/>
      <w:r>
        <w:t>ent</w:t>
      </w:r>
      <w:proofErr w:type="spellEnd"/>
      <w:r>
        <w:t>) probablement pas à ce patient</w:t>
      </w:r>
      <w:r>
        <w:rPr>
          <w:rFonts w:ascii="Arial" w:eastAsia="Arial" w:hAnsi="Arial" w:cs="Arial"/>
        </w:rPr>
        <w:t> </w:t>
      </w:r>
      <w:r>
        <w:t>?</w:t>
      </w:r>
    </w:p>
    <w:p w14:paraId="3C4BCE9D" w14:textId="77777777" w:rsidR="00FE57EC" w:rsidRDefault="00FE57EC" w:rsidP="00FE57EC">
      <w:pPr>
        <w:spacing w:line="276" w:lineRule="auto"/>
        <w:jc w:val="center"/>
      </w:pPr>
      <w:r>
        <w:rPr>
          <w:noProof/>
        </w:rPr>
        <w:drawing>
          <wp:inline distT="0" distB="0" distL="0" distR="0" wp14:anchorId="453F0950" wp14:editId="1E551CF4">
            <wp:extent cx="5760720" cy="3241675"/>
            <wp:effectExtent l="0" t="0" r="0" b="0"/>
            <wp:docPr id="16" name="image4.png" descr="Une image contenant table, calendrie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4.png" descr="Une image contenant table, calendrier&#10;&#10;Description générée automatiquement"/>
                    <pic:cNvPicPr preferRelativeResize="0"/>
                  </pic:nvPicPr>
                  <pic:blipFill>
                    <a:blip r:embed="rId24"/>
                    <a:srcRect/>
                    <a:stretch>
                      <a:fillRect/>
                    </a:stretch>
                  </pic:blipFill>
                  <pic:spPr>
                    <a:xfrm>
                      <a:off x="0" y="0"/>
                      <a:ext cx="5760720" cy="3241675"/>
                    </a:xfrm>
                    <a:prstGeom prst="rect">
                      <a:avLst/>
                    </a:prstGeom>
                    <a:ln/>
                  </pic:spPr>
                </pic:pic>
              </a:graphicData>
            </a:graphic>
          </wp:inline>
        </w:drawing>
      </w:r>
    </w:p>
    <w:p w14:paraId="43422232" w14:textId="77777777" w:rsidR="00FE57EC" w:rsidRDefault="00FE57EC">
      <w:pPr>
        <w:numPr>
          <w:ilvl w:val="0"/>
          <w:numId w:val="10"/>
        </w:numPr>
        <w:pBdr>
          <w:top w:val="nil"/>
          <w:left w:val="nil"/>
          <w:bottom w:val="nil"/>
          <w:right w:val="nil"/>
          <w:between w:val="nil"/>
        </w:pBdr>
        <w:spacing w:line="276" w:lineRule="auto"/>
      </w:pPr>
      <w:r>
        <w:t>EFR A</w:t>
      </w:r>
    </w:p>
    <w:p w14:paraId="5B26A4BD" w14:textId="77777777" w:rsidR="00FE57EC" w:rsidRDefault="00FE57EC">
      <w:pPr>
        <w:numPr>
          <w:ilvl w:val="0"/>
          <w:numId w:val="10"/>
        </w:numPr>
        <w:pBdr>
          <w:top w:val="nil"/>
          <w:left w:val="nil"/>
          <w:bottom w:val="nil"/>
          <w:right w:val="nil"/>
          <w:between w:val="nil"/>
        </w:pBdr>
        <w:spacing w:line="276" w:lineRule="auto"/>
      </w:pPr>
      <w:r>
        <w:t>EFR B</w:t>
      </w:r>
    </w:p>
    <w:p w14:paraId="748AD8EC" w14:textId="77777777" w:rsidR="00FE57EC" w:rsidRDefault="00FE57EC">
      <w:pPr>
        <w:numPr>
          <w:ilvl w:val="0"/>
          <w:numId w:val="10"/>
        </w:numPr>
        <w:pBdr>
          <w:top w:val="nil"/>
          <w:left w:val="nil"/>
          <w:bottom w:val="nil"/>
          <w:right w:val="nil"/>
          <w:between w:val="nil"/>
        </w:pBdr>
        <w:spacing w:line="276" w:lineRule="auto"/>
      </w:pPr>
      <w:r>
        <w:t>EFR C</w:t>
      </w:r>
    </w:p>
    <w:p w14:paraId="0DB0D604" w14:textId="77777777" w:rsidR="00FE57EC" w:rsidRDefault="00FE57EC">
      <w:pPr>
        <w:numPr>
          <w:ilvl w:val="0"/>
          <w:numId w:val="10"/>
        </w:numPr>
        <w:pBdr>
          <w:top w:val="nil"/>
          <w:left w:val="nil"/>
          <w:bottom w:val="nil"/>
          <w:right w:val="nil"/>
          <w:between w:val="nil"/>
        </w:pBdr>
        <w:spacing w:line="276" w:lineRule="auto"/>
      </w:pPr>
      <w:r>
        <w:t>EFR D</w:t>
      </w:r>
    </w:p>
    <w:p w14:paraId="540F09BB" w14:textId="77777777" w:rsidR="00FE57EC" w:rsidRDefault="00FE57EC">
      <w:pPr>
        <w:numPr>
          <w:ilvl w:val="0"/>
          <w:numId w:val="10"/>
        </w:numPr>
        <w:pBdr>
          <w:top w:val="nil"/>
          <w:left w:val="nil"/>
          <w:bottom w:val="nil"/>
          <w:right w:val="nil"/>
          <w:between w:val="nil"/>
        </w:pBdr>
        <w:spacing w:line="276" w:lineRule="auto"/>
      </w:pPr>
      <w:r>
        <w:lastRenderedPageBreak/>
        <w:t>EFR E</w:t>
      </w:r>
    </w:p>
    <w:p w14:paraId="5FF52033" w14:textId="77777777" w:rsidR="00FE57EC" w:rsidRDefault="00FE57EC" w:rsidP="00FE57EC">
      <w:pPr>
        <w:spacing w:line="276" w:lineRule="auto"/>
        <w:rPr>
          <w:b/>
          <w:bCs/>
          <w:color w:val="0070C0"/>
        </w:rPr>
      </w:pPr>
      <w:r>
        <w:br w:type="page"/>
      </w:r>
    </w:p>
    <w:p w14:paraId="59E1397D" w14:textId="77777777" w:rsidR="00FE57EC" w:rsidRDefault="00FE57EC" w:rsidP="00FE57EC">
      <w:pPr>
        <w:spacing w:line="276" w:lineRule="auto"/>
        <w:jc w:val="left"/>
        <w:rPr>
          <w:b/>
          <w:bCs/>
          <w:color w:val="0070C0"/>
          <w:sz w:val="24"/>
          <w:szCs w:val="24"/>
        </w:rPr>
      </w:pPr>
      <w:r>
        <w:rPr>
          <w:b/>
          <w:bCs/>
          <w:color w:val="0070C0"/>
          <w:sz w:val="24"/>
          <w:szCs w:val="24"/>
        </w:rPr>
        <w:lastRenderedPageBreak/>
        <w:t>RÉPONSES</w:t>
      </w:r>
    </w:p>
    <w:p w14:paraId="30675F01" w14:textId="77777777" w:rsidR="00FE57EC" w:rsidRDefault="00FE57EC" w:rsidP="00FE57EC">
      <w:pPr>
        <w:spacing w:line="276" w:lineRule="auto"/>
        <w:jc w:val="left"/>
        <w:rPr>
          <w:b/>
          <w:bCs/>
          <w:color w:val="0070C0"/>
          <w:sz w:val="24"/>
          <w:szCs w:val="24"/>
        </w:rPr>
      </w:pPr>
    </w:p>
    <w:p w14:paraId="08B4871A" w14:textId="77777777" w:rsidR="00FE57EC" w:rsidRDefault="00FE57EC" w:rsidP="00FE57EC">
      <w:pPr>
        <w:spacing w:line="276" w:lineRule="auto"/>
        <w:rPr>
          <w:b/>
          <w:bCs/>
          <w:color w:val="0070C0"/>
        </w:rPr>
      </w:pPr>
      <w:r>
        <w:rPr>
          <w:b/>
          <w:bCs/>
          <w:color w:val="0070C0"/>
        </w:rPr>
        <w:t>KFP</w:t>
      </w:r>
    </w:p>
    <w:p w14:paraId="10AFACD7" w14:textId="77777777" w:rsidR="00FE57EC" w:rsidRDefault="00FE57EC">
      <w:pPr>
        <w:numPr>
          <w:ilvl w:val="0"/>
          <w:numId w:val="12"/>
        </w:numPr>
        <w:pBdr>
          <w:top w:val="nil"/>
          <w:left w:val="nil"/>
          <w:bottom w:val="nil"/>
          <w:right w:val="nil"/>
          <w:between w:val="nil"/>
        </w:pBdr>
        <w:spacing w:line="276" w:lineRule="auto"/>
        <w:jc w:val="left"/>
      </w:pPr>
      <w:r>
        <w:rPr>
          <w:b/>
          <w:bCs/>
        </w:rPr>
        <w:t>QRP – 2 réponses</w:t>
      </w:r>
    </w:p>
    <w:p w14:paraId="3E867704" w14:textId="77777777" w:rsidR="00FE57EC" w:rsidRDefault="00FE57EC" w:rsidP="00FE57EC">
      <w:pPr>
        <w:spacing w:line="276" w:lineRule="auto"/>
      </w:pPr>
      <w:r>
        <w:t>Réponse : AD</w:t>
      </w:r>
    </w:p>
    <w:p w14:paraId="4790B629" w14:textId="77777777" w:rsidR="00FE57EC" w:rsidRDefault="00FE57EC" w:rsidP="00FE57EC">
      <w:pPr>
        <w:spacing w:line="276" w:lineRule="auto"/>
      </w:pPr>
      <w:r>
        <w:t>Commentaire : pas de piège</w:t>
      </w:r>
    </w:p>
    <w:p w14:paraId="15A91757" w14:textId="77777777" w:rsidR="00FE57EC" w:rsidRDefault="00FE57EC" w:rsidP="00FE57EC">
      <w:pPr>
        <w:spacing w:line="276" w:lineRule="auto"/>
      </w:pPr>
    </w:p>
    <w:p w14:paraId="12F13349" w14:textId="77777777" w:rsidR="00FE57EC" w:rsidRDefault="00FE57EC">
      <w:pPr>
        <w:numPr>
          <w:ilvl w:val="0"/>
          <w:numId w:val="12"/>
        </w:numPr>
        <w:pBdr>
          <w:top w:val="nil"/>
          <w:left w:val="nil"/>
          <w:bottom w:val="nil"/>
          <w:right w:val="nil"/>
          <w:between w:val="nil"/>
        </w:pBdr>
        <w:spacing w:line="276" w:lineRule="auto"/>
        <w:jc w:val="left"/>
      </w:pPr>
      <w:r>
        <w:rPr>
          <w:b/>
          <w:bCs/>
        </w:rPr>
        <w:t>QROC</w:t>
      </w:r>
    </w:p>
    <w:p w14:paraId="4A49205B" w14:textId="77777777" w:rsidR="00FE57EC" w:rsidRDefault="00FE57EC" w:rsidP="00FE57EC">
      <w:pPr>
        <w:spacing w:line="276" w:lineRule="auto"/>
      </w:pPr>
      <w:r>
        <w:t>Réponse : trouble ventilatoire restrictif/restriction/restrictif</w:t>
      </w:r>
    </w:p>
    <w:p w14:paraId="726B1CAC" w14:textId="77777777" w:rsidR="00FE57EC" w:rsidRDefault="00FE57EC" w:rsidP="00FE57EC">
      <w:pPr>
        <w:spacing w:line="276" w:lineRule="auto"/>
      </w:pPr>
      <w:r>
        <w:t>Commentaire : pas de piège</w:t>
      </w:r>
    </w:p>
    <w:p w14:paraId="1237D59E" w14:textId="77777777" w:rsidR="00FE57EC" w:rsidRDefault="00FE57EC" w:rsidP="00FE57EC">
      <w:pPr>
        <w:spacing w:line="276" w:lineRule="auto"/>
      </w:pPr>
    </w:p>
    <w:p w14:paraId="030ACDDE" w14:textId="77777777" w:rsidR="00FE57EC" w:rsidRDefault="00FE57EC">
      <w:pPr>
        <w:numPr>
          <w:ilvl w:val="0"/>
          <w:numId w:val="12"/>
        </w:numPr>
        <w:pBdr>
          <w:top w:val="nil"/>
          <w:left w:val="nil"/>
          <w:bottom w:val="nil"/>
          <w:right w:val="nil"/>
          <w:between w:val="nil"/>
        </w:pBdr>
        <w:spacing w:line="276" w:lineRule="auto"/>
        <w:jc w:val="left"/>
      </w:pPr>
      <w:r>
        <w:rPr>
          <w:b/>
          <w:bCs/>
        </w:rPr>
        <w:t>QRU</w:t>
      </w:r>
    </w:p>
    <w:p w14:paraId="50886B5B" w14:textId="77777777" w:rsidR="00FE57EC" w:rsidRDefault="00FE57EC" w:rsidP="00FE57EC">
      <w:pPr>
        <w:spacing w:line="276" w:lineRule="auto"/>
      </w:pPr>
      <w:r>
        <w:t>Réponse : C</w:t>
      </w:r>
    </w:p>
    <w:p w14:paraId="1C8B5442" w14:textId="77777777" w:rsidR="00FE57EC" w:rsidRDefault="00FE57EC" w:rsidP="00FE57EC">
      <w:pPr>
        <w:spacing w:line="276" w:lineRule="auto"/>
      </w:pPr>
      <w:r>
        <w:t>Commentaire : pas de piège</w:t>
      </w:r>
    </w:p>
    <w:p w14:paraId="282C3C6C" w14:textId="77777777" w:rsidR="00FE57EC" w:rsidRDefault="00FE57EC" w:rsidP="00FE57EC">
      <w:pPr>
        <w:spacing w:line="276" w:lineRule="auto"/>
      </w:pPr>
    </w:p>
    <w:p w14:paraId="4416C9E9" w14:textId="77777777" w:rsidR="00FE57EC" w:rsidRDefault="00FE57EC">
      <w:pPr>
        <w:numPr>
          <w:ilvl w:val="0"/>
          <w:numId w:val="12"/>
        </w:numPr>
        <w:pBdr>
          <w:top w:val="nil"/>
          <w:left w:val="nil"/>
          <w:bottom w:val="nil"/>
          <w:right w:val="nil"/>
          <w:between w:val="nil"/>
        </w:pBdr>
        <w:spacing w:line="276" w:lineRule="auto"/>
        <w:jc w:val="left"/>
      </w:pPr>
      <w:r>
        <w:rPr>
          <w:b/>
          <w:bCs/>
        </w:rPr>
        <w:t>QROC</w:t>
      </w:r>
    </w:p>
    <w:p w14:paraId="394CBED8" w14:textId="77777777" w:rsidR="00FE57EC" w:rsidRDefault="00FE57EC" w:rsidP="00FE57EC">
      <w:pPr>
        <w:spacing w:line="276" w:lineRule="auto"/>
      </w:pPr>
      <w:r>
        <w:t>Réponse : oxygénothérapie/oxygène</w:t>
      </w:r>
    </w:p>
    <w:p w14:paraId="50423E15" w14:textId="77777777" w:rsidR="00FE57EC" w:rsidRDefault="00FE57EC" w:rsidP="00FE57EC">
      <w:pPr>
        <w:spacing w:line="276" w:lineRule="auto"/>
      </w:pPr>
      <w:r>
        <w:t xml:space="preserve">Commentaire : </w:t>
      </w:r>
    </w:p>
    <w:p w14:paraId="18548EC3" w14:textId="77777777" w:rsidR="00FE57EC" w:rsidRDefault="00FE57EC" w:rsidP="00FE57EC">
      <w:pPr>
        <w:spacing w:line="276" w:lineRule="auto"/>
      </w:pPr>
      <w:r>
        <w:t>Il s’agit de l’IRC restrictive donc le seuil est à 60 </w:t>
      </w:r>
      <w:proofErr w:type="spellStart"/>
      <w:r>
        <w:t>mmHg</w:t>
      </w:r>
      <w:proofErr w:type="spellEnd"/>
      <w:r>
        <w:t xml:space="preserve"> pour la prescription d’oxygénothérapie</w:t>
      </w:r>
    </w:p>
    <w:p w14:paraId="7EF58E3A" w14:textId="77777777" w:rsidR="00FE57EC" w:rsidRDefault="00FE57EC" w:rsidP="00FE57EC">
      <w:pPr>
        <w:spacing w:line="276" w:lineRule="auto"/>
      </w:pPr>
    </w:p>
    <w:p w14:paraId="2D5E3A89" w14:textId="77777777" w:rsidR="00FE57EC" w:rsidRDefault="00FE57EC">
      <w:pPr>
        <w:numPr>
          <w:ilvl w:val="0"/>
          <w:numId w:val="12"/>
        </w:numPr>
        <w:pBdr>
          <w:top w:val="nil"/>
          <w:left w:val="nil"/>
          <w:bottom w:val="nil"/>
          <w:right w:val="nil"/>
          <w:between w:val="nil"/>
        </w:pBdr>
        <w:spacing w:line="276" w:lineRule="auto"/>
        <w:jc w:val="left"/>
      </w:pPr>
      <w:r>
        <w:rPr>
          <w:b/>
          <w:bCs/>
        </w:rPr>
        <w:t>QRM</w:t>
      </w:r>
    </w:p>
    <w:p w14:paraId="12F8702A" w14:textId="77777777" w:rsidR="00FE57EC" w:rsidRDefault="00FE57EC" w:rsidP="00FE57EC">
      <w:pPr>
        <w:spacing w:line="276" w:lineRule="auto"/>
      </w:pPr>
      <w:r>
        <w:t>Réponse : ABE</w:t>
      </w:r>
    </w:p>
    <w:p w14:paraId="5FF3BF4B" w14:textId="77777777" w:rsidR="00FE57EC" w:rsidRDefault="00FE57EC" w:rsidP="00FE57EC">
      <w:pPr>
        <w:spacing w:line="276" w:lineRule="auto"/>
      </w:pPr>
      <w:r>
        <w:t>Commentaire : pas de piège</w:t>
      </w:r>
    </w:p>
    <w:p w14:paraId="24FE7764" w14:textId="77777777" w:rsidR="00FE57EC" w:rsidRDefault="00FE57EC" w:rsidP="00FE57EC">
      <w:pPr>
        <w:spacing w:line="276" w:lineRule="auto"/>
      </w:pPr>
    </w:p>
    <w:p w14:paraId="5136F452" w14:textId="77777777" w:rsidR="00FE57EC" w:rsidRDefault="00FE57EC">
      <w:pPr>
        <w:numPr>
          <w:ilvl w:val="0"/>
          <w:numId w:val="12"/>
        </w:numPr>
        <w:pBdr>
          <w:top w:val="nil"/>
          <w:left w:val="nil"/>
          <w:bottom w:val="nil"/>
          <w:right w:val="nil"/>
          <w:between w:val="nil"/>
        </w:pBdr>
        <w:spacing w:line="276" w:lineRule="auto"/>
        <w:jc w:val="left"/>
      </w:pPr>
      <w:r>
        <w:rPr>
          <w:b/>
          <w:bCs/>
        </w:rPr>
        <w:t>QRP (3 réponses)</w:t>
      </w:r>
    </w:p>
    <w:p w14:paraId="4447C215" w14:textId="77777777" w:rsidR="00FE57EC" w:rsidRDefault="00FE57EC" w:rsidP="00FE57EC">
      <w:pPr>
        <w:spacing w:line="276" w:lineRule="auto"/>
      </w:pPr>
      <w:r>
        <w:t>Réponse : DEH</w:t>
      </w:r>
    </w:p>
    <w:p w14:paraId="0FED86BC" w14:textId="77777777" w:rsidR="00FE57EC" w:rsidRDefault="00FE57EC" w:rsidP="00FE57EC">
      <w:pPr>
        <w:spacing w:line="276" w:lineRule="auto"/>
      </w:pPr>
    </w:p>
    <w:p w14:paraId="26568B60" w14:textId="77777777" w:rsidR="00FE57EC" w:rsidRDefault="00FE57EC">
      <w:pPr>
        <w:numPr>
          <w:ilvl w:val="0"/>
          <w:numId w:val="12"/>
        </w:numPr>
        <w:pBdr>
          <w:top w:val="nil"/>
          <w:left w:val="nil"/>
          <w:bottom w:val="nil"/>
          <w:right w:val="nil"/>
          <w:between w:val="nil"/>
        </w:pBdr>
        <w:spacing w:line="276" w:lineRule="auto"/>
        <w:jc w:val="left"/>
      </w:pPr>
      <w:r>
        <w:rPr>
          <w:b/>
          <w:bCs/>
        </w:rPr>
        <w:t>QRM</w:t>
      </w:r>
    </w:p>
    <w:p w14:paraId="612DBABD" w14:textId="77777777" w:rsidR="00FE57EC" w:rsidRDefault="00FE57EC" w:rsidP="00FE57EC">
      <w:pPr>
        <w:spacing w:line="276" w:lineRule="auto"/>
      </w:pPr>
      <w:r>
        <w:t>Réponse : AC</w:t>
      </w:r>
    </w:p>
    <w:p w14:paraId="3261CED6" w14:textId="77777777" w:rsidR="00FE57EC" w:rsidRDefault="00FE57EC" w:rsidP="00FE57EC">
      <w:pPr>
        <w:spacing w:line="276" w:lineRule="auto"/>
      </w:pPr>
    </w:p>
    <w:p w14:paraId="6D48A9FA" w14:textId="77777777" w:rsidR="00FE57EC" w:rsidRDefault="00FE57EC">
      <w:pPr>
        <w:numPr>
          <w:ilvl w:val="0"/>
          <w:numId w:val="12"/>
        </w:numPr>
        <w:pBdr>
          <w:top w:val="nil"/>
          <w:left w:val="nil"/>
          <w:bottom w:val="nil"/>
          <w:right w:val="nil"/>
          <w:between w:val="nil"/>
        </w:pBdr>
        <w:spacing w:line="276" w:lineRule="auto"/>
        <w:jc w:val="left"/>
      </w:pPr>
      <w:r>
        <w:rPr>
          <w:b/>
          <w:bCs/>
        </w:rPr>
        <w:t>QRU</w:t>
      </w:r>
    </w:p>
    <w:p w14:paraId="17ADCB8B" w14:textId="77777777" w:rsidR="00FE57EC" w:rsidRDefault="00FE57EC" w:rsidP="00FE57EC">
      <w:pPr>
        <w:spacing w:line="276" w:lineRule="auto"/>
      </w:pPr>
      <w:r>
        <w:t>Réponse : A</w:t>
      </w:r>
    </w:p>
    <w:p w14:paraId="01664062" w14:textId="77777777" w:rsidR="00FE57EC" w:rsidRDefault="00FE57EC" w:rsidP="00FE57EC">
      <w:pPr>
        <w:spacing w:line="276" w:lineRule="auto"/>
      </w:pPr>
    </w:p>
    <w:p w14:paraId="4AC09B82" w14:textId="77777777" w:rsidR="00FE57EC" w:rsidRDefault="00FE57EC">
      <w:pPr>
        <w:numPr>
          <w:ilvl w:val="0"/>
          <w:numId w:val="12"/>
        </w:numPr>
        <w:pBdr>
          <w:top w:val="nil"/>
          <w:left w:val="nil"/>
          <w:bottom w:val="nil"/>
          <w:right w:val="nil"/>
          <w:between w:val="nil"/>
        </w:pBdr>
        <w:spacing w:line="276" w:lineRule="auto"/>
        <w:jc w:val="left"/>
      </w:pPr>
      <w:r>
        <w:rPr>
          <w:b/>
          <w:bCs/>
        </w:rPr>
        <w:t>QRM</w:t>
      </w:r>
    </w:p>
    <w:p w14:paraId="5A1AB500" w14:textId="77777777" w:rsidR="00FE57EC" w:rsidRDefault="00FE57EC" w:rsidP="00FE57EC">
      <w:pPr>
        <w:spacing w:line="276" w:lineRule="auto"/>
      </w:pPr>
      <w:r>
        <w:t>Réponse : AB</w:t>
      </w:r>
    </w:p>
    <w:p w14:paraId="4D9EA015" w14:textId="77777777" w:rsidR="00FE57EC" w:rsidRDefault="00FE57EC" w:rsidP="00FE57EC">
      <w:pPr>
        <w:spacing w:line="276" w:lineRule="auto"/>
      </w:pPr>
    </w:p>
    <w:p w14:paraId="597032B9" w14:textId="77777777" w:rsidR="00FE57EC" w:rsidRDefault="00FE57EC">
      <w:pPr>
        <w:numPr>
          <w:ilvl w:val="0"/>
          <w:numId w:val="12"/>
        </w:numPr>
        <w:pBdr>
          <w:top w:val="nil"/>
          <w:left w:val="nil"/>
          <w:bottom w:val="nil"/>
          <w:right w:val="nil"/>
          <w:between w:val="nil"/>
        </w:pBdr>
        <w:spacing w:line="276" w:lineRule="auto"/>
        <w:jc w:val="left"/>
      </w:pPr>
      <w:r>
        <w:rPr>
          <w:b/>
          <w:bCs/>
        </w:rPr>
        <w:t>QRM</w:t>
      </w:r>
    </w:p>
    <w:p w14:paraId="4056CF07" w14:textId="77777777" w:rsidR="00FE57EC" w:rsidRDefault="00FE57EC" w:rsidP="00FE57EC">
      <w:pPr>
        <w:spacing w:line="276" w:lineRule="auto"/>
      </w:pPr>
      <w:r>
        <w:t>Réponse : ABC</w:t>
      </w:r>
    </w:p>
    <w:p w14:paraId="5D5127FE" w14:textId="77777777" w:rsidR="00FE57EC" w:rsidRDefault="00FE57EC" w:rsidP="00FE57EC">
      <w:pPr>
        <w:spacing w:line="276" w:lineRule="auto"/>
      </w:pPr>
      <w:r>
        <w:t xml:space="preserve">Commentaires : </w:t>
      </w:r>
    </w:p>
    <w:p w14:paraId="0D781D0F" w14:textId="77777777" w:rsidR="00FE57EC" w:rsidRDefault="00FE57EC" w:rsidP="00FE57EC">
      <w:pPr>
        <w:spacing w:line="276" w:lineRule="auto"/>
      </w:pPr>
      <w:r>
        <w:t>La radio montre que le patient est porteur d’une cyphoscoliose :</w:t>
      </w:r>
    </w:p>
    <w:p w14:paraId="53FF7D7F" w14:textId="77777777" w:rsidR="00FE57EC" w:rsidRDefault="00FE57EC" w:rsidP="00FE57EC">
      <w:pPr>
        <w:pBdr>
          <w:top w:val="nil"/>
          <w:left w:val="nil"/>
          <w:bottom w:val="nil"/>
          <w:right w:val="nil"/>
          <w:between w:val="nil"/>
        </w:pBdr>
        <w:spacing w:line="276" w:lineRule="auto"/>
        <w:ind w:left="227" w:hanging="227"/>
      </w:pPr>
      <w:r>
        <w:t xml:space="preserve">- L’EFR A </w:t>
      </w:r>
      <w:proofErr w:type="spellStart"/>
      <w:r>
        <w:t>montre</w:t>
      </w:r>
      <w:proofErr w:type="spellEnd"/>
      <w:r>
        <w:t xml:space="preserve"> des valeurs normales.</w:t>
      </w:r>
    </w:p>
    <w:p w14:paraId="0B7E620F" w14:textId="77777777" w:rsidR="00FE57EC" w:rsidRDefault="00FE57EC" w:rsidP="00FE57EC">
      <w:pPr>
        <w:pBdr>
          <w:top w:val="nil"/>
          <w:left w:val="nil"/>
          <w:bottom w:val="nil"/>
          <w:right w:val="nil"/>
          <w:between w:val="nil"/>
        </w:pBdr>
        <w:spacing w:line="276" w:lineRule="auto"/>
        <w:ind w:left="227" w:hanging="227"/>
      </w:pPr>
      <w:r>
        <w:t>- L’EFR B montre un trouble ventilatoire obstructif réversible.</w:t>
      </w:r>
    </w:p>
    <w:p w14:paraId="0A8482AA" w14:textId="77777777" w:rsidR="00FE57EC" w:rsidRDefault="00FE57EC" w:rsidP="00FE57EC">
      <w:pPr>
        <w:pBdr>
          <w:top w:val="nil"/>
          <w:left w:val="nil"/>
          <w:bottom w:val="nil"/>
          <w:right w:val="nil"/>
          <w:between w:val="nil"/>
        </w:pBdr>
        <w:spacing w:line="276" w:lineRule="auto"/>
        <w:ind w:left="227" w:hanging="227"/>
      </w:pPr>
      <w:r>
        <w:t>- L’EFR C montre un trouble ventilatoire obstructif très sévère.</w:t>
      </w:r>
    </w:p>
    <w:p w14:paraId="1895637D" w14:textId="77777777" w:rsidR="00FE57EC" w:rsidRDefault="00FE57EC" w:rsidP="00FE57EC">
      <w:pPr>
        <w:pBdr>
          <w:top w:val="nil"/>
          <w:left w:val="nil"/>
          <w:bottom w:val="nil"/>
          <w:right w:val="nil"/>
          <w:between w:val="nil"/>
        </w:pBdr>
        <w:spacing w:line="276" w:lineRule="auto"/>
        <w:ind w:left="227" w:hanging="227"/>
      </w:pPr>
      <w:r>
        <w:t>- Les EFR D et E montrent un trouble ventilatoire restrictif, ce qui peut correspondre à un patient porteur d’une cyphoscoliose.</w:t>
      </w:r>
    </w:p>
    <w:p w14:paraId="361680F0" w14:textId="77777777" w:rsidR="00FE57EC" w:rsidRDefault="00FE57EC" w:rsidP="00FE57EC">
      <w:pPr>
        <w:pBdr>
          <w:top w:val="nil"/>
          <w:left w:val="nil"/>
          <w:bottom w:val="nil"/>
          <w:right w:val="nil"/>
          <w:between w:val="nil"/>
        </w:pBdr>
        <w:spacing w:line="240" w:lineRule="auto"/>
        <w:ind w:left="360" w:hanging="360"/>
        <w:jc w:val="left"/>
        <w:rPr>
          <w:b/>
          <w:bCs/>
        </w:rPr>
      </w:pPr>
    </w:p>
    <w:p w14:paraId="15B96620" w14:textId="39190CF6" w:rsidR="00F75368" w:rsidRDefault="00F75368" w:rsidP="00FE57EC"/>
    <w:sectPr w:rsidR="00F75368" w:rsidSect="00876EF8">
      <w:headerReference w:type="even" r:id="rId25"/>
      <w:headerReference w:type="default" r:id="rId26"/>
      <w:footerReference w:type="even" r:id="rId27"/>
      <w:footerReference w:type="default" r:id="rId28"/>
      <w:headerReference w:type="first" r:id="rId29"/>
      <w:footerReference w:type="first" r:id="rId30"/>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592BC9" w14:textId="77777777" w:rsidR="009C7657" w:rsidRDefault="009C7657" w:rsidP="00AE31FB">
      <w:pPr>
        <w:spacing w:line="240" w:lineRule="auto"/>
      </w:pPr>
      <w:r>
        <w:separator/>
      </w:r>
    </w:p>
  </w:endnote>
  <w:endnote w:type="continuationSeparator" w:id="0">
    <w:p w14:paraId="2A78BA52" w14:textId="77777777" w:rsidR="009C7657" w:rsidRDefault="009C7657" w:rsidP="00AE31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D773E" w14:textId="77777777" w:rsidR="00AE31FB" w:rsidRDefault="00AE31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15F8B" w14:textId="77777777" w:rsidR="00AE31FB" w:rsidRDefault="00AE31F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270FE" w14:textId="77777777" w:rsidR="00AE31FB" w:rsidRDefault="00AE31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ACE368" w14:textId="77777777" w:rsidR="009C7657" w:rsidRDefault="009C7657" w:rsidP="00AE31FB">
      <w:pPr>
        <w:spacing w:line="240" w:lineRule="auto"/>
      </w:pPr>
      <w:r>
        <w:separator/>
      </w:r>
    </w:p>
  </w:footnote>
  <w:footnote w:type="continuationSeparator" w:id="0">
    <w:p w14:paraId="62C9B91F" w14:textId="77777777" w:rsidR="009C7657" w:rsidRDefault="009C7657" w:rsidP="00AE31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44ACC" w14:textId="77777777" w:rsidR="00AE31FB" w:rsidRDefault="00AE31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F133E" w14:textId="77777777" w:rsidR="00AE31FB" w:rsidRPr="00F201C7" w:rsidRDefault="00AE31FB" w:rsidP="00AE31FB">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12A01F1D" w14:textId="77777777" w:rsidR="00AE31FB" w:rsidRDefault="00AE31F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5A42B" w14:textId="77777777" w:rsidR="00AE31FB" w:rsidRDefault="00AE31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3469B"/>
    <w:multiLevelType w:val="multilevel"/>
    <w:tmpl w:val="D214FB5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33880"/>
    <w:multiLevelType w:val="multilevel"/>
    <w:tmpl w:val="9CE22C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8280EE0"/>
    <w:multiLevelType w:val="multilevel"/>
    <w:tmpl w:val="A2CCEF3E"/>
    <w:lvl w:ilvl="0">
      <w:start w:val="1"/>
      <w:numFmt w:val="decimal"/>
      <w:lvlText w:val="%1."/>
      <w:lvlJc w:val="left"/>
      <w:pPr>
        <w:ind w:left="360" w:hanging="360"/>
      </w:pPr>
      <w:rPr>
        <w:b w:val="0"/>
        <w:bCs w:val="0"/>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047ED4"/>
    <w:multiLevelType w:val="multilevel"/>
    <w:tmpl w:val="ABF08436"/>
    <w:lvl w:ilvl="0">
      <w:start w:val="1"/>
      <w:numFmt w:val="bullet"/>
      <w:lvlText w:val=""/>
      <w:lvlJc w:val="left"/>
      <w:pPr>
        <w:ind w:left="720" w:hanging="360"/>
      </w:pPr>
      <w:rPr>
        <w:rFonts w:ascii="Wingdings 2" w:hAnsi="Wingdings 2" w:hint="default"/>
        <w:color w:val="000000"/>
        <w:sz w:val="20"/>
        <w:szCs w:val="20"/>
      </w:rPr>
    </w:lvl>
    <w:lvl w:ilvl="1">
      <w:start w:val="1"/>
      <w:numFmt w:val="decimal"/>
      <w:lvlText w:val="%2)"/>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E103427"/>
    <w:multiLevelType w:val="multilevel"/>
    <w:tmpl w:val="0B6A21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160C03"/>
    <w:multiLevelType w:val="hybridMultilevel"/>
    <w:tmpl w:val="03367A9E"/>
    <w:lvl w:ilvl="0" w:tplc="1CB6F05E">
      <w:start w:val="1"/>
      <w:numFmt w:val="bullet"/>
      <w:lvlText w:val=""/>
      <w:lvlJc w:val="left"/>
      <w:pPr>
        <w:ind w:left="720" w:hanging="360"/>
      </w:pPr>
      <w:rPr>
        <w:rFonts w:ascii="Wingdings 2" w:hAnsi="Wingdings 2"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BF66EE"/>
    <w:multiLevelType w:val="multilevel"/>
    <w:tmpl w:val="3B28F50A"/>
    <w:lvl w:ilvl="0">
      <w:start w:val="1"/>
      <w:numFmt w:val="bullet"/>
      <w:lvlText w:val=""/>
      <w:lvlJc w:val="left"/>
      <w:pPr>
        <w:ind w:left="1440" w:hanging="360"/>
      </w:pPr>
      <w:rPr>
        <w:rFonts w:ascii="Wingdings 2" w:hAnsi="Wingdings 2" w:hint="default"/>
        <w:color w:val="0070C0"/>
        <w:sz w:val="18"/>
        <w:szCs w:val="18"/>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BFE3D43"/>
    <w:multiLevelType w:val="multilevel"/>
    <w:tmpl w:val="96CEC8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pStyle w:val="Titre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DF46A60"/>
    <w:multiLevelType w:val="multilevel"/>
    <w:tmpl w:val="49E411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7335F4"/>
    <w:multiLevelType w:val="multilevel"/>
    <w:tmpl w:val="0058968E"/>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1C43388"/>
    <w:multiLevelType w:val="multilevel"/>
    <w:tmpl w:val="270A135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A2401F3"/>
    <w:multiLevelType w:val="multilevel"/>
    <w:tmpl w:val="C92AF3F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3" w15:restartNumberingAfterBreak="0">
    <w:nsid w:val="5029772C"/>
    <w:multiLevelType w:val="multilevel"/>
    <w:tmpl w:val="A1B64598"/>
    <w:lvl w:ilvl="0">
      <w:start w:val="1"/>
      <w:numFmt w:val="bullet"/>
      <w:lvlText w:val="■"/>
      <w:lvlJc w:val="left"/>
      <w:pPr>
        <w:ind w:left="720" w:hanging="360"/>
      </w:pPr>
      <w:rPr>
        <w:rFonts w:ascii="Noto Sans Symbols" w:eastAsia="Noto Sans Symbols" w:hAnsi="Noto Sans Symbols" w:cs="Noto Sans Symbols"/>
        <w:color w:val="000000"/>
        <w:sz w:val="12"/>
        <w:szCs w:val="12"/>
      </w:rPr>
    </w:lvl>
    <w:lvl w:ilvl="1">
      <w:start w:val="1"/>
      <w:numFmt w:val="decimal"/>
      <w:lvlText w:val="%2)"/>
      <w:lvlJc w:val="left"/>
      <w:pPr>
        <w:ind w:left="1080" w:hanging="360"/>
      </w:pPr>
      <w:rPr>
        <w:rFonts w:ascii="Trebuchet MS" w:eastAsia="Trebuchet MS" w:hAnsi="Trebuchet MS" w:cs="Trebuchet MS"/>
      </w:rPr>
    </w:lvl>
    <w:lvl w:ilvl="2">
      <w:start w:val="1"/>
      <w:numFmt w:val="bullet"/>
      <w:lvlText w:val="▪"/>
      <w:lvlJc w:val="left"/>
      <w:pPr>
        <w:ind w:left="1800" w:hanging="360"/>
      </w:pPr>
      <w:rPr>
        <w:rFonts w:ascii="Noto Sans Symbols" w:eastAsia="Noto Sans Symbols" w:hAnsi="Noto Sans Symbols" w:cs="Noto Sans Symbols"/>
      </w:rPr>
    </w:lvl>
    <w:lvl w:ilvl="3">
      <w:start w:val="6"/>
      <w:numFmt w:val="decimal"/>
      <w:lvlText w:val="%4"/>
      <w:lvlJc w:val="left"/>
      <w:pPr>
        <w:ind w:left="2520" w:hanging="360"/>
      </w:p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75E6E5C"/>
    <w:multiLevelType w:val="hybridMultilevel"/>
    <w:tmpl w:val="4074301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89B0168"/>
    <w:multiLevelType w:val="multilevel"/>
    <w:tmpl w:val="63504DCC"/>
    <w:lvl w:ilvl="0">
      <w:start w:val="1"/>
      <w:numFmt w:val="upperLetter"/>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E4A78E6"/>
    <w:multiLevelType w:val="multilevel"/>
    <w:tmpl w:val="A85EAF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0992BA3"/>
    <w:multiLevelType w:val="multilevel"/>
    <w:tmpl w:val="6A98C13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5A17DC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6154EC5"/>
    <w:multiLevelType w:val="multilevel"/>
    <w:tmpl w:val="080630AE"/>
    <w:lvl w:ilvl="0">
      <w:start w:val="1"/>
      <w:numFmt w:val="bullet"/>
      <w:lvlText w:val=""/>
      <w:lvlJc w:val="left"/>
      <w:pPr>
        <w:ind w:left="1080" w:hanging="360"/>
      </w:pPr>
      <w:rPr>
        <w:rFonts w:ascii="Wingdings 2" w:hAnsi="Wingdings 2" w:hint="default"/>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6BB310B"/>
    <w:multiLevelType w:val="multilevel"/>
    <w:tmpl w:val="3AA8B2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583198"/>
    <w:multiLevelType w:val="multilevel"/>
    <w:tmpl w:val="99DC00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F675D2"/>
    <w:multiLevelType w:val="multilevel"/>
    <w:tmpl w:val="CF744D1A"/>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F692767"/>
    <w:multiLevelType w:val="hybridMultilevel"/>
    <w:tmpl w:val="2F5C5646"/>
    <w:lvl w:ilvl="0" w:tplc="0C4899FC">
      <w:start w:val="1"/>
      <w:numFmt w:val="decimal"/>
      <w:pStyle w:val="pointscls1"/>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1976450999">
    <w:abstractNumId w:val="2"/>
  </w:num>
  <w:num w:numId="2" w16cid:durableId="1579822130">
    <w:abstractNumId w:val="7"/>
  </w:num>
  <w:num w:numId="3" w16cid:durableId="2103211215">
    <w:abstractNumId w:val="23"/>
  </w:num>
  <w:num w:numId="4" w16cid:durableId="762844049">
    <w:abstractNumId w:val="8"/>
  </w:num>
  <w:num w:numId="5" w16cid:durableId="428159626">
    <w:abstractNumId w:val="15"/>
  </w:num>
  <w:num w:numId="6" w16cid:durableId="512837996">
    <w:abstractNumId w:val="16"/>
  </w:num>
  <w:num w:numId="7" w16cid:durableId="52510141">
    <w:abstractNumId w:val="21"/>
  </w:num>
  <w:num w:numId="8" w16cid:durableId="1294941885">
    <w:abstractNumId w:val="9"/>
  </w:num>
  <w:num w:numId="9" w16cid:durableId="1077901218">
    <w:abstractNumId w:val="17"/>
  </w:num>
  <w:num w:numId="10" w16cid:durableId="1209999385">
    <w:abstractNumId w:val="0"/>
  </w:num>
  <w:num w:numId="11" w16cid:durableId="984747889">
    <w:abstractNumId w:val="22"/>
  </w:num>
  <w:num w:numId="12" w16cid:durableId="440808777">
    <w:abstractNumId w:val="1"/>
  </w:num>
  <w:num w:numId="13" w16cid:durableId="340163137">
    <w:abstractNumId w:val="3"/>
  </w:num>
  <w:num w:numId="14" w16cid:durableId="31927414">
    <w:abstractNumId w:val="10"/>
  </w:num>
  <w:num w:numId="15" w16cid:durableId="1436554323">
    <w:abstractNumId w:val="6"/>
  </w:num>
  <w:num w:numId="16" w16cid:durableId="1405686600">
    <w:abstractNumId w:val="19"/>
  </w:num>
  <w:num w:numId="17" w16cid:durableId="780489530">
    <w:abstractNumId w:val="12"/>
  </w:num>
  <w:num w:numId="18" w16cid:durableId="691995369">
    <w:abstractNumId w:val="13"/>
  </w:num>
  <w:num w:numId="19" w16cid:durableId="248123660">
    <w:abstractNumId w:val="20"/>
  </w:num>
  <w:num w:numId="20" w16cid:durableId="1236548523">
    <w:abstractNumId w:val="4"/>
  </w:num>
  <w:num w:numId="21" w16cid:durableId="1993483711">
    <w:abstractNumId w:val="11"/>
  </w:num>
  <w:num w:numId="22" w16cid:durableId="268392213">
    <w:abstractNumId w:val="5"/>
  </w:num>
  <w:num w:numId="23" w16cid:durableId="922879255">
    <w:abstractNumId w:val="7"/>
    <w:lvlOverride w:ilvl="0">
      <w:startOverride w:val="1"/>
    </w:lvlOverride>
  </w:num>
  <w:num w:numId="24" w16cid:durableId="779642696">
    <w:abstractNumId w:val="7"/>
    <w:lvlOverride w:ilvl="0">
      <w:startOverride w:val="1"/>
    </w:lvlOverride>
  </w:num>
  <w:num w:numId="25" w16cid:durableId="425074985">
    <w:abstractNumId w:val="14"/>
  </w:num>
  <w:num w:numId="26" w16cid:durableId="1306274587">
    <w:abstractNumId w:val="18"/>
  </w:num>
  <w:num w:numId="27" w16cid:durableId="679508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83536"/>
    <w:rsid w:val="000B56A5"/>
    <w:rsid w:val="000E568F"/>
    <w:rsid w:val="0010541F"/>
    <w:rsid w:val="001C54DE"/>
    <w:rsid w:val="001D386C"/>
    <w:rsid w:val="00236555"/>
    <w:rsid w:val="00297341"/>
    <w:rsid w:val="002C5A5E"/>
    <w:rsid w:val="002C7C57"/>
    <w:rsid w:val="00306201"/>
    <w:rsid w:val="00362251"/>
    <w:rsid w:val="00375B9C"/>
    <w:rsid w:val="003C3137"/>
    <w:rsid w:val="003D376E"/>
    <w:rsid w:val="003E5332"/>
    <w:rsid w:val="00447337"/>
    <w:rsid w:val="00454A58"/>
    <w:rsid w:val="00475741"/>
    <w:rsid w:val="004B3B0C"/>
    <w:rsid w:val="004D552E"/>
    <w:rsid w:val="005645B3"/>
    <w:rsid w:val="005B6A3A"/>
    <w:rsid w:val="005F05D0"/>
    <w:rsid w:val="005F3DDA"/>
    <w:rsid w:val="00614CBE"/>
    <w:rsid w:val="00665E5D"/>
    <w:rsid w:val="00696E6A"/>
    <w:rsid w:val="00711BBF"/>
    <w:rsid w:val="00717C5F"/>
    <w:rsid w:val="00776EA2"/>
    <w:rsid w:val="007F6BF8"/>
    <w:rsid w:val="00822CB5"/>
    <w:rsid w:val="0082796C"/>
    <w:rsid w:val="0087650C"/>
    <w:rsid w:val="00876EF8"/>
    <w:rsid w:val="0088205E"/>
    <w:rsid w:val="00895A52"/>
    <w:rsid w:val="00896114"/>
    <w:rsid w:val="0089667B"/>
    <w:rsid w:val="008B41F0"/>
    <w:rsid w:val="008D0B6D"/>
    <w:rsid w:val="008D7B43"/>
    <w:rsid w:val="00907A92"/>
    <w:rsid w:val="00930986"/>
    <w:rsid w:val="00942BB1"/>
    <w:rsid w:val="00995C77"/>
    <w:rsid w:val="009C7657"/>
    <w:rsid w:val="009E29E0"/>
    <w:rsid w:val="00A54E85"/>
    <w:rsid w:val="00A65C23"/>
    <w:rsid w:val="00AC56AB"/>
    <w:rsid w:val="00AD3F49"/>
    <w:rsid w:val="00AE31FB"/>
    <w:rsid w:val="00AF2941"/>
    <w:rsid w:val="00B04C56"/>
    <w:rsid w:val="00B33C89"/>
    <w:rsid w:val="00B63810"/>
    <w:rsid w:val="00BC1F3F"/>
    <w:rsid w:val="00BC5580"/>
    <w:rsid w:val="00BE1ECC"/>
    <w:rsid w:val="00C2589B"/>
    <w:rsid w:val="00C65E3C"/>
    <w:rsid w:val="00CC4FD4"/>
    <w:rsid w:val="00CF64C4"/>
    <w:rsid w:val="00D12181"/>
    <w:rsid w:val="00D4011F"/>
    <w:rsid w:val="00D55DF5"/>
    <w:rsid w:val="00D7068A"/>
    <w:rsid w:val="00E22E24"/>
    <w:rsid w:val="00E420F7"/>
    <w:rsid w:val="00E54D0A"/>
    <w:rsid w:val="00E84981"/>
    <w:rsid w:val="00EC1890"/>
    <w:rsid w:val="00ED0F5F"/>
    <w:rsid w:val="00EE0D03"/>
    <w:rsid w:val="00F03B9C"/>
    <w:rsid w:val="00F75368"/>
    <w:rsid w:val="00F90151"/>
    <w:rsid w:val="00FB180E"/>
    <w:rsid w:val="00FE57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Titre4"/>
    <w:next w:val="Normal"/>
    <w:link w:val="Titre5Car"/>
    <w:uiPriority w:val="9"/>
    <w:unhideWhenUsed/>
    <w:qFormat/>
    <w:rsid w:val="00AD3F49"/>
    <w:pPr>
      <w:numPr>
        <w:ilvl w:val="3"/>
      </w:numPr>
      <w:ind w:left="1985" w:hanging="905"/>
      <w:outlineLvl w:val="4"/>
    </w:p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rsid w:val="00AD3F49"/>
    <w:rPr>
      <w:rFonts w:ascii="Trebuchet MS" w:eastAsia="Trebuchet MS" w:hAnsi="Trebuchet MS" w:cs="Trebuchet MS"/>
      <w:b/>
      <w:bCs/>
      <w:color w:val="000000"/>
      <w:kern w:val="0"/>
      <w:szCs w:val="20"/>
      <w:lang w:val="fr" w:eastAsia="fr-FR"/>
      <w14:ligatures w14:val="none"/>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
    <w:name w:val="points clés 1"/>
    <w:basedOn w:val="Normal"/>
    <w:link w:val="pointscls1Car"/>
    <w:qFormat/>
    <w:rsid w:val="00B04C56"/>
    <w:pPr>
      <w:numPr>
        <w:numId w:val="3"/>
      </w:numPr>
      <w:pBdr>
        <w:top w:val="single" w:sz="4" w:space="1" w:color="747474" w:themeColor="background2" w:themeShade="80"/>
        <w:left w:val="single" w:sz="4" w:space="4" w:color="747474" w:themeColor="background2" w:themeShade="80"/>
        <w:bottom w:val="single" w:sz="4" w:space="0" w:color="747474" w:themeColor="background2" w:themeShade="80"/>
        <w:right w:val="single" w:sz="4" w:space="4" w:color="747474" w:themeColor="background2" w:themeShade="80"/>
      </w:pBdr>
      <w:spacing w:before="40" w:line="276" w:lineRule="auto"/>
      <w:ind w:left="426" w:right="141" w:hanging="284"/>
    </w:pPr>
    <w:rPr>
      <w:sz w:val="18"/>
      <w:szCs w:val="18"/>
    </w:rPr>
  </w:style>
  <w:style w:type="character" w:customStyle="1" w:styleId="pointscls1Car">
    <w:name w:val="points clés 1 Car"/>
    <w:basedOn w:val="Policepardfaut"/>
    <w:link w:val="pointscls1"/>
    <w:rsid w:val="00B04C56"/>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34"/>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table" w:styleId="Grilledutableau">
    <w:name w:val="Table Grid"/>
    <w:basedOn w:val="TableauNormal"/>
    <w:uiPriority w:val="39"/>
    <w:rsid w:val="00AD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aliases w:val="Car"/>
    <w:basedOn w:val="Normal"/>
    <w:link w:val="En-tteCar"/>
    <w:unhideWhenUsed/>
    <w:rsid w:val="00AE31FB"/>
    <w:pPr>
      <w:tabs>
        <w:tab w:val="center" w:pos="4536"/>
        <w:tab w:val="right" w:pos="9072"/>
      </w:tabs>
      <w:spacing w:line="240" w:lineRule="auto"/>
    </w:pPr>
  </w:style>
  <w:style w:type="character" w:customStyle="1" w:styleId="En-tteCar">
    <w:name w:val="En-tête Car"/>
    <w:aliases w:val="Car Car"/>
    <w:basedOn w:val="Policepardfaut"/>
    <w:link w:val="En-tte"/>
    <w:rsid w:val="00AE31FB"/>
    <w:rPr>
      <w:rFonts w:ascii="Trebuchet MS" w:eastAsia="Trebuchet MS" w:hAnsi="Trebuchet MS" w:cs="Trebuchet MS"/>
      <w:color w:val="000000"/>
      <w:kern w:val="0"/>
      <w:szCs w:val="20"/>
      <w:lang w:val="fr" w:eastAsia="fr-FR"/>
      <w14:ligatures w14:val="none"/>
    </w:rPr>
  </w:style>
  <w:style w:type="paragraph" w:styleId="Pieddepage">
    <w:name w:val="footer"/>
    <w:basedOn w:val="Normal"/>
    <w:link w:val="PieddepageCar"/>
    <w:uiPriority w:val="99"/>
    <w:unhideWhenUsed/>
    <w:rsid w:val="00AE31FB"/>
    <w:pPr>
      <w:tabs>
        <w:tab w:val="center" w:pos="4536"/>
        <w:tab w:val="right" w:pos="9072"/>
      </w:tabs>
      <w:spacing w:line="240" w:lineRule="auto"/>
    </w:pPr>
  </w:style>
  <w:style w:type="character" w:customStyle="1" w:styleId="PieddepageCar">
    <w:name w:val="Pied de page Car"/>
    <w:basedOn w:val="Policepardfaut"/>
    <w:link w:val="Pieddepage"/>
    <w:uiPriority w:val="99"/>
    <w:rsid w:val="00AE31FB"/>
    <w:rPr>
      <w:rFonts w:ascii="Trebuchet MS" w:eastAsia="Trebuchet MS" w:hAnsi="Trebuchet MS" w:cs="Trebuchet M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25</Pages>
  <Words>6100</Words>
  <Characters>35933</Characters>
  <Application>Microsoft Office Word</Application>
  <DocSecurity>0</DocSecurity>
  <Lines>855</Lines>
  <Paragraphs>518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53</cp:revision>
  <dcterms:created xsi:type="dcterms:W3CDTF">2026-06-02T14:47:00Z</dcterms:created>
  <dcterms:modified xsi:type="dcterms:W3CDTF">2026-09-11T11:35:00Z</dcterms:modified>
</cp:coreProperties>
</file>